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pPr>
      <w:r>
        <w:rPr>
          <w:rFonts w:ascii="Arial" w:hAnsi="Arial" w:cs="Arial" w:eastAsia="Arial"/>
          <w:b/>
          <w:i w:val="0"/>
          <w:color w:val="1F3F63"/>
          <w:sz w:val="42"/>
        </w:rPr>
        <w:t>Data Insights &amp; Patterns</w:t>
      </w:r>
    </w:p>
    <w:p>
      <w:pPr>
        <w:keepNext/>
        <w:spacing w:after="140"/>
      </w:pPr>
      <w:r>
        <w:rPr>
          <w:rFonts w:ascii="Arial" w:hAnsi="Arial" w:cs="Arial" w:eastAsia="Arial"/>
          <w:b w:val="0"/>
          <w:i w:val="0"/>
          <w:color w:val="5B6B7B"/>
          <w:sz w:val="19"/>
        </w:rPr>
        <w:t>Online gambling estate analysis — Ministry of Digital Economy and Society, Thailand</w:t>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pPr>
              <w:pStyle w:val="Heading2"/>
              <w:keepNext/>
              <w:keepLines/>
              <w:spacing w:before="0" w:after="60"/>
            </w:pPr>
            <w:r>
              <w:rPr>
                <w:rFonts w:ascii="Arial" w:hAnsi="Arial" w:cs="Arial" w:eastAsia="Arial"/>
                <w:b/>
                <w:i w:val="0"/>
                <w:color w:val="1F3F63"/>
                <w:sz w:val="23"/>
              </w:rPr>
              <w:t>Contents</w:t>
            </w:r>
          </w:p>
          <w:p>
            <w:pPr>
              <w:keepNext/>
              <w:keepLines/>
              <w:spacing w:after="30"/>
              <w:ind w:left="0"/>
            </w:pPr>
            <w:hyperlink w:anchor="card_0">
              <w:r>
                <w:rPr>
                  <w:rFonts w:ascii="Arial" w:hAnsi="Arial" w:cs="Arial"/>
                  <w:color w:val="1F3F63"/>
                  <w:sz w:val="19"/>
                </w:rPr>
                <w:t xml:space="preserve">Executive summary</w:t>
              </w:r>
            </w:hyperlink>
          </w:p>
          <w:p>
            <w:pPr>
              <w:keepNext/>
              <w:keepLines/>
              <w:spacing w:after="30"/>
              <w:ind w:left="0"/>
            </w:pPr>
            <w:r>
              <w:rPr>
                <w:rFonts w:ascii="Arial" w:hAnsi="Arial" w:cs="Arial" w:eastAsia="Arial"/>
                <w:b/>
                <w:i w:val="0"/>
                <w:color w:val="1F3F63"/>
                <w:sz w:val="20"/>
              </w:rPr>
              <w:t>Group A — The numbers</w:t>
            </w:r>
          </w:p>
          <w:p>
            <w:pPr>
              <w:keepNext/>
              <w:keepLines/>
              <w:spacing w:after="30"/>
              <w:ind w:left="340"/>
            </w:pPr>
            <w:hyperlink w:anchor="card_2">
              <w:r>
                <w:rPr>
                  <w:rFonts w:ascii="Arial" w:hAnsi="Arial" w:cs="Arial"/>
                  <w:color w:val="1F3F63"/>
                  <w:sz w:val="19"/>
                </w:rPr>
                <w:t xml:space="preserve">URLs analyzed per day</w:t>
              </w:r>
            </w:hyperlink>
          </w:p>
          <w:p>
            <w:pPr>
              <w:keepNext/>
              <w:keepLines/>
              <w:spacing w:after="30"/>
              <w:ind w:left="340"/>
            </w:pPr>
            <w:hyperlink w:anchor="card_3">
              <w:r>
                <w:rPr>
                  <w:rFonts w:ascii="Arial" w:hAnsi="Arial" w:cs="Arial"/>
                  <w:color w:val="1F3F63"/>
                  <w:sz w:val="19"/>
                </w:rPr>
                <w:t xml:space="preserve">Status distribution</w:t>
              </w:r>
            </w:hyperlink>
          </w:p>
          <w:p>
            <w:pPr>
              <w:keepNext/>
              <w:keepLines/>
              <w:spacing w:after="30"/>
              <w:ind w:left="340"/>
            </w:pPr>
            <w:hyperlink w:anchor="card_4">
              <w:r>
                <w:rPr>
                  <w:rFonts w:ascii="Arial" w:hAnsi="Arial" w:cs="Arial"/>
                  <w:color w:val="1F3F63"/>
                  <w:sz w:val="19"/>
                </w:rPr>
                <w:t xml:space="preserve">Top 10 URL suffixes</w:t>
              </w:r>
            </w:hyperlink>
          </w:p>
          <w:p>
            <w:pPr>
              <w:keepNext/>
              <w:keepLines/>
              <w:spacing w:after="30"/>
              <w:ind w:left="0"/>
            </w:pPr>
            <w:r>
              <w:rPr>
                <w:rFonts w:ascii="Arial" w:hAnsi="Arial" w:cs="Arial" w:eastAsia="Arial"/>
                <w:b/>
                <w:i w:val="0"/>
                <w:color w:val="1F3F63"/>
                <w:sz w:val="20"/>
              </w:rPr>
              <w:t>Group B — Subcategories</w:t>
            </w:r>
          </w:p>
          <w:p>
            <w:pPr>
              <w:keepNext/>
              <w:keepLines/>
              <w:spacing w:after="30"/>
              <w:ind w:left="340"/>
            </w:pPr>
            <w:hyperlink w:anchor="card_6">
              <w:r>
                <w:rPr>
                  <w:rFonts w:ascii="Arial" w:hAnsi="Arial" w:cs="Arial"/>
                  <w:color w:val="1F3F63"/>
                  <w:sz w:val="19"/>
                </w:rPr>
                <w:t xml:space="preserve">Gambling sites by product subcategory</w:t>
              </w:r>
            </w:hyperlink>
          </w:p>
          <w:p>
            <w:pPr>
              <w:keepNext/>
              <w:keepLines/>
              <w:spacing w:after="30"/>
              <w:ind w:left="340"/>
            </w:pPr>
            <w:hyperlink w:anchor="card_7">
              <w:r>
                <w:rPr>
                  <w:rFonts w:ascii="Arial" w:hAnsi="Arial" w:cs="Arial"/>
                  <w:color w:val="1F3F63"/>
                  <w:sz w:val="19"/>
                </w:rPr>
                <w:t xml:space="preserve">Subcategory share</w:t>
              </w:r>
            </w:hyperlink>
          </w:p>
          <w:p>
            <w:pPr>
              <w:keepNext/>
              <w:keepLines/>
              <w:spacing w:after="30"/>
              <w:ind w:left="340"/>
            </w:pPr>
            <w:hyperlink w:anchor="card_8">
              <w:r>
                <w:rPr>
                  <w:rFonts w:ascii="Arial" w:hAnsi="Arial" w:cs="Arial"/>
                  <w:color w:val="1F3F63"/>
                  <w:sz w:val="19"/>
                </w:rPr>
                <w:t xml:space="preserve">Assignment method by subcategory</w:t>
              </w:r>
            </w:hyperlink>
          </w:p>
          <w:p>
            <w:pPr>
              <w:keepNext/>
              <w:keepLines/>
              <w:spacing w:after="30"/>
              <w:ind w:left="340"/>
            </w:pPr>
            <w:hyperlink w:anchor="card_9">
              <w:r>
                <w:rPr>
                  <w:rFonts w:ascii="Arial" w:hAnsi="Arial" w:cs="Arial"/>
                  <w:color w:val="1F3F63"/>
                  <w:sz w:val="19"/>
                </w:rPr>
                <w:t xml:space="preserve">Subcategory table</w:t>
              </w:r>
            </w:hyperlink>
          </w:p>
          <w:p>
            <w:pPr>
              <w:keepNext/>
              <w:keepLines/>
              <w:spacing w:after="30"/>
              <w:ind w:left="340"/>
            </w:pPr>
            <w:hyperlink w:anchor="card_10">
              <w:r>
                <w:rPr>
                  <w:rFonts w:ascii="Arial" w:hAnsi="Arial" w:cs="Arial"/>
                  <w:color w:val="1F3F63"/>
                  <w:sz w:val="19"/>
                </w:rPr>
                <w:t xml:space="preserve">Signal tags across the estate</w:t>
              </w:r>
            </w:hyperlink>
          </w:p>
          <w:p>
            <w:pPr>
              <w:keepNext/>
              <w:keepLines/>
              <w:spacing w:after="30"/>
              <w:ind w:left="340"/>
            </w:pPr>
            <w:hyperlink w:anchor="card_11">
              <w:r>
                <w:rPr>
                  <w:rFonts w:ascii="Arial" w:hAnsi="Arial" w:cs="Arial"/>
                  <w:color w:val="1F3F63"/>
                  <w:sz w:val="19"/>
                </w:rPr>
                <w:t xml:space="preserve">Heat map — Keyword × subcategory</w:t>
              </w:r>
            </w:hyperlink>
          </w:p>
          <w:p>
            <w:pPr>
              <w:keepNext/>
              <w:keepLines/>
              <w:spacing w:after="30"/>
              <w:ind w:left="340"/>
            </w:pPr>
            <w:hyperlink w:anchor="card_12">
              <w:r>
                <w:rPr>
                  <w:rFonts w:ascii="Arial" w:hAnsi="Arial" w:cs="Arial"/>
                  <w:color w:val="1F3F63"/>
                  <w:sz w:val="19"/>
                </w:rPr>
                <w:t xml:space="preserve">Heat map — Signal tag × subcategory</w:t>
              </w:r>
            </w:hyperlink>
          </w:p>
          <w:p>
            <w:pPr>
              <w:keepNext/>
              <w:keepLines/>
              <w:spacing w:after="30"/>
              <w:ind w:left="0"/>
            </w:pPr>
            <w:r>
              <w:rPr>
                <w:rFonts w:ascii="Arial" w:hAnsi="Arial" w:cs="Arial" w:eastAsia="Arial"/>
                <w:b/>
                <w:i w:val="0"/>
                <w:color w:val="1F3F63"/>
                <w:sz w:val="20"/>
              </w:rPr>
              <w:t>Group C — Brands and clustering</w:t>
            </w:r>
          </w:p>
          <w:p>
            <w:pPr>
              <w:keepNext/>
              <w:keepLines/>
              <w:spacing w:after="30"/>
              <w:ind w:left="340"/>
            </w:pPr>
            <w:hyperlink w:anchor="card_14">
              <w:r>
                <w:rPr>
                  <w:rFonts w:ascii="Arial" w:hAnsi="Arial" w:cs="Arial"/>
                  <w:color w:val="1F3F63"/>
                  <w:sz w:val="19"/>
                </w:rPr>
                <w:t xml:space="preserve">Top 15 brand clusters by URL count</w:t>
              </w:r>
            </w:hyperlink>
          </w:p>
          <w:p>
            <w:pPr>
              <w:keepNext/>
              <w:keepLines/>
              <w:spacing w:after="30"/>
              <w:ind w:left="340"/>
            </w:pPr>
            <w:hyperlink w:anchor="card_15">
              <w:r>
                <w:rPr>
                  <w:rFonts w:ascii="Arial" w:hAnsi="Arial" w:cs="Arial"/>
                  <w:color w:val="1F3F63"/>
                  <w:sz w:val="19"/>
                </w:rPr>
                <w:t xml:space="preserve">Cluster concentration</w:t>
              </w:r>
            </w:hyperlink>
          </w:p>
          <w:p>
            <w:pPr>
              <w:keepNext/>
              <w:keepLines/>
              <w:spacing w:after="30"/>
              <w:ind w:left="340"/>
            </w:pPr>
            <w:hyperlink w:anchor="card_16">
              <w:r>
                <w:rPr>
                  <w:rFonts w:ascii="Arial" w:hAnsi="Arial" w:cs="Arial"/>
                  <w:color w:val="1F3F63"/>
                  <w:sz w:val="19"/>
                </w:rPr>
                <w:t xml:space="preserve">Heat map — Brand cluster × subcategory</w:t>
              </w:r>
            </w:hyperlink>
          </w:p>
          <w:p>
            <w:pPr>
              <w:keepNext/>
              <w:keepLines/>
              <w:spacing w:after="30"/>
              <w:ind w:left="340"/>
            </w:pPr>
            <w:hyperlink w:anchor="card_17">
              <w:r>
                <w:rPr>
                  <w:rFonts w:ascii="Arial" w:hAnsi="Arial" w:cs="Arial"/>
                  <w:color w:val="1F3F63"/>
                  <w:sz w:val="19"/>
                </w:rPr>
                <w:t xml:space="preserve">Cluster expansion — gg88</w:t>
              </w:r>
            </w:hyperlink>
          </w:p>
          <w:p>
            <w:pPr>
              <w:keepNext/>
              <w:keepLines/>
              <w:spacing w:after="30"/>
              <w:ind w:left="340"/>
            </w:pPr>
            <w:hyperlink w:anchor="card_18">
              <w:r>
                <w:rPr>
                  <w:rFonts w:ascii="Arial" w:hAnsi="Arial" w:cs="Arial"/>
                  <w:color w:val="1F3F63"/>
                  <w:sz w:val="19"/>
                </w:rPr>
                <w:t xml:space="preserve">Clusters spanning multiple subcategories</w:t>
              </w:r>
            </w:hyperlink>
          </w:p>
          <w:p>
            <w:pPr>
              <w:keepNext/>
              <w:keepLines/>
              <w:spacing w:after="30"/>
              <w:ind w:left="340"/>
            </w:pPr>
            <w:hyperlink w:anchor="card_19">
              <w:r>
                <w:rPr>
                  <w:rFonts w:ascii="Arial" w:hAnsi="Arial" w:cs="Arial"/>
                  <w:color w:val="1F3F63"/>
                  <w:sz w:val="19"/>
                </w:rPr>
                <w:t xml:space="preserve">Clusters rotating top-level domains</w:t>
              </w:r>
            </w:hyperlink>
          </w:p>
          <w:p>
            <w:pPr>
              <w:keepNext/>
              <w:keepLines/>
              <w:spacing w:after="30"/>
              <w:ind w:left="340"/>
            </w:pPr>
            <w:hyperlink w:anchor="card_20">
              <w:r>
                <w:rPr>
                  <w:rFonts w:ascii="Arial" w:hAnsi="Arial" w:cs="Arial"/>
                  <w:color w:val="1F3F63"/>
                  <w:sz w:val="19"/>
                </w:rPr>
                <w:t xml:space="preserve">Possible operator linkage</w:t>
              </w:r>
            </w:hyperlink>
          </w:p>
          <w:p>
            <w:pPr>
              <w:keepNext/>
              <w:keepLines/>
              <w:spacing w:after="30"/>
              <w:ind w:left="340"/>
            </w:pPr>
            <w:hyperlink w:anchor="card_21">
              <w:r>
                <w:rPr>
                  <w:rFonts w:ascii="Arial" w:hAnsi="Arial" w:cs="Arial"/>
                  <w:color w:val="1F3F63"/>
                  <w:sz w:val="19"/>
                </w:rPr>
                <w:t xml:space="preserve">Naming conventions</w:t>
              </w:r>
            </w:hyperlink>
          </w:p>
          <w:p>
            <w:pPr>
              <w:keepNext/>
              <w:keepLines/>
              <w:spacing w:after="30"/>
              <w:ind w:left="340"/>
            </w:pPr>
            <w:hyperlink w:anchor="card_22">
              <w:r>
                <w:rPr>
                  <w:rFonts w:ascii="Arial" w:hAnsi="Arial" w:cs="Arial"/>
                  <w:color w:val="1F3F63"/>
                  <w:sz w:val="19"/>
                </w:rPr>
                <w:t xml:space="preserve">Redirect propagation — lotto432e.com</w:t>
              </w:r>
            </w:hyperlink>
          </w:p>
          <w:p>
            <w:pPr>
              <w:keepNext/>
              <w:keepLines/>
              <w:spacing w:after="30"/>
              <w:ind w:left="0"/>
            </w:pPr>
            <w:r>
              <w:rPr>
                <w:rFonts w:ascii="Arial" w:hAnsi="Arial" w:cs="Arial" w:eastAsia="Arial"/>
                <w:b/>
                <w:i w:val="0"/>
                <w:color w:val="1F3F63"/>
                <w:sz w:val="20"/>
              </w:rPr>
              <w:t>Group D — Ranking</w:t>
            </w:r>
          </w:p>
          <w:p>
            <w:pPr>
              <w:keepNext/>
              <w:keepLines/>
              <w:spacing w:after="30"/>
              <w:ind w:left="340"/>
            </w:pPr>
            <w:hyperlink w:anchor="card_24">
              <w:r>
                <w:rPr>
                  <w:rFonts w:ascii="Arial" w:hAnsi="Arial" w:cs="Arial"/>
                  <w:color w:val="1F3F63"/>
                  <w:sz w:val="19"/>
                </w:rPr>
                <w:t xml:space="preserve">Gambling ranking</w:t>
              </w:r>
            </w:hyperlink>
          </w:p>
          <w:p>
            <w:pPr>
              <w:keepNext/>
              <w:keepLines/>
              <w:spacing w:after="30"/>
              <w:ind w:left="0"/>
            </w:pPr>
            <w:r>
              <w:rPr>
                <w:rFonts w:ascii="Arial" w:hAnsi="Arial" w:cs="Arial" w:eastAsia="Arial"/>
                <w:b/>
                <w:i w:val="0"/>
                <w:color w:val="1F3F63"/>
                <w:sz w:val="20"/>
              </w:rPr>
              <w:t>Group E — Key insights</w:t>
            </w:r>
          </w:p>
          <w:p>
            <w:pPr>
              <w:keepNext/>
              <w:keepLines/>
              <w:spacing w:after="30"/>
              <w:ind w:left="340"/>
            </w:pPr>
            <w:hyperlink w:anchor="card_26">
              <w:r>
                <w:rPr>
                  <w:rFonts w:ascii="Arial" w:hAnsi="Arial" w:cs="Arial"/>
                  <w:color w:val="1F3F63"/>
                  <w:sz w:val="19"/>
                </w:rPr>
                <w:t xml:space="preserve">Scale of the analysis</w:t>
              </w:r>
            </w:hyperlink>
          </w:p>
          <w:p>
            <w:pPr>
              <w:keepNext/>
              <w:keepLines/>
              <w:spacing w:after="30"/>
              <w:ind w:left="340"/>
            </w:pPr>
            <w:hyperlink w:anchor="card_27">
              <w:r>
                <w:rPr>
                  <w:rFonts w:ascii="Arial" w:hAnsi="Arial" w:cs="Arial"/>
                  <w:color w:val="1F3F63"/>
                  <w:sz w:val="19"/>
                </w:rPr>
                <w:t xml:space="preserve">What is being offered</w:t>
              </w:r>
            </w:hyperlink>
          </w:p>
          <w:p>
            <w:pPr>
              <w:keepNext/>
              <w:keepLines/>
              <w:spacing w:after="30"/>
              <w:ind w:left="340"/>
            </w:pPr>
            <w:hyperlink w:anchor="card_28">
              <w:r>
                <w:rPr>
                  <w:rFonts w:ascii="Arial" w:hAnsi="Arial" w:cs="Arial"/>
                  <w:color w:val="1F3F63"/>
                  <w:sz w:val="19"/>
                </w:rPr>
                <w:t xml:space="preserve">Brand clustering</w:t>
              </w:r>
            </w:hyperlink>
          </w:p>
          <w:p>
            <w:pPr>
              <w:keepNext/>
              <w:keepLines/>
              <w:spacing w:after="30"/>
              <w:ind w:left="340"/>
            </w:pPr>
            <w:hyperlink w:anchor="card_29">
              <w:r>
                <w:rPr>
                  <w:rFonts w:ascii="Arial" w:hAnsi="Arial" w:cs="Arial"/>
                  <w:color w:val="1F3F63"/>
                  <w:sz w:val="19"/>
                </w:rPr>
                <w:t xml:space="preserve">How the estate is grown and marketed</w:t>
              </w:r>
            </w:hyperlink>
          </w:p>
          <w:p>
            <w:pPr>
              <w:keepNext/>
              <w:keepLines/>
              <w:spacing w:after="30"/>
              <w:ind w:left="340"/>
            </w:pPr>
            <w:hyperlink w:anchor="card_30">
              <w:r>
                <w:rPr>
                  <w:rFonts w:ascii="Arial" w:hAnsi="Arial" w:cs="Arial"/>
                  <w:color w:val="1F3F63"/>
                  <w:sz w:val="19"/>
                </w:rPr>
                <w:t xml:space="preserve">Enforcement position</w:t>
              </w:r>
            </w:hyperlink>
          </w:p>
          <w:p>
            <w:pPr>
              <w:keepNext/>
              <w:keepLines/>
              <w:spacing w:after="30"/>
              <w:ind w:left="0"/>
            </w:pPr>
            <w:r>
              <w:rPr>
                <w:rFonts w:ascii="Arial" w:hAnsi="Arial" w:cs="Arial" w:eastAsia="Arial"/>
                <w:b/>
                <w:i w:val="0"/>
                <w:color w:val="1F3F63"/>
                <w:sz w:val="20"/>
              </w:rPr>
              <w:t>Group M — Model Insights</w:t>
            </w:r>
          </w:p>
          <w:p>
            <w:pPr>
              <w:keepNext/>
              <w:keepLines/>
              <w:spacing w:after="30"/>
              <w:ind w:left="340"/>
            </w:pPr>
            <w:hyperlink w:anchor="card_32">
              <w:r>
                <w:rPr>
                  <w:rFonts w:ascii="Arial" w:hAnsi="Arial" w:cs="Arial"/>
                  <w:color w:val="1F3F63"/>
                  <w:sz w:val="19"/>
                </w:rPr>
                <w:t xml:space="preserve">Introduction</w:t>
              </w:r>
            </w:hyperlink>
          </w:p>
          <w:p>
            <w:pPr>
              <w:keepNext/>
              <w:keepLines/>
              <w:spacing w:after="30"/>
              <w:ind w:left="340"/>
            </w:pPr>
            <w:hyperlink w:anchor="card_33">
              <w:r>
                <w:rPr>
                  <w:rFonts w:ascii="Arial" w:hAnsi="Arial" w:cs="Arial"/>
                  <w:color w:val="1F3F63"/>
                  <w:sz w:val="19"/>
                </w:rPr>
                <w:t xml:space="preserve">Insights</w:t>
              </w:r>
            </w:hyperlink>
          </w:p>
          <w:p>
            <w:pPr>
              <w:keepNext/>
              <w:keepLines/>
              <w:spacing w:after="30"/>
              <w:ind w:left="340"/>
            </w:pPr>
            <w:hyperlink w:anchor="card_34">
              <w:r>
                <w:rPr>
                  <w:rFonts w:ascii="Arial" w:hAnsi="Arial" w:cs="Arial"/>
                  <w:color w:val="1F3F63"/>
                  <w:sz w:val="19"/>
                </w:rPr>
                <w:t xml:space="preserve">Performance</w:t>
              </w:r>
            </w:hyperlink>
          </w:p>
          <w:p>
            <w:pPr>
              <w:keepNext/>
              <w:keepLines/>
              <w:spacing w:after="30"/>
              <w:ind w:left="0"/>
            </w:pPr>
            <w:hyperlink w:anchor="card_35">
              <w:r>
                <w:rPr>
                  <w:rFonts w:ascii="Arial" w:hAnsi="Arial" w:cs="Arial"/>
                  <w:color w:val="1F3F63"/>
                  <w:sz w:val="19"/>
                </w:rPr>
                <w:t xml:space="preserve">Methodology</w:t>
              </w:r>
            </w:hyperlink>
          </w:p>
        </w:tc>
      </w:tr>
    </w:tbl>
    <w:p>
      <w:pPr>
        <w:spacing w:after="0"/>
      </w:pP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1" w:name="card_0"/>
            <w:pPr>
              <w:pStyle w:val="Heading2"/>
              <w:keepNext/>
              <w:keepLines/>
              <w:spacing w:before="0" w:after="60"/>
            </w:pPr>
            <w:r>
              <w:rPr>
                <w:rFonts w:ascii="Arial" w:hAnsi="Arial" w:cs="Arial" w:eastAsia="Arial"/>
                <w:b/>
                <w:i w:val="0"/>
                <w:color w:val="1F3F63"/>
                <w:sz w:val="23"/>
              </w:rPr>
              <w:t>Executive summary</w:t>
            </w:r>
            <w:bookmarkEnd w:id="1001"/>
          </w:p>
          <w:tbl>
            <w:tblPr>
              <w:tblW w:type="auto" w:w="0"/>
              <w:tblLayout w:type="fixed"/>
              <w:tblLook w:firstColumn="1" w:firstRow="1" w:lastColumn="0" w:lastRow="0" w:noHBand="0" w:noVBand="1" w:val="04A0"/>
              <w:tblLayout w:type="fixed"/>
              <w:tblW w:w="7824" w:type="dxa"/>
            </w:tblPr>
            <w:tblGrid>
              <w:gridCol w:w="3061"/>
              <w:gridCol w:w="4762"/>
            </w:tblGrid>
            <w:tr>
              <w:trPr>
                <w:cantSplit/>
              </w:trPr>
              <w:tc>
                <w:tcPr>
                  <w:tcW w:type="dxa" w:w="3061"/>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9"/>
                    </w:rPr>
                    <w:t>Reporting figure</w:t>
                  </w:r>
                </w:p>
              </w:tc>
              <w:tc>
                <w:tcPr>
                  <w:tcW w:type="dxa" w:w="4762"/>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9"/>
                    </w:rPr>
                    <w:t>Value</w:t>
                  </w:r>
                </w:p>
              </w:tc>
            </w:tr>
            <w:tr>
              <w:trPr>
                <w:cantSplit/>
              </w:trPr>
              <w:tc>
                <w:tcPr>
                  <w:tcW w:type="dxa" w:w="30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URLs analysed</w:t>
                  </w:r>
                </w:p>
              </w:tc>
              <w:tc>
                <w:tcPr>
                  <w:tcW w:type="dxa" w:w="4762"/>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11,560</w:t>
                  </w:r>
                </w:p>
              </w:tc>
            </w:tr>
            <w:tr>
              <w:trPr>
                <w:cantSplit/>
              </w:trPr>
              <w:tc>
                <w:tcPr>
                  <w:tcW w:type="dxa" w:w="30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Gambling sites</w:t>
                  </w:r>
                </w:p>
              </w:tc>
              <w:tc>
                <w:tcPr>
                  <w:tcW w:type="dxa" w:w="4762"/>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4,096  (35.4% of all URLs analysed)</w:t>
                  </w:r>
                </w:p>
              </w:tc>
            </w:tr>
            <w:tr>
              <w:trPr>
                <w:cantSplit/>
              </w:trPr>
              <w:tc>
                <w:tcPr>
                  <w:tcW w:type="dxa" w:w="30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Not gambling</w:t>
                  </w:r>
                </w:p>
              </w:tc>
              <w:tc>
                <w:tcPr>
                  <w:tcW w:type="dxa" w:w="4762"/>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7,464</w:t>
                  </w:r>
                </w:p>
              </w:tc>
            </w:tr>
            <w:tr>
              <w:trPr>
                <w:cantSplit/>
              </w:trPr>
              <w:tc>
                <w:tcPr>
                  <w:tcW w:type="dxa" w:w="30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Brand clusters identified</w:t>
                  </w:r>
                </w:p>
              </w:tc>
              <w:tc>
                <w:tcPr>
                  <w:tcW w:type="dxa" w:w="4762"/>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384, of which 286 hold more than one domain</w:t>
                  </w:r>
                </w:p>
              </w:tc>
            </w:tr>
            <w:tr>
              <w:trPr>
                <w:cantSplit/>
              </w:trPr>
              <w:tc>
                <w:tcPr>
                  <w:tcW w:type="dxa" w:w="30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Clusters covering half the estate</w:t>
                  </w:r>
                </w:p>
              </w:tc>
              <w:tc>
                <w:tcPr>
                  <w:tcW w:type="dxa" w:w="4762"/>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29</w:t>
                  </w:r>
                </w:p>
              </w:tc>
            </w:tr>
            <w:tr>
              <w:trPr>
                <w:cantSplit/>
              </w:trPr>
              <w:tc>
                <w:tcPr>
                  <w:tcW w:type="dxa" w:w="30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Largest cluster</w:t>
                  </w:r>
                </w:p>
              </w:tc>
              <w:tc>
                <w:tcPr>
                  <w:tcW w:type="dxa" w:w="4762"/>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gg88 — 295 domains (7.2% of gambling URLs)</w:t>
                  </w:r>
                </w:p>
              </w:tc>
            </w:tr>
            <w:tr>
              <w:trPr>
                <w:cantSplit/>
              </w:trPr>
              <w:tc>
                <w:tcPr>
                  <w:tcW w:type="dxa" w:w="30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Dominant product subcategory</w:t>
                  </w:r>
                </w:p>
              </w:tc>
              <w:tc>
                <w:tcPr>
                  <w:tcW w:type="dxa" w:w="4762"/>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Slots — 1,221 (29.8% of gambling sites)</w:t>
                  </w:r>
                </w:p>
              </w:tc>
            </w:tr>
            <w:tr>
              <w:trPr>
                <w:cantSplit/>
              </w:trPr>
              <w:tc>
                <w:tcPr>
                  <w:tcW w:type="dxa" w:w="30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Most common signal tag</w:t>
                  </w:r>
                </w:p>
              </w:tc>
              <w:tc>
                <w:tcPr>
                  <w:tcW w:type="dxa" w:w="4762"/>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Abbreviations — 1,255 (30.6% of gambling sites)</w:t>
                  </w:r>
                </w:p>
              </w:tc>
            </w:tr>
            <w:tr>
              <w:trPr>
                <w:cantSplit/>
              </w:trPr>
              <w:tc>
                <w:tcPr>
                  <w:tcW w:type="dxa" w:w="30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Sites showing blocking indicators</w:t>
                  </w:r>
                </w:p>
              </w:tc>
              <w:tc>
                <w:tcPr>
                  <w:tcW w:type="dxa" w:w="4762"/>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9"/>
                    </w:rPr>
                    <w:t>1</w:t>
                  </w:r>
                </w:p>
              </w:tc>
            </w:tr>
            <w:tr>
              <w:trPr>
                <w:cantSplit/>
              </w:trPr>
              <w:tc>
                <w:tcPr>
                  <w:tcW w:type="dxa" w:w="30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Subcategory assignment</w:t>
                  </w:r>
                </w:p>
              </w:tc>
              <w:tc>
                <w:tcPr>
                  <w:tcW w:type="dxa" w:w="4762"/>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9"/>
                    </w:rPr>
                    <w:t>116 by keyword, 3,980 inferred from reasoning</w:t>
                  </w:r>
                </w:p>
              </w:tc>
            </w:tr>
          </w:tbl>
          <w:p/>
        </w:tc>
      </w:tr>
    </w:tbl>
    <w:p>
      <w:pPr>
        <w:spacing w:before="0" w:after="0" w:line="340" w:lineRule="exact"/>
      </w:pPr>
      <w:r>
        <w:rPr>
          <w:rFonts w:ascii="Arial" w:hAnsi="Arial" w:cs="Arial" w:eastAsia="Arial"/>
          <w:b w:val="0"/>
          <w:i w:val="0"/>
          <w:color w:val="1B2733"/>
          <w:sz w:val="2"/>
        </w:rPr>
      </w:r>
    </w:p>
    <w:p>
      <w:bookmarkStart w:id="1002" w:name="grp_1"/>
      <w:pPr>
        <w:pStyle w:val="Heading1"/>
        <w:keepNext/>
        <w:spacing w:before="80" w:after="60"/>
      </w:pPr>
      <w:r>
        <w:rPr>
          <w:rFonts w:ascii="Arial" w:hAnsi="Arial" w:cs="Arial" w:eastAsia="Arial"/>
          <w:b/>
          <w:i w:val="0"/>
          <w:color w:val="1F3F63"/>
          <w:sz w:val="25"/>
        </w:rPr>
        <w:t>Group A — The numbers</w:t>
      </w:r>
      <w:bookmarkEnd w:id="1002"/>
    </w:p>
    <w:tbl>
      <w:tblPr>
        <w:tblW w:type="auto" w:w="0"/>
        <w:jc w:val="left"/>
        <w:tblLayout w:type="fixed"/>
        <w:tblLook w:firstColumn="1" w:firstRow="1" w:lastColumn="0" w:lastRow="0" w:noHBand="0" w:noVBand="1" w:val="04A0"/>
        <w:tblCellSpacing w:w="85" w:type="dxa"/>
        <w:tblLayout w:type="fixed"/>
        <w:tblW w:w="8221" w:type="dxa"/>
      </w:tblPr>
      <w:tblGrid>
        <w:gridCol w:w="2055"/>
        <w:gridCol w:w="2055"/>
        <w:gridCol w:w="2055"/>
        <w:gridCol w:w="2055"/>
      </w:tblGrid>
      <w:tr>
        <w:trPr>
          <w:cantSplit/>
        </w:trPr>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11,560</w:t>
            </w:r>
          </w:p>
          <w:p>
            <w:pPr>
              <w:keepNext w:val="0"/>
              <w:keepLines/>
              <w:spacing w:after="0"/>
              <w:jc w:val="center"/>
            </w:pPr>
            <w:r>
              <w:rPr>
                <w:rFonts w:ascii="Arial" w:hAnsi="Arial" w:cs="Arial" w:eastAsia="Arial"/>
                <w:b w:val="0"/>
                <w:i w:val="0"/>
                <w:color w:val="5B6B7B"/>
                <w:sz w:val="17"/>
              </w:rPr>
              <w:t>Total URLs analyzed</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4,096</w:t>
            </w:r>
          </w:p>
          <w:p>
            <w:pPr>
              <w:keepNext w:val="0"/>
              <w:keepLines/>
              <w:spacing w:after="0"/>
              <w:jc w:val="center"/>
            </w:pPr>
            <w:r>
              <w:rPr>
                <w:rFonts w:ascii="Arial" w:hAnsi="Arial" w:cs="Arial" w:eastAsia="Arial"/>
                <w:b w:val="0"/>
                <w:i w:val="0"/>
                <w:color w:val="5B6B7B"/>
                <w:sz w:val="17"/>
              </w:rPr>
              <w:t>Gambling sites</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384</w:t>
            </w:r>
          </w:p>
          <w:p>
            <w:pPr>
              <w:keepNext w:val="0"/>
              <w:keepLines/>
              <w:spacing w:after="0"/>
              <w:jc w:val="center"/>
            </w:pPr>
            <w:r>
              <w:rPr>
                <w:rFonts w:ascii="Arial" w:hAnsi="Arial" w:cs="Arial" w:eastAsia="Arial"/>
                <w:b w:val="0"/>
                <w:i w:val="0"/>
                <w:color w:val="5B6B7B"/>
                <w:sz w:val="17"/>
              </w:rPr>
              <w:t>Brand clusters identified</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23 days</w:t>
            </w:r>
          </w:p>
          <w:p>
            <w:pPr>
              <w:keepNext/>
              <w:keepLines/>
              <w:spacing w:after="0"/>
              <w:jc w:val="center"/>
            </w:pPr>
            <w:r>
              <w:rPr>
                <w:rFonts w:ascii="Arial" w:hAnsi="Arial" w:cs="Arial" w:eastAsia="Arial"/>
                <w:b w:val="0"/>
                <w:i w:val="0"/>
                <w:color w:val="5B6B7B"/>
                <w:sz w:val="17"/>
              </w:rPr>
              <w:t>Evaluation period</w:t>
            </w:r>
          </w:p>
          <w:p>
            <w:pPr>
              <w:keepNext w:val="0"/>
              <w:keepLines/>
              <w:spacing w:after="0"/>
              <w:jc w:val="center"/>
            </w:pPr>
            <w:r>
              <w:rPr>
                <w:rFonts w:ascii="Arial" w:hAnsi="Arial" w:cs="Arial" w:eastAsia="Arial"/>
                <w:b w:val="0"/>
                <w:i w:val="0"/>
                <w:color w:val="5B6B7B"/>
                <w:sz w:val="15"/>
              </w:rPr>
              <w:t>2026-08-31 → 2026-09-22</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3" w:name="card_2"/>
            <w:pPr>
              <w:pStyle w:val="Heading2"/>
              <w:keepNext/>
              <w:keepLines/>
              <w:spacing w:before="0" w:after="60"/>
            </w:pPr>
            <w:r>
              <w:rPr>
                <w:rFonts w:ascii="Arial" w:hAnsi="Arial" w:cs="Arial" w:eastAsia="Arial"/>
                <w:b/>
                <w:i w:val="0"/>
                <w:color w:val="1F3F63"/>
                <w:sz w:val="23"/>
              </w:rPr>
              <w:t>URLs analyzed per day</w:t>
            </w:r>
            <w:bookmarkEnd w:id="1003"/>
          </w:p>
          <w:p>
            <w:pPr>
              <w:keepNext/>
              <w:keepLines/>
              <w:spacing w:before="40" w:after="40"/>
              <w:jc w:val="center"/>
            </w:pPr>
            <w:r>
              <w:drawing>
                <wp:inline xmlns:a="http://schemas.openxmlformats.org/drawingml/2006/main" xmlns:pic="http://schemas.openxmlformats.org/drawingml/2006/picture">
                  <wp:extent cx="5040000" cy="2314667"/>
                  <wp:docPr id="1" name="Picture 1"/>
                  <wp:cNvGraphicFramePr>
                    <a:graphicFrameLocks noChangeAspect="1"/>
                  </wp:cNvGraphicFramePr>
                  <a:graphic>
                    <a:graphicData uri="http://schemas.openxmlformats.org/drawingml/2006/picture">
                      <pic:pic>
                        <pic:nvPicPr>
                          <pic:cNvPr id="0" name="a2.png"/>
                          <pic:cNvPicPr/>
                        </pic:nvPicPr>
                        <pic:blipFill>
                          <a:blip r:embed="rId11"/>
                          <a:stretch>
                            <a:fillRect/>
                          </a:stretch>
                        </pic:blipFill>
                        <pic:spPr>
                          <a:xfrm>
                            <a:off x="0" y="0"/>
                            <a:ext cx="5040000" cy="2314667"/>
                          </a:xfrm>
                          <a:prstGeom prst="rect"/>
                        </pic:spPr>
                      </pic:pic>
                    </a:graphicData>
                  </a:graphic>
                </wp:inline>
              </w:drawing>
            </w:r>
          </w:p>
          <w:p>
            <w:pPr>
              <w:keepNext w:val="0"/>
              <w:keepLines/>
              <w:spacing w:before="60" w:after="0"/>
            </w:pPr>
            <w:r>
              <w:rPr>
                <w:rFonts w:ascii="Arial" w:hAnsi="Arial" w:cs="Arial" w:eastAsia="Arial"/>
                <w:b w:val="0"/>
                <w:i/>
                <w:color w:val="5B6B7B"/>
                <w:sz w:val="16"/>
              </w:rPr>
              <w:t>Distinct URLs updated on each date between 2026-08-31 and 2026-09-22.</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4" w:name="card_3"/>
            <w:pPr>
              <w:pStyle w:val="Heading2"/>
              <w:keepNext/>
              <w:keepLines/>
              <w:spacing w:before="0" w:after="60"/>
            </w:pPr>
            <w:r>
              <w:rPr>
                <w:rFonts w:ascii="Arial" w:hAnsi="Arial" w:cs="Arial" w:eastAsia="Arial"/>
                <w:b/>
                <w:i w:val="0"/>
                <w:color w:val="1F3F63"/>
                <w:sz w:val="23"/>
              </w:rPr>
              <w:t>Status distribution</w:t>
            </w:r>
            <w:bookmarkEnd w:id="1004"/>
          </w:p>
          <w:p>
            <w:pPr>
              <w:keepNext/>
              <w:keepLines/>
              <w:spacing w:before="40" w:after="40"/>
              <w:jc w:val="center"/>
            </w:pPr>
            <w:r>
              <w:drawing>
                <wp:inline xmlns:a="http://schemas.openxmlformats.org/drawingml/2006/main" xmlns:pic="http://schemas.openxmlformats.org/drawingml/2006/picture">
                  <wp:extent cx="5040000" cy="2943833"/>
                  <wp:docPr id="2" name="Picture 2"/>
                  <wp:cNvGraphicFramePr>
                    <a:graphicFrameLocks noChangeAspect="1"/>
                  </wp:cNvGraphicFramePr>
                  <a:graphic>
                    <a:graphicData uri="http://schemas.openxmlformats.org/drawingml/2006/picture">
                      <pic:pic>
                        <pic:nvPicPr>
                          <pic:cNvPr id="0" name="a3.png"/>
                          <pic:cNvPicPr/>
                        </pic:nvPicPr>
                        <pic:blipFill>
                          <a:blip r:embed="rId12"/>
                          <a:stretch>
                            <a:fillRect/>
                          </a:stretch>
                        </pic:blipFill>
                        <pic:spPr>
                          <a:xfrm>
                            <a:off x="0" y="0"/>
                            <a:ext cx="5040000" cy="2943833"/>
                          </a:xfrm>
                          <a:prstGeom prst="rect"/>
                        </pic:spPr>
                      </pic:pic>
                    </a:graphicData>
                  </a:graphic>
                </wp:inline>
              </w:drawing>
            </w:r>
          </w:p>
          <w:tbl>
            <w:tblPr>
              <w:tblW w:type="auto" w:w="0"/>
              <w:tblLayout w:type="fixed"/>
              <w:tblLook w:firstColumn="1" w:firstRow="1" w:lastColumn="0" w:lastRow="0" w:noHBand="0" w:noVBand="1" w:val="04A0"/>
              <w:tblLayout w:type="fixed"/>
              <w:tblW w:w="7938" w:type="dxa"/>
            </w:tblPr>
            <w:tblGrid>
              <w:gridCol w:w="3969"/>
              <w:gridCol w:w="1984"/>
              <w:gridCol w:w="1984"/>
            </w:tblGrid>
            <w:tr>
              <w:trPr>
                <w:cantSplit/>
              </w:trPr>
              <w:tc>
                <w:tcPr>
                  <w:tcW w:type="dxa" w:w="3969"/>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7"/>
                    </w:rPr>
                    <w:t>Status</w:t>
                  </w:r>
                </w:p>
              </w:tc>
              <w:tc>
                <w:tcPr>
                  <w:tcW w:type="dxa" w:w="198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Count</w:t>
                  </w:r>
                </w:p>
              </w:tc>
              <w:tc>
                <w:tcPr>
                  <w:tcW w:type="dxa" w:w="198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 of URLs analysed</w:t>
                  </w:r>
                </w:p>
              </w:tc>
            </w:tr>
            <w:tr>
              <w:trPr>
                <w:cantSplit/>
              </w:trPr>
              <w:tc>
                <w:tcPr>
                  <w:tcW w:type="dxa" w:w="396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Not gambling</w:t>
                  </w:r>
                </w:p>
              </w:tc>
              <w:tc>
                <w:tcPr>
                  <w:tcW w:type="dxa" w:w="198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7,464</w:t>
                  </w:r>
                </w:p>
              </w:tc>
              <w:tc>
                <w:tcPr>
                  <w:tcW w:type="dxa" w:w="198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64.6%</w:t>
                  </w:r>
                </w:p>
              </w:tc>
            </w:tr>
            <w:tr>
              <w:trPr>
                <w:cantSplit/>
              </w:trPr>
              <w:tc>
                <w:tcPr>
                  <w:tcW w:type="dxa" w:w="396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Gambling</w:t>
                  </w:r>
                </w:p>
              </w:tc>
              <w:tc>
                <w:tcPr>
                  <w:tcW w:type="dxa" w:w="198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4,096</w:t>
                  </w:r>
                </w:p>
              </w:tc>
              <w:tc>
                <w:tcPr>
                  <w:tcW w:type="dxa" w:w="198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35.4%</w:t>
                  </w:r>
                </w:p>
              </w:tc>
            </w:tr>
          </w:tbl>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5" w:name="card_4"/>
            <w:pPr>
              <w:pStyle w:val="Heading2"/>
              <w:keepNext/>
              <w:keepLines/>
              <w:spacing w:before="0" w:after="60"/>
            </w:pPr>
            <w:r>
              <w:rPr>
                <w:rFonts w:ascii="Arial" w:hAnsi="Arial" w:cs="Arial" w:eastAsia="Arial"/>
                <w:b/>
                <w:i w:val="0"/>
                <w:color w:val="1F3F63"/>
                <w:sz w:val="23"/>
              </w:rPr>
              <w:t>Top 10 URL suffixes</w:t>
            </w:r>
            <w:bookmarkEnd w:id="1005"/>
          </w:p>
          <w:p>
            <w:pPr>
              <w:keepNext/>
              <w:keepLines/>
              <w:spacing w:before="40" w:after="40"/>
              <w:jc w:val="center"/>
            </w:pPr>
            <w:r>
              <w:drawing>
                <wp:inline xmlns:a="http://schemas.openxmlformats.org/drawingml/2006/main" xmlns:pic="http://schemas.openxmlformats.org/drawingml/2006/picture">
                  <wp:extent cx="5040000" cy="2920726"/>
                  <wp:docPr id="3" name="Picture 3"/>
                  <wp:cNvGraphicFramePr>
                    <a:graphicFrameLocks noChangeAspect="1"/>
                  </wp:cNvGraphicFramePr>
                  <a:graphic>
                    <a:graphicData uri="http://schemas.openxmlformats.org/drawingml/2006/picture">
                      <pic:pic>
                        <pic:nvPicPr>
                          <pic:cNvPr id="0" name="a4.png"/>
                          <pic:cNvPicPr/>
                        </pic:nvPicPr>
                        <pic:blipFill>
                          <a:blip r:embed="rId13"/>
                          <a:stretch>
                            <a:fillRect/>
                          </a:stretch>
                        </pic:blipFill>
                        <pic:spPr>
                          <a:xfrm>
                            <a:off x="0" y="0"/>
                            <a:ext cx="5040000" cy="2920726"/>
                          </a:xfrm>
                          <a:prstGeom prst="rect"/>
                        </pic:spPr>
                      </pic:pic>
                    </a:graphicData>
                  </a:graphic>
                </wp:inline>
              </w:drawing>
            </w:r>
          </w:p>
          <w:tbl>
            <w:tblPr>
              <w:tblW w:type="auto" w:w="0"/>
              <w:tblLayout w:type="fixed"/>
              <w:tblLook w:firstColumn="1" w:firstRow="1" w:lastColumn="0" w:lastRow="0" w:noHBand="0" w:noVBand="1" w:val="04A0"/>
              <w:tblLayout w:type="fixed"/>
              <w:tblW w:w="7938" w:type="dxa"/>
            </w:tblPr>
            <w:tblGrid>
              <w:gridCol w:w="2041"/>
              <w:gridCol w:w="1474"/>
              <w:gridCol w:w="1474"/>
              <w:gridCol w:w="1474"/>
              <w:gridCol w:w="1474"/>
            </w:tblGrid>
            <w:tr>
              <w:trPr>
                <w:cantSplit/>
              </w:trPr>
              <w:tc>
                <w:tcPr>
                  <w:tcW w:type="dxa" w:w="2041"/>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7"/>
                    </w:rPr>
                    <w:t>Suffix</w:t>
                  </w:r>
                </w:p>
              </w:tc>
              <w:tc>
                <w:tcPr>
                  <w:tcW w:type="dxa" w:w="147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Total</w:t>
                  </w:r>
                </w:p>
              </w:tc>
              <w:tc>
                <w:tcPr>
                  <w:tcW w:type="dxa" w:w="147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 of all</w:t>
                  </w:r>
                </w:p>
              </w:tc>
              <w:tc>
                <w:tcPr>
                  <w:tcW w:type="dxa" w:w="147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Gambling</w:t>
                  </w:r>
                </w:p>
              </w:tc>
              <w:tc>
                <w:tcPr>
                  <w:tcW w:type="dxa" w:w="147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 gambling</w:t>
                  </w:r>
                </w:p>
              </w:tc>
            </w:tr>
            <w:tr>
              <w:trPr>
                <w:cantSplit/>
              </w:trPr>
              <w:tc>
                <w:tcPr>
                  <w:tcW w:type="dxa" w:w="204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.org</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3,475</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30.1%</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0</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0.0%</w:t>
                  </w:r>
                </w:p>
              </w:tc>
            </w:tr>
            <w:tr>
              <w:trPr>
                <w:cantSplit/>
              </w:trPr>
              <w:tc>
                <w:tcPr>
                  <w:tcW w:type="dxa" w:w="204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.com</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1,618</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14.0%</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573</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35.4%</w:t>
                  </w:r>
                </w:p>
              </w:tc>
            </w:tr>
            <w:tr>
              <w:trPr>
                <w:cantSplit/>
              </w:trPr>
              <w:tc>
                <w:tcPr>
                  <w:tcW w:type="dxa" w:w="204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.net</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1,019</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8.8%</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616</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60.5%</w:t>
                  </w:r>
                </w:p>
              </w:tc>
            </w:tr>
            <w:tr>
              <w:trPr>
                <w:cantSplit/>
              </w:trPr>
              <w:tc>
                <w:tcPr>
                  <w:tcW w:type="dxa" w:w="204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.cc</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591</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5.1%</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381</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64.5%</w:t>
                  </w:r>
                </w:p>
              </w:tc>
            </w:tr>
            <w:tr>
              <w:trPr>
                <w:cantSplit/>
              </w:trPr>
              <w:tc>
                <w:tcPr>
                  <w:tcW w:type="dxa" w:w="204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.app</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528</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4.6%</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372</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70.5%</w:t>
                  </w:r>
                </w:p>
              </w:tc>
            </w:tr>
            <w:tr>
              <w:trPr>
                <w:cantSplit/>
              </w:trPr>
              <w:tc>
                <w:tcPr>
                  <w:tcW w:type="dxa" w:w="204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.bet</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360</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3.1%</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347</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96.4%</w:t>
                  </w:r>
                </w:p>
              </w:tc>
            </w:tr>
            <w:tr>
              <w:trPr>
                <w:cantSplit/>
              </w:trPr>
              <w:tc>
                <w:tcPr>
                  <w:tcW w:type="dxa" w:w="204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.pro</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300</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2.6%</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251</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83.7%</w:t>
                  </w:r>
                </w:p>
              </w:tc>
            </w:tr>
            <w:tr>
              <w:trPr>
                <w:cantSplit/>
              </w:trPr>
              <w:tc>
                <w:tcPr>
                  <w:tcW w:type="dxa" w:w="204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.me</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236</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2.0%</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94</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39.8%</w:t>
                  </w:r>
                </w:p>
              </w:tc>
            </w:tr>
            <w:tr>
              <w:trPr>
                <w:cantSplit/>
              </w:trPr>
              <w:tc>
                <w:tcPr>
                  <w:tcW w:type="dxa" w:w="204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.co</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227</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2.0%</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37</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16.3%</w:t>
                  </w:r>
                </w:p>
              </w:tc>
            </w:tr>
            <w:tr>
              <w:trPr>
                <w:cantSplit/>
              </w:trPr>
              <w:tc>
                <w:tcPr>
                  <w:tcW w:type="dxa" w:w="204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.ru</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216</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1.9%</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0.9%</w:t>
                  </w:r>
                </w:p>
              </w:tc>
            </w:tr>
          </w:tbl>
          <w:p/>
        </w:tc>
      </w:tr>
    </w:tbl>
    <w:p>
      <w:pPr>
        <w:spacing w:before="0" w:after="0" w:line="340" w:lineRule="exact"/>
      </w:pPr>
      <w:r>
        <w:rPr>
          <w:rFonts w:ascii="Arial" w:hAnsi="Arial" w:cs="Arial" w:eastAsia="Arial"/>
          <w:b w:val="0"/>
          <w:i w:val="0"/>
          <w:color w:val="1B2733"/>
          <w:sz w:val="2"/>
        </w:rPr>
      </w:r>
    </w:p>
    <w:p>
      <w:bookmarkStart w:id="1006" w:name="grp_5"/>
      <w:pPr>
        <w:pStyle w:val="Heading1"/>
        <w:keepNext/>
        <w:spacing w:before="80" w:after="60"/>
      </w:pPr>
      <w:r>
        <w:rPr>
          <w:rFonts w:ascii="Arial" w:hAnsi="Arial" w:cs="Arial" w:eastAsia="Arial"/>
          <w:b/>
          <w:i w:val="0"/>
          <w:color w:val="1F3F63"/>
          <w:sz w:val="25"/>
        </w:rPr>
        <w:t>Group B — Subcategories</w:t>
      </w:r>
      <w:bookmarkEnd w:id="1006"/>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7" w:name="card_6"/>
            <w:pPr>
              <w:pStyle w:val="Heading2"/>
              <w:keepNext/>
              <w:keepLines/>
              <w:spacing w:before="0" w:after="60"/>
            </w:pPr>
            <w:r>
              <w:rPr>
                <w:rFonts w:ascii="Arial" w:hAnsi="Arial" w:cs="Arial" w:eastAsia="Arial"/>
                <w:b/>
                <w:i w:val="0"/>
                <w:color w:val="1F3F63"/>
                <w:sz w:val="23"/>
              </w:rPr>
              <w:t>Gambling sites by product subcategory</w:t>
            </w:r>
            <w:bookmarkEnd w:id="1007"/>
          </w:p>
          <w:p>
            <w:pPr>
              <w:keepNext/>
              <w:keepLines/>
              <w:spacing w:before="40" w:after="40"/>
              <w:jc w:val="center"/>
            </w:pPr>
            <w:r>
              <w:drawing>
                <wp:inline xmlns:a="http://schemas.openxmlformats.org/drawingml/2006/main" xmlns:pic="http://schemas.openxmlformats.org/drawingml/2006/picture">
                  <wp:extent cx="5040000" cy="1926085"/>
                  <wp:docPr id="4" name="Picture 4"/>
                  <wp:cNvGraphicFramePr>
                    <a:graphicFrameLocks noChangeAspect="1"/>
                  </wp:cNvGraphicFramePr>
                  <a:graphic>
                    <a:graphicData uri="http://schemas.openxmlformats.org/drawingml/2006/picture">
                      <pic:pic>
                        <pic:nvPicPr>
                          <pic:cNvPr id="0" name="b1.png"/>
                          <pic:cNvPicPr/>
                        </pic:nvPicPr>
                        <pic:blipFill>
                          <a:blip r:embed="rId14"/>
                          <a:stretch>
                            <a:fillRect/>
                          </a:stretch>
                        </pic:blipFill>
                        <pic:spPr>
                          <a:xfrm>
                            <a:off x="0" y="0"/>
                            <a:ext cx="5040000" cy="1926085"/>
                          </a:xfrm>
                          <a:prstGeom prst="rect"/>
                        </pic:spPr>
                      </pic:pic>
                    </a:graphicData>
                  </a:graphic>
                </wp:inline>
              </w:drawing>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8" w:name="card_7"/>
            <w:pPr>
              <w:pStyle w:val="Heading2"/>
              <w:keepNext/>
              <w:keepLines/>
              <w:spacing w:before="0" w:after="60"/>
            </w:pPr>
            <w:r>
              <w:rPr>
                <w:rFonts w:ascii="Arial" w:hAnsi="Arial" w:cs="Arial" w:eastAsia="Arial"/>
                <w:b/>
                <w:i w:val="0"/>
                <w:color w:val="1F3F63"/>
                <w:sz w:val="23"/>
              </w:rPr>
              <w:t>Subcategory share</w:t>
            </w:r>
            <w:bookmarkEnd w:id="1008"/>
          </w:p>
          <w:p>
            <w:pPr>
              <w:keepNext/>
              <w:keepLines/>
              <w:spacing w:before="40" w:after="40"/>
              <w:jc w:val="center"/>
            </w:pPr>
            <w:r>
              <w:drawing>
                <wp:inline xmlns:a="http://schemas.openxmlformats.org/drawingml/2006/main" xmlns:pic="http://schemas.openxmlformats.org/drawingml/2006/picture">
                  <wp:extent cx="5040000" cy="8621365"/>
                  <wp:docPr id="5" name="Picture 5"/>
                  <wp:cNvGraphicFramePr>
                    <a:graphicFrameLocks noChangeAspect="1"/>
                  </wp:cNvGraphicFramePr>
                  <a:graphic>
                    <a:graphicData uri="http://schemas.openxmlformats.org/drawingml/2006/picture">
                      <pic:pic>
                        <pic:nvPicPr>
                          <pic:cNvPr id="0" name="b2.png"/>
                          <pic:cNvPicPr/>
                        </pic:nvPicPr>
                        <pic:blipFill>
                          <a:blip r:embed="rId15"/>
                          <a:stretch>
                            <a:fillRect/>
                          </a:stretch>
                        </pic:blipFill>
                        <pic:spPr>
                          <a:xfrm>
                            <a:off x="0" y="0"/>
                            <a:ext cx="5040000" cy="8621365"/>
                          </a:xfrm>
                          <a:prstGeom prst="rect"/>
                        </pic:spPr>
                      </pic:pic>
                    </a:graphicData>
                  </a:graphic>
                </wp:inline>
              </w:drawing>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09" w:name="card_8"/>
            <w:pPr>
              <w:pStyle w:val="Heading2"/>
              <w:keepNext/>
              <w:keepLines/>
              <w:spacing w:before="0" w:after="60"/>
            </w:pPr>
            <w:r>
              <w:rPr>
                <w:rFonts w:ascii="Arial" w:hAnsi="Arial" w:cs="Arial" w:eastAsia="Arial"/>
                <w:b/>
                <w:i w:val="0"/>
                <w:color w:val="1F3F63"/>
                <w:sz w:val="23"/>
              </w:rPr>
              <w:t>Assignment method by subcategory</w:t>
            </w:r>
            <w:bookmarkEnd w:id="1009"/>
          </w:p>
          <w:p>
            <w:pPr>
              <w:keepNext/>
              <w:keepLines/>
              <w:spacing w:before="40" w:after="40"/>
              <w:jc w:val="center"/>
            </w:pPr>
            <w:r>
              <w:drawing>
                <wp:inline xmlns:a="http://schemas.openxmlformats.org/drawingml/2006/main" xmlns:pic="http://schemas.openxmlformats.org/drawingml/2006/picture">
                  <wp:extent cx="5040000" cy="2588620"/>
                  <wp:docPr id="6" name="Picture 6"/>
                  <wp:cNvGraphicFramePr>
                    <a:graphicFrameLocks noChangeAspect="1"/>
                  </wp:cNvGraphicFramePr>
                  <a:graphic>
                    <a:graphicData uri="http://schemas.openxmlformats.org/drawingml/2006/picture">
                      <pic:pic>
                        <pic:nvPicPr>
                          <pic:cNvPr id="0" name="b3.png"/>
                          <pic:cNvPicPr/>
                        </pic:nvPicPr>
                        <pic:blipFill>
                          <a:blip r:embed="rId16"/>
                          <a:stretch>
                            <a:fillRect/>
                          </a:stretch>
                        </pic:blipFill>
                        <pic:spPr>
                          <a:xfrm>
                            <a:off x="0" y="0"/>
                            <a:ext cx="5040000" cy="2588620"/>
                          </a:xfrm>
                          <a:prstGeom prst="rect"/>
                        </pic:spPr>
                      </pic:pic>
                    </a:graphicData>
                  </a:graphic>
                </wp:inline>
              </w:drawing>
            </w:r>
          </w:p>
          <w:p>
            <w:pPr>
              <w:keepNext w:val="0"/>
              <w:keepLines/>
              <w:spacing w:before="60" w:after="0"/>
            </w:pPr>
            <w:r>
              <w:rPr>
                <w:rFonts w:ascii="Arial" w:hAnsi="Arial" w:cs="Arial" w:eastAsia="Arial"/>
                <w:b w:val="0"/>
                <w:i/>
                <w:color w:val="5B6B7B"/>
                <w:sz w:val="16"/>
              </w:rPr>
              <w:t>Inferred share 97.2% of gambling rows; General Gambling share 20.2%. Inferred assignments are read from the classifier reasoning, not from a lexicon match.</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0" w:name="card_9"/>
            <w:pPr>
              <w:pStyle w:val="Heading2"/>
              <w:keepNext/>
              <w:keepLines/>
              <w:spacing w:before="0" w:after="60"/>
            </w:pPr>
            <w:r>
              <w:rPr>
                <w:rFonts w:ascii="Arial" w:hAnsi="Arial" w:cs="Arial" w:eastAsia="Arial"/>
                <w:b/>
                <w:i w:val="0"/>
                <w:color w:val="1F3F63"/>
                <w:sz w:val="23"/>
              </w:rPr>
              <w:t>Subcategory table</w:t>
            </w:r>
            <w:bookmarkEnd w:id="1010"/>
          </w:p>
          <w:tbl>
            <w:tblPr>
              <w:tblW w:type="auto" w:w="0"/>
              <w:tblLayout w:type="fixed"/>
              <w:tblLook w:firstColumn="1" w:firstRow="1" w:lastColumn="0" w:lastRow="0" w:noHBand="0" w:noVBand="1" w:val="04A0"/>
              <w:tblLayout w:type="fixed"/>
              <w:tblW w:w="7938" w:type="dxa"/>
            </w:tblPr>
            <w:tblGrid>
              <w:gridCol w:w="1927"/>
              <w:gridCol w:w="963"/>
              <w:gridCol w:w="1247"/>
              <w:gridCol w:w="1474"/>
              <w:gridCol w:w="1077"/>
              <w:gridCol w:w="1247"/>
            </w:tblGrid>
            <w:tr>
              <w:trPr>
                <w:cantSplit/>
              </w:trPr>
              <w:tc>
                <w:tcPr>
                  <w:tcW w:type="dxa" w:w="1928"/>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7"/>
                    </w:rPr>
                    <w:t>Subcategory</w:t>
                  </w:r>
                </w:p>
              </w:tc>
              <w:tc>
                <w:tcPr>
                  <w:tcW w:type="dxa" w:w="96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Count</w:t>
                  </w:r>
                </w:p>
              </w:tc>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 of gambling</w:t>
                  </w:r>
                </w:p>
              </w:tc>
              <w:tc>
                <w:tcPr>
                  <w:tcW w:type="dxa" w:w="147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Keyword-assigned</w:t>
                  </w:r>
                </w:p>
              </w:tc>
              <w:tc>
                <w:tcPr>
                  <w:tcW w:type="dxa" w:w="107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Inferred</w:t>
                  </w:r>
                </w:p>
              </w:tc>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7"/>
                    </w:rPr>
                    <w:t>Distinct clusters</w:t>
                  </w:r>
                </w:p>
              </w:tc>
            </w:tr>
            <w:tr>
              <w:trPr>
                <w:cantSplit/>
              </w:trPr>
              <w:tc>
                <w:tcPr>
                  <w:tcW w:type="dxa" w:w="19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Slots</w:t>
                  </w:r>
                </w:p>
              </w:tc>
              <w:tc>
                <w:tcPr>
                  <w:tcW w:type="dxa" w:w="96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1,221</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29.8%</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42</w:t>
                  </w:r>
                </w:p>
              </w:tc>
              <w:tc>
                <w:tcPr>
                  <w:tcW w:type="dxa" w:w="107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1,179</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260</w:t>
                  </w:r>
                </w:p>
              </w:tc>
            </w:tr>
            <w:tr>
              <w:trPr>
                <w:cantSplit/>
              </w:trPr>
              <w:tc>
                <w:tcPr>
                  <w:tcW w:type="dxa" w:w="19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Football Betting</w:t>
                  </w:r>
                </w:p>
              </w:tc>
              <w:tc>
                <w:tcPr>
                  <w:tcW w:type="dxa" w:w="96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833</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20.3%</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w:t>
                  </w:r>
                </w:p>
              </w:tc>
              <w:tc>
                <w:tcPr>
                  <w:tcW w:type="dxa" w:w="107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828</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194</w:t>
                  </w:r>
                </w:p>
              </w:tc>
            </w:tr>
            <w:tr>
              <w:trPr>
                <w:cantSplit/>
              </w:trPr>
              <w:tc>
                <w:tcPr>
                  <w:tcW w:type="dxa" w:w="19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General Gambling</w:t>
                  </w:r>
                </w:p>
              </w:tc>
              <w:tc>
                <w:tcPr>
                  <w:tcW w:type="dxa" w:w="96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829</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20.2%</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7</w:t>
                  </w:r>
                </w:p>
              </w:tc>
              <w:tc>
                <w:tcPr>
                  <w:tcW w:type="dxa" w:w="107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822</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188</w:t>
                  </w:r>
                </w:p>
              </w:tc>
            </w:tr>
            <w:tr>
              <w:trPr>
                <w:cantSplit/>
              </w:trPr>
              <w:tc>
                <w:tcPr>
                  <w:tcW w:type="dxa" w:w="19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Casino</w:t>
                  </w:r>
                </w:p>
              </w:tc>
              <w:tc>
                <w:tcPr>
                  <w:tcW w:type="dxa" w:w="96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632</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15.4%</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32</w:t>
                  </w:r>
                </w:p>
              </w:tc>
              <w:tc>
                <w:tcPr>
                  <w:tcW w:type="dxa" w:w="107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600</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168</w:t>
                  </w:r>
                </w:p>
              </w:tc>
            </w:tr>
            <w:tr>
              <w:trPr>
                <w:cantSplit/>
              </w:trPr>
              <w:tc>
                <w:tcPr>
                  <w:tcW w:type="dxa" w:w="19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Playing card</w:t>
                  </w:r>
                </w:p>
              </w:tc>
              <w:tc>
                <w:tcPr>
                  <w:tcW w:type="dxa" w:w="96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253</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6.2%</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w:t>
                  </w:r>
                </w:p>
              </w:tc>
              <w:tc>
                <w:tcPr>
                  <w:tcW w:type="dxa" w:w="107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251</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122</w:t>
                  </w:r>
                </w:p>
              </w:tc>
            </w:tr>
            <w:tr>
              <w:trPr>
                <w:cantSplit/>
              </w:trPr>
              <w:tc>
                <w:tcPr>
                  <w:tcW w:type="dxa" w:w="19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7"/>
                    </w:rPr>
                    <w:t>Lottery</w:t>
                  </w:r>
                </w:p>
              </w:tc>
              <w:tc>
                <w:tcPr>
                  <w:tcW w:type="dxa" w:w="96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207</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5.1%</w:t>
                  </w:r>
                </w:p>
              </w:tc>
              <w:tc>
                <w:tcPr>
                  <w:tcW w:type="dxa" w:w="147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21</w:t>
                  </w:r>
                </w:p>
              </w:tc>
              <w:tc>
                <w:tcPr>
                  <w:tcW w:type="dxa" w:w="107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186</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48</w:t>
                  </w:r>
                </w:p>
              </w:tc>
            </w:tr>
            <w:tr>
              <w:trPr>
                <w:cantSplit/>
              </w:trPr>
              <w:tc>
                <w:tcPr>
                  <w:tcW w:type="dxa" w:w="19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7"/>
                    </w:rPr>
                    <w:t>Baccarat</w:t>
                  </w:r>
                </w:p>
              </w:tc>
              <w:tc>
                <w:tcPr>
                  <w:tcW w:type="dxa" w:w="96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121</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3.0%</w:t>
                  </w:r>
                </w:p>
              </w:tc>
              <w:tc>
                <w:tcPr>
                  <w:tcW w:type="dxa" w:w="1474"/>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7</w:t>
                  </w:r>
                </w:p>
              </w:tc>
              <w:tc>
                <w:tcPr>
                  <w:tcW w:type="dxa" w:w="107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114</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7"/>
                    </w:rPr>
                    <w:t>68</w:t>
                  </w:r>
                </w:p>
              </w:tc>
            </w:tr>
          </w:tbl>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1" w:name="card_10"/>
            <w:pPr>
              <w:pStyle w:val="Heading2"/>
              <w:keepNext/>
              <w:keepLines/>
              <w:spacing w:before="0" w:after="60"/>
            </w:pPr>
            <w:r>
              <w:rPr>
                <w:rFonts w:ascii="Arial" w:hAnsi="Arial" w:cs="Arial" w:eastAsia="Arial"/>
                <w:b/>
                <w:i w:val="0"/>
                <w:color w:val="1F3F63"/>
                <w:sz w:val="23"/>
              </w:rPr>
              <w:t>Signal tags across the estate</w:t>
            </w:r>
            <w:bookmarkEnd w:id="1011"/>
          </w:p>
          <w:p>
            <w:pPr>
              <w:keepNext/>
              <w:keepLines/>
              <w:spacing w:before="40" w:after="40"/>
              <w:jc w:val="center"/>
            </w:pPr>
            <w:r>
              <w:drawing>
                <wp:inline xmlns:a="http://schemas.openxmlformats.org/drawingml/2006/main" xmlns:pic="http://schemas.openxmlformats.org/drawingml/2006/picture">
                  <wp:extent cx="5040000" cy="1861416"/>
                  <wp:docPr id="7" name="Picture 7"/>
                  <wp:cNvGraphicFramePr>
                    <a:graphicFrameLocks noChangeAspect="1"/>
                  </wp:cNvGraphicFramePr>
                  <a:graphic>
                    <a:graphicData uri="http://schemas.openxmlformats.org/drawingml/2006/picture">
                      <pic:pic>
                        <pic:nvPicPr>
                          <pic:cNvPr id="0" name="b5.png"/>
                          <pic:cNvPicPr/>
                        </pic:nvPicPr>
                        <pic:blipFill>
                          <a:blip r:embed="rId17"/>
                          <a:stretch>
                            <a:fillRect/>
                          </a:stretch>
                        </pic:blipFill>
                        <pic:spPr>
                          <a:xfrm>
                            <a:off x="0" y="0"/>
                            <a:ext cx="5040000" cy="1861416"/>
                          </a:xfrm>
                          <a:prstGeom prst="rect"/>
                        </pic:spPr>
                      </pic:pic>
                    </a:graphicData>
                  </a:graphic>
                </wp:inline>
              </w:drawing>
            </w:r>
          </w:p>
          <w:p>
            <w:pPr>
              <w:keepNext w:val="0"/>
              <w:keepLines/>
              <w:spacing w:before="60" w:after="0"/>
            </w:pPr>
            <w:r>
              <w:rPr>
                <w:rFonts w:ascii="Arial" w:hAnsi="Arial" w:cs="Arial" w:eastAsia="Arial"/>
                <w:b w:val="0"/>
                <w:i/>
                <w:color w:val="5B6B7B"/>
                <w:sz w:val="16"/>
              </w:rPr>
              <w:t>Mean signal tags per gambling site: 0.36. Signal tags record how a site operates or markets itself; they are never a subcategory.</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2" w:name="card_11"/>
            <w:pPr>
              <w:pStyle w:val="Heading2"/>
              <w:keepNext/>
              <w:keepLines/>
              <w:spacing w:before="0" w:after="60"/>
            </w:pPr>
            <w:r>
              <w:rPr>
                <w:rFonts w:ascii="Arial" w:hAnsi="Arial" w:cs="Arial" w:eastAsia="Arial"/>
                <w:b/>
                <w:i w:val="0"/>
                <w:color w:val="1F3F63"/>
                <w:sz w:val="23"/>
              </w:rPr>
              <w:t>Heat map — Keyword × subcategory</w:t>
            </w:r>
            <w:bookmarkEnd w:id="1012"/>
          </w:p>
          <w:p>
            <w:pPr>
              <w:keepNext/>
              <w:keepLines/>
              <w:spacing w:before="40" w:after="40"/>
              <w:jc w:val="center"/>
            </w:pPr>
            <w:r>
              <w:drawing>
                <wp:inline xmlns:a="http://schemas.openxmlformats.org/drawingml/2006/main" xmlns:pic="http://schemas.openxmlformats.org/drawingml/2006/picture">
                  <wp:extent cx="5040000" cy="6302254"/>
                  <wp:docPr id="8" name="Picture 8"/>
                  <wp:cNvGraphicFramePr>
                    <a:graphicFrameLocks noChangeAspect="1"/>
                  </wp:cNvGraphicFramePr>
                  <a:graphic>
                    <a:graphicData uri="http://schemas.openxmlformats.org/drawingml/2006/picture">
                      <pic:pic>
                        <pic:nvPicPr>
                          <pic:cNvPr id="0" name="b6.png"/>
                          <pic:cNvPicPr/>
                        </pic:nvPicPr>
                        <pic:blipFill>
                          <a:blip r:embed="rId18"/>
                          <a:stretch>
                            <a:fillRect/>
                          </a:stretch>
                        </pic:blipFill>
                        <pic:spPr>
                          <a:xfrm>
                            <a:off x="0" y="0"/>
                            <a:ext cx="5040000" cy="6302254"/>
                          </a:xfrm>
                          <a:prstGeom prst="rect"/>
                        </pic:spPr>
                      </pic:pic>
                    </a:graphicData>
                  </a:graphic>
                </wp:inline>
              </w:drawing>
            </w:r>
          </w:p>
          <w:p>
            <w:pPr>
              <w:keepNext w:val="0"/>
              <w:keepLines/>
              <w:spacing w:before="60" w:after="0"/>
            </w:pPr>
            <w:r>
              <w:rPr>
                <w:rFonts w:ascii="Arial" w:hAnsi="Arial" w:cs="Arial" w:eastAsia="Arial"/>
                <w:b w:val="0"/>
                <w:i/>
                <w:color w:val="5B6B7B"/>
                <w:sz w:val="16"/>
              </w:rPr>
              <w:t>Top 25 matched keywords. The coloured strip beside each keyword is its own Appendix A category (Football Betting · Slots · Casino · Lottery · Baccarat · General Gambling · Deposit &amp; Withdrawal · Marketing &amp; Acquisition · Affiliate &amp; Agent · Abbreviations), so cross-category bleed is visible. Zero cells are drawn empty, not pale.</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3" w:name="card_12"/>
            <w:pPr>
              <w:pStyle w:val="Heading2"/>
              <w:keepNext/>
              <w:keepLines/>
              <w:spacing w:before="0" w:after="60"/>
            </w:pPr>
            <w:r>
              <w:rPr>
                <w:rFonts w:ascii="Arial" w:hAnsi="Arial" w:cs="Arial" w:eastAsia="Arial"/>
                <w:b/>
                <w:i w:val="0"/>
                <w:color w:val="1F3F63"/>
                <w:sz w:val="23"/>
              </w:rPr>
              <w:t>Heat map — Signal tag × subcategory</w:t>
            </w:r>
            <w:bookmarkEnd w:id="1013"/>
          </w:p>
          <w:p>
            <w:pPr>
              <w:keepNext/>
              <w:keepLines/>
              <w:spacing w:before="40" w:after="40"/>
              <w:jc w:val="center"/>
            </w:pPr>
            <w:r>
              <w:drawing>
                <wp:inline xmlns:a="http://schemas.openxmlformats.org/drawingml/2006/main" xmlns:pic="http://schemas.openxmlformats.org/drawingml/2006/picture">
                  <wp:extent cx="5040000" cy="2042147"/>
                  <wp:docPr id="9" name="Picture 9"/>
                  <wp:cNvGraphicFramePr>
                    <a:graphicFrameLocks noChangeAspect="1"/>
                  </wp:cNvGraphicFramePr>
                  <a:graphic>
                    <a:graphicData uri="http://schemas.openxmlformats.org/drawingml/2006/picture">
                      <pic:pic>
                        <pic:nvPicPr>
                          <pic:cNvPr id="0" name="b7.png"/>
                          <pic:cNvPicPr/>
                        </pic:nvPicPr>
                        <pic:blipFill>
                          <a:blip r:embed="rId19"/>
                          <a:stretch>
                            <a:fillRect/>
                          </a:stretch>
                        </pic:blipFill>
                        <pic:spPr>
                          <a:xfrm>
                            <a:off x="0" y="0"/>
                            <a:ext cx="5040000" cy="2042147"/>
                          </a:xfrm>
                          <a:prstGeom prst="rect"/>
                        </pic:spPr>
                      </pic:pic>
                    </a:graphicData>
                  </a:graphic>
                </wp:inline>
              </w:drawing>
            </w:r>
          </w:p>
          <w:p>
            <w:pPr>
              <w:keepNext w:val="0"/>
              <w:keepLines/>
              <w:spacing w:before="60" w:after="0"/>
            </w:pPr>
            <w:r>
              <w:rPr>
                <w:rFonts w:ascii="Arial" w:hAnsi="Arial" w:cs="Arial" w:eastAsia="Arial"/>
                <w:b w:val="0"/>
                <w:i/>
                <w:color w:val="5B6B7B"/>
                <w:sz w:val="16"/>
              </w:rPr>
              <w:t>Which product types lean on promotional, payment or evasion language. Signal tags with no matches in this sample are not drawn.</w:t>
            </w:r>
          </w:p>
        </w:tc>
      </w:tr>
    </w:tbl>
    <w:p>
      <w:pPr>
        <w:spacing w:before="0" w:after="0" w:line="340" w:lineRule="exact"/>
      </w:pPr>
      <w:r>
        <w:rPr>
          <w:rFonts w:ascii="Arial" w:hAnsi="Arial" w:cs="Arial" w:eastAsia="Arial"/>
          <w:b w:val="0"/>
          <w:i w:val="0"/>
          <w:color w:val="1B2733"/>
          <w:sz w:val="2"/>
        </w:rPr>
      </w:r>
    </w:p>
    <w:p>
      <w:bookmarkStart w:id="1014" w:name="grp_13"/>
      <w:pPr>
        <w:pStyle w:val="Heading1"/>
        <w:keepNext/>
        <w:spacing w:before="80" w:after="60"/>
      </w:pPr>
      <w:r>
        <w:rPr>
          <w:rFonts w:ascii="Arial" w:hAnsi="Arial" w:cs="Arial" w:eastAsia="Arial"/>
          <w:b/>
          <w:i w:val="0"/>
          <w:color w:val="1F3F63"/>
          <w:sz w:val="25"/>
        </w:rPr>
        <w:t>Group C — Brands and clustering</w:t>
      </w:r>
      <w:bookmarkEnd w:id="1014"/>
    </w:p>
    <w:tbl>
      <w:tblPr>
        <w:tblW w:type="auto" w:w="0"/>
        <w:jc w:val="left"/>
        <w:tblLayout w:type="fixed"/>
        <w:tblLook w:firstColumn="1" w:firstRow="1" w:lastColumn="0" w:lastRow="0" w:noHBand="0" w:noVBand="1" w:val="04A0"/>
        <w:tblCellSpacing w:w="85" w:type="dxa"/>
        <w:tblLayout w:type="fixed"/>
        <w:tblW w:w="8221" w:type="dxa"/>
      </w:tblPr>
      <w:tblGrid>
        <w:gridCol w:w="2055"/>
        <w:gridCol w:w="2055"/>
        <w:gridCol w:w="2055"/>
        <w:gridCol w:w="2055"/>
      </w:tblGrid>
      <w:tr>
        <w:trPr>
          <w:cantSplit/>
        </w:trPr>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384</w:t>
            </w:r>
          </w:p>
          <w:p>
            <w:pPr>
              <w:keepNext w:val="0"/>
              <w:keepLines/>
              <w:spacing w:after="0"/>
              <w:jc w:val="center"/>
            </w:pPr>
            <w:r>
              <w:rPr>
                <w:rFonts w:ascii="Arial" w:hAnsi="Arial" w:cs="Arial" w:eastAsia="Arial"/>
                <w:b w:val="0"/>
                <w:i w:val="0"/>
                <w:color w:val="5B6B7B"/>
                <w:sz w:val="17"/>
              </w:rPr>
              <w:t>Distinct clusters</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286</w:t>
            </w:r>
          </w:p>
          <w:p>
            <w:pPr>
              <w:keepNext w:val="0"/>
              <w:keepLines/>
              <w:spacing w:after="0"/>
              <w:jc w:val="center"/>
            </w:pPr>
            <w:r>
              <w:rPr>
                <w:rFonts w:ascii="Arial" w:hAnsi="Arial" w:cs="Arial" w:eastAsia="Arial"/>
                <w:b w:val="0"/>
                <w:i w:val="0"/>
                <w:color w:val="5B6B7B"/>
                <w:sz w:val="17"/>
              </w:rPr>
              <w:t>Clusters with ≥ 2 URLs</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98</w:t>
            </w:r>
          </w:p>
          <w:p>
            <w:pPr>
              <w:keepNext w:val="0"/>
              <w:keepLines/>
              <w:spacing w:after="0"/>
              <w:jc w:val="center"/>
            </w:pPr>
            <w:r>
              <w:rPr>
                <w:rFonts w:ascii="Arial" w:hAnsi="Arial" w:cs="Arial" w:eastAsia="Arial"/>
                <w:b w:val="0"/>
                <w:i w:val="0"/>
                <w:color w:val="5B6B7B"/>
                <w:sz w:val="17"/>
              </w:rPr>
              <w:t>Singletons</w:t>
            </w:r>
          </w:p>
        </w:tc>
        <w:tc>
          <w:tcPr>
            <w:tcW w:type="dxa" w:w="2055"/>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29</w:t>
            </w:r>
          </w:p>
          <w:p>
            <w:pPr>
              <w:keepNext w:val="0"/>
              <w:keepLines/>
              <w:spacing w:after="0"/>
              <w:jc w:val="center"/>
            </w:pPr>
            <w:r>
              <w:rPr>
                <w:rFonts w:ascii="Arial" w:hAnsi="Arial" w:cs="Arial" w:eastAsia="Arial"/>
                <w:b w:val="0"/>
                <w:i w:val="0"/>
                <w:color w:val="5B6B7B"/>
                <w:sz w:val="17"/>
              </w:rPr>
              <w:t>Clusters covering half the estate</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5" w:name="card_14"/>
            <w:pPr>
              <w:pStyle w:val="Heading2"/>
              <w:keepNext/>
              <w:keepLines/>
              <w:spacing w:before="0" w:after="60"/>
            </w:pPr>
            <w:r>
              <w:rPr>
                <w:rFonts w:ascii="Arial" w:hAnsi="Arial" w:cs="Arial" w:eastAsia="Arial"/>
                <w:b/>
                <w:i w:val="0"/>
                <w:color w:val="1F3F63"/>
                <w:sz w:val="23"/>
              </w:rPr>
              <w:t>Top 15 brand clusters by URL count</w:t>
            </w:r>
            <w:bookmarkEnd w:id="1015"/>
          </w:p>
          <w:p>
            <w:pPr>
              <w:keepNext/>
              <w:keepLines/>
              <w:spacing w:before="40" w:after="40"/>
              <w:jc w:val="center"/>
            </w:pPr>
            <w:r>
              <w:drawing>
                <wp:inline xmlns:a="http://schemas.openxmlformats.org/drawingml/2006/main" xmlns:pic="http://schemas.openxmlformats.org/drawingml/2006/picture">
                  <wp:extent cx="5040000" cy="3880800"/>
                  <wp:docPr id="10" name="Picture 10"/>
                  <wp:cNvGraphicFramePr>
                    <a:graphicFrameLocks noChangeAspect="1"/>
                  </wp:cNvGraphicFramePr>
                  <a:graphic>
                    <a:graphicData uri="http://schemas.openxmlformats.org/drawingml/2006/picture">
                      <pic:pic>
                        <pic:nvPicPr>
                          <pic:cNvPr id="0" name="c2.png"/>
                          <pic:cNvPicPr/>
                        </pic:nvPicPr>
                        <pic:blipFill>
                          <a:blip r:embed="rId20"/>
                          <a:stretch>
                            <a:fillRect/>
                          </a:stretch>
                        </pic:blipFill>
                        <pic:spPr>
                          <a:xfrm>
                            <a:off x="0" y="0"/>
                            <a:ext cx="5040000" cy="3880800"/>
                          </a:xfrm>
                          <a:prstGeom prst="rect"/>
                        </pic:spPr>
                      </pic:pic>
                    </a:graphicData>
                  </a:graphic>
                </wp:inline>
              </w:drawing>
            </w:r>
          </w:p>
          <w:p>
            <w:pPr>
              <w:keepNext w:val="0"/>
              <w:keepLines/>
              <w:spacing w:before="60" w:after="0"/>
            </w:pPr>
            <w:r>
              <w:rPr>
                <w:rFonts w:ascii="Arial" w:hAnsi="Arial" w:cs="Arial" w:eastAsia="Arial"/>
                <w:b w:val="0"/>
                <w:i/>
                <w:color w:val="5B6B7B"/>
                <w:sz w:val="16"/>
              </w:rPr>
              <w:t>Cluster names are the shortest member stem. Top 5 clusters hold 22.0% of gambling URLs; top 10 hold 32.1%.</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6" w:name="card_15"/>
            <w:pPr>
              <w:pStyle w:val="Heading2"/>
              <w:keepNext/>
              <w:keepLines/>
              <w:spacing w:before="0" w:after="60"/>
            </w:pPr>
            <w:r>
              <w:rPr>
                <w:rFonts w:ascii="Arial" w:hAnsi="Arial" w:cs="Arial" w:eastAsia="Arial"/>
                <w:b/>
                <w:i w:val="0"/>
                <w:color w:val="1F3F63"/>
                <w:sz w:val="23"/>
              </w:rPr>
              <w:t>Cluster concentration</w:t>
            </w:r>
            <w:bookmarkEnd w:id="1016"/>
          </w:p>
          <w:p>
            <w:pPr>
              <w:keepNext/>
              <w:keepLines/>
              <w:spacing w:before="40" w:after="40"/>
              <w:jc w:val="center"/>
            </w:pPr>
            <w:r>
              <w:drawing>
                <wp:inline xmlns:a="http://schemas.openxmlformats.org/drawingml/2006/main" xmlns:pic="http://schemas.openxmlformats.org/drawingml/2006/picture">
                  <wp:extent cx="5040000" cy="2520000"/>
                  <wp:docPr id="11" name="Picture 11"/>
                  <wp:cNvGraphicFramePr>
                    <a:graphicFrameLocks noChangeAspect="1"/>
                  </wp:cNvGraphicFramePr>
                  <a:graphic>
                    <a:graphicData uri="http://schemas.openxmlformats.org/drawingml/2006/picture">
                      <pic:pic>
                        <pic:nvPicPr>
                          <pic:cNvPr id="0" name="c3.png"/>
                          <pic:cNvPicPr/>
                        </pic:nvPicPr>
                        <pic:blipFill>
                          <a:blip r:embed="rId21"/>
                          <a:stretch>
                            <a:fillRect/>
                          </a:stretch>
                        </pic:blipFill>
                        <pic:spPr>
                          <a:xfrm>
                            <a:off x="0" y="0"/>
                            <a:ext cx="5040000" cy="2520000"/>
                          </a:xfrm>
                          <a:prstGeom prst="rect"/>
                        </pic:spPr>
                      </pic:pic>
                    </a:graphicData>
                  </a:graphic>
                </wp:inline>
              </w:drawing>
            </w:r>
          </w:p>
          <w:p>
            <w:pPr>
              <w:keepNext w:val="0"/>
              <w:keepLines/>
              <w:spacing w:before="60" w:after="0"/>
            </w:pPr>
            <w:r>
              <w:rPr>
                <w:rFonts w:ascii="Arial" w:hAnsi="Arial" w:cs="Arial" w:eastAsia="Arial"/>
                <w:b w:val="0"/>
                <w:i/>
                <w:color w:val="5B6B7B"/>
                <w:sz w:val="16"/>
              </w:rPr>
              <w:t>29 clusters cover 50% of gambling URLs.</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7" w:name="card_16"/>
            <w:pPr>
              <w:pStyle w:val="Heading2"/>
              <w:keepNext/>
              <w:keepLines/>
              <w:spacing w:before="0" w:after="60"/>
            </w:pPr>
            <w:r>
              <w:rPr>
                <w:rFonts w:ascii="Arial" w:hAnsi="Arial" w:cs="Arial" w:eastAsia="Arial"/>
                <w:b/>
                <w:i w:val="0"/>
                <w:color w:val="1F3F63"/>
                <w:sz w:val="23"/>
              </w:rPr>
              <w:t>Heat map — Brand cluster × subcategory</w:t>
            </w:r>
            <w:bookmarkEnd w:id="1017"/>
          </w:p>
          <w:p>
            <w:pPr>
              <w:keepNext/>
              <w:keepLines/>
              <w:spacing w:before="40" w:after="40"/>
              <w:jc w:val="center"/>
            </w:pPr>
            <w:r>
              <w:drawing>
                <wp:inline xmlns:a="http://schemas.openxmlformats.org/drawingml/2006/main" xmlns:pic="http://schemas.openxmlformats.org/drawingml/2006/picture">
                  <wp:extent cx="5040000" cy="5197782"/>
                  <wp:docPr id="12" name="Picture 12"/>
                  <wp:cNvGraphicFramePr>
                    <a:graphicFrameLocks noChangeAspect="1"/>
                  </wp:cNvGraphicFramePr>
                  <a:graphic>
                    <a:graphicData uri="http://schemas.openxmlformats.org/drawingml/2006/picture">
                      <pic:pic>
                        <pic:nvPicPr>
                          <pic:cNvPr id="0" name="c4.png"/>
                          <pic:cNvPicPr/>
                        </pic:nvPicPr>
                        <pic:blipFill>
                          <a:blip r:embed="rId22"/>
                          <a:stretch>
                            <a:fillRect/>
                          </a:stretch>
                        </pic:blipFill>
                        <pic:spPr>
                          <a:xfrm>
                            <a:off x="0" y="0"/>
                            <a:ext cx="5040000" cy="5197782"/>
                          </a:xfrm>
                          <a:prstGeom prst="rect"/>
                        </pic:spPr>
                      </pic:pic>
                    </a:graphicData>
                  </a:graphic>
                </wp:inline>
              </w:drawing>
            </w:r>
          </w:p>
          <w:p>
            <w:pPr>
              <w:keepNext w:val="0"/>
              <w:keepLines/>
              <w:spacing w:before="60" w:after="0"/>
            </w:pPr>
            <w:r>
              <w:rPr>
                <w:rFonts w:ascii="Arial" w:hAnsi="Arial" w:cs="Arial" w:eastAsia="Arial"/>
                <w:b w:val="0"/>
                <w:i/>
                <w:color w:val="5B6B7B"/>
                <w:sz w:val="16"/>
              </w:rPr>
              <w:t>Top 20 clusters by URL count. A cluster spanning several columns is a multi-product operator.</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8" w:name="card_17"/>
            <w:pPr>
              <w:pStyle w:val="Heading2"/>
              <w:keepNext/>
              <w:keepLines/>
              <w:spacing w:before="0" w:after="60"/>
            </w:pPr>
            <w:r>
              <w:rPr>
                <w:rFonts w:ascii="Arial" w:hAnsi="Arial" w:cs="Arial" w:eastAsia="Arial"/>
                <w:b/>
                <w:i w:val="0"/>
                <w:color w:val="1F3F63"/>
                <w:sz w:val="23"/>
              </w:rPr>
              <w:t>Cluster expansion — gg88</w:t>
            </w:r>
            <w:bookmarkEnd w:id="1018"/>
          </w:p>
          <w:p>
            <w:pPr>
              <w:keepNext/>
              <w:keepLines/>
              <w:spacing w:before="40" w:after="40"/>
              <w:jc w:val="center"/>
            </w:pPr>
            <w:r>
              <w:drawing>
                <wp:inline xmlns:a="http://schemas.openxmlformats.org/drawingml/2006/main" xmlns:pic="http://schemas.openxmlformats.org/drawingml/2006/picture">
                  <wp:extent cx="5040000" cy="3209732"/>
                  <wp:docPr id="13" name="Picture 13"/>
                  <wp:cNvGraphicFramePr>
                    <a:graphicFrameLocks noChangeAspect="1"/>
                  </wp:cNvGraphicFramePr>
                  <a:graphic>
                    <a:graphicData uri="http://schemas.openxmlformats.org/drawingml/2006/picture">
                      <pic:pic>
                        <pic:nvPicPr>
                          <pic:cNvPr id="0" name="c5.png"/>
                          <pic:cNvPicPr/>
                        </pic:nvPicPr>
                        <pic:blipFill>
                          <a:blip r:embed="rId23"/>
                          <a:stretch>
                            <a:fillRect/>
                          </a:stretch>
                        </pic:blipFill>
                        <pic:spPr>
                          <a:xfrm>
                            <a:off x="0" y="0"/>
                            <a:ext cx="5040000" cy="3209732"/>
                          </a:xfrm>
                          <a:prstGeom prst="rect"/>
                        </pic:spPr>
                      </pic:pic>
                    </a:graphicData>
                  </a:graphic>
                </wp:inline>
              </w:drawing>
            </w:r>
          </w:p>
          <w:p>
            <w:pPr>
              <w:keepNext/>
              <w:keepLines/>
              <w:spacing w:after="80" w:line="293" w:lineRule="auto"/>
            </w:pPr>
            <w:r>
              <w:rPr>
                <w:rFonts w:ascii="Arial" w:hAnsi="Arial" w:cs="Arial" w:eastAsia="Arial"/>
                <w:b w:val="0"/>
                <w:i w:val="0"/>
                <w:color w:val="1B2733"/>
                <w:sz w:val="20"/>
              </w:rPr>
              <w:t>gg88 holds 295 domains across 20 top-level domains; the cluster was formed by similarity linkage.</w:t>
            </w:r>
          </w:p>
          <w:p>
            <w:pPr>
              <w:keepNext w:val="0"/>
              <w:keepLines/>
              <w:spacing w:before="60" w:after="0"/>
            </w:pPr>
            <w:r>
              <w:rPr>
                <w:rFonts w:ascii="Arial" w:hAnsi="Arial" w:cs="Arial" w:eastAsia="Arial"/>
                <w:b w:val="0"/>
                <w:i/>
                <w:color w:val="5B6B7B"/>
                <w:sz w:val="16"/>
              </w:rPr>
              <w:t>Diagram shows 22 of 295 member domains.</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9" w:name="card_18"/>
            <w:pPr>
              <w:pStyle w:val="Heading2"/>
              <w:keepNext/>
              <w:keepLines/>
              <w:spacing w:before="0" w:after="60"/>
            </w:pPr>
            <w:r>
              <w:rPr>
                <w:rFonts w:ascii="Arial" w:hAnsi="Arial" w:cs="Arial" w:eastAsia="Arial"/>
                <w:b/>
                <w:i w:val="0"/>
                <w:color w:val="1F3F63"/>
                <w:sz w:val="23"/>
              </w:rPr>
              <w:t>Clusters spanning multiple subcategories</w:t>
            </w:r>
            <w:bookmarkEnd w:id="1019"/>
          </w:p>
          <w:tbl>
            <w:tblPr>
              <w:tblW w:type="auto" w:w="0"/>
              <w:tblLayout w:type="fixed"/>
              <w:tblLook w:firstColumn="1" w:firstRow="1" w:lastColumn="0" w:lastRow="0" w:noHBand="0" w:noVBand="1" w:val="04A0"/>
              <w:tblLayout w:type="fixed"/>
              <w:tblW w:w="7711" w:type="dxa"/>
            </w:tblPr>
            <w:tblGrid>
              <w:gridCol w:w="1247"/>
              <w:gridCol w:w="680"/>
              <w:gridCol w:w="3628"/>
              <w:gridCol w:w="2154"/>
            </w:tblGrid>
            <w:tr>
              <w:trPr>
                <w:cantSplit/>
              </w:trPr>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Cluster</w:t>
                  </w:r>
                </w:p>
              </w:tc>
              <w:tc>
                <w:tcPr>
                  <w:tcW w:type="dxa" w:w="680"/>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6"/>
                    </w:rPr>
                    <w:t>URLs</w:t>
                  </w:r>
                </w:p>
              </w:tc>
              <w:tc>
                <w:tcPr>
                  <w:tcW w:type="dxa" w:w="3628"/>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Subcategories</w:t>
                  </w:r>
                </w:p>
              </w:tc>
              <w:tc>
                <w:tcPr>
                  <w:tcW w:type="dxa" w:w="215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Suffixes</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gg88</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295</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Football Betting (78), Casino (72), Slots (62) +4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.app, .bet, .casino, .cc +16</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173</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Lottery (121), General Gambling (19), Slots (18) +4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.app, .bet, .cash, .cc +16</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supporth</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163</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(68), General Gambling (39), Football Betting (27) +2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.cc, .com, .game +3</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loginh</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142</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 (48), Slots (40), Football Betting (27) +3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.cc, .game, .net +2</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accounth</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127</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 (47), Slots (39), Casino (21) +2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.cc, .com, .game +4</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verifyh</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111</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 (35), Slots (35), Football Betting (24) +1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.cc, .game, .net +1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securej</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99</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(35), General Gambling (26), Football Betting (19) +2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.cc, .game, .net +1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k03</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84</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 (59), Football Betting (23), Casino (1) +1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.cc, .net, .pro</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hay</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64</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(29), Casino (20), Football Betting (11) +1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.app, .bet, .cc, .click +5</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kk1</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57</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Slots (22), Football Betting (18), Casino (5) +3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.app, .bet, .cc, .click +9</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k11</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55</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(16), Football Betting (11), Playing card (11) +4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.1, .app, .cc, .click +12</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90ok</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53</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Casino (13), Football Betting (12), General Gambling (10) +4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.app, .bet, .buzz, .casino +17</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o8</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51</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(34), General Gambling (14), Playing card (2) +1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.casino, .click, .club +4</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s8s</w:t>
                  </w:r>
                </w:p>
              </w:tc>
              <w:tc>
                <w:tcPr>
                  <w:tcW w:type="dxa" w:w="68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51</w:t>
                  </w:r>
                </w:p>
              </w:tc>
              <w:tc>
                <w:tcPr>
                  <w:tcW w:type="dxa" w:w="362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 (29), Casino (11), Slots (9) +2 more</w:t>
                  </w:r>
                </w:p>
              </w:tc>
              <w:tc>
                <w:tcPr>
                  <w:tcW w:type="dxa" w:w="215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.com</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bohocasino</w:t>
                  </w:r>
                </w:p>
              </w:tc>
              <w:tc>
                <w:tcPr>
                  <w:tcW w:type="dxa" w:w="68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49</w:t>
                  </w:r>
                </w:p>
              </w:tc>
              <w:tc>
                <w:tcPr>
                  <w:tcW w:type="dxa" w:w="362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 (36), Casino (9), Lottery (2) +1 more</w:t>
                  </w:r>
                </w:p>
              </w:tc>
              <w:tc>
                <w:tcPr>
                  <w:tcW w:type="dxa" w:w="215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.app, .bet, .casino, .co +11</w:t>
                  </w:r>
                </w:p>
              </w:tc>
            </w:tr>
          </w:tbl>
          <w:p/>
          <w:p>
            <w:pPr>
              <w:keepNext w:val="0"/>
              <w:keepLines/>
              <w:spacing w:before="60" w:after="0"/>
            </w:pPr>
            <w:r>
              <w:rPr>
                <w:rFonts w:ascii="Arial" w:hAnsi="Arial" w:cs="Arial" w:eastAsia="Arial"/>
                <w:b w:val="0"/>
                <w:i/>
                <w:color w:val="5B6B7B"/>
                <w:sz w:val="16"/>
              </w:rPr>
              <w:t>232 clusters span two or more product subcategories; the 15 largest are shown.</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0" w:name="card_19"/>
            <w:pPr>
              <w:pStyle w:val="Heading2"/>
              <w:keepNext/>
              <w:keepLines/>
              <w:spacing w:before="0" w:after="60"/>
            </w:pPr>
            <w:r>
              <w:rPr>
                <w:rFonts w:ascii="Arial" w:hAnsi="Arial" w:cs="Arial" w:eastAsia="Arial"/>
                <w:b/>
                <w:i w:val="0"/>
                <w:color w:val="1F3F63"/>
                <w:sz w:val="23"/>
              </w:rPr>
              <w:t>Clusters rotating top-level domains</w:t>
            </w:r>
            <w:bookmarkEnd w:id="1020"/>
          </w:p>
          <w:tbl>
            <w:tblPr>
              <w:tblW w:type="auto" w:w="0"/>
              <w:tblLayout w:type="fixed"/>
              <w:tblLook w:firstColumn="1" w:firstRow="1" w:lastColumn="0" w:lastRow="0" w:noHBand="0" w:noVBand="1" w:val="04A0"/>
              <w:tblLayout w:type="fixed"/>
              <w:tblW w:w="7711" w:type="dxa"/>
            </w:tblPr>
            <w:tblGrid>
              <w:gridCol w:w="1247"/>
              <w:gridCol w:w="3175"/>
              <w:gridCol w:w="3288"/>
            </w:tblGrid>
            <w:tr>
              <w:trPr>
                <w:cantSplit/>
              </w:trPr>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Cluster</w:t>
                  </w:r>
                </w:p>
              </w:tc>
              <w:tc>
                <w:tcPr>
                  <w:tcW w:type="dxa" w:w="3175"/>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Suffixes</w:t>
                  </w:r>
                </w:p>
              </w:tc>
              <w:tc>
                <w:tcPr>
                  <w:tcW w:type="dxa" w:w="3288"/>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Counts</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gg88</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 .app, .pro, .bet, .com, .online +14</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.net×53, .app×48, .pro×46, .bet×36, .com×30, .online×17</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.com, .net, .live, .info, .bet, .cc +14</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.com×98, .net×12, .live×7, .info×7, .bet×7, .cc×6</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supporth</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 .cc, .game, .bet, .com, .icu +1</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.net×75, .cc×40, .game×31, .bet×13, .com×2, .icu×1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loginh</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.net, .cc, .vip, .game, .bet, .shop</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.net×60, .cc×48, .vip×14, .game×13, .bet×6, .shop×1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accounth</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 .cc, .game, .bet, .com, .xyz +2</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.net×61, .cc×41, .game×13, .bet×7, .com×2, .xyz×1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verifyh</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.net, .cc, .bet, .game, .shop</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.net×57, .cc×39, .bet×12, .game×2, .shop×1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securej</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 .cc, .bet, .game, .shop</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.net×48, .cc×34, .bet×11, .game×5, .shop×1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k03</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.cc, .net, .pro</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.cc×82, .net×1, .pro×1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hay</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 .bet, .click, .com, .fun, .app +3</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.net×52, .bet×4, .click×2, .com×1, .fun×1, .app×1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kk1</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.pro, .app, .me, .fun, .bet, .net +7</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.pro×12, .app×11, .me×9, .fun×5, .bet×4, .net×3</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k11</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.cc, .pro, .click, .app, .io, .xyz +10</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.cc×11, .pro×8, .click×7, .app×5, .io×5, .xyz×4</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90ok</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.club, .io, .click, .xyz, .bet, .casino +15</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.club×7, .io×5, .click×5, .xyz×4, .bet×4, .casino×3</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o8</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.game, .casino, .click, .club, .bet, .live +2</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.game×42, .casino×2, .click×2, .club×1, .bet×1, .live×1</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bohocasino</w:t>
                  </w:r>
                </w:p>
              </w:tc>
              <w:tc>
                <w:tcPr>
                  <w:tcW w:type="dxa" w:w="3175"/>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.com, .info, .co, .net, .fun, .top +9</w:t>
                  </w:r>
                </w:p>
              </w:tc>
              <w:tc>
                <w:tcPr>
                  <w:tcW w:type="dxa" w:w="3288"/>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.com×31, .info×3, .co×2, .net×2, .fun×1, .top×1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99ok</w:t>
                  </w:r>
                </w:p>
              </w:tc>
              <w:tc>
                <w:tcPr>
                  <w:tcW w:type="dxa" w:w="3175"/>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.vip, .club, .pro, .app, .co +12</w:t>
                  </w:r>
                </w:p>
              </w:tc>
              <w:tc>
                <w:tcPr>
                  <w:tcW w:type="dxa" w:w="3288"/>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.bet×15, .vip×3, .club×3, .pro×3, .app×3, .co×2</w:t>
                  </w:r>
                </w:p>
              </w:tc>
            </w:tr>
          </w:tbl>
          <w:p/>
          <w:p>
            <w:pPr>
              <w:keepNext w:val="0"/>
              <w:keepLines/>
              <w:spacing w:before="60" w:after="0"/>
            </w:pPr>
            <w:r>
              <w:rPr>
                <w:rFonts w:ascii="Arial" w:hAnsi="Arial" w:cs="Arial" w:eastAsia="Arial"/>
                <w:b w:val="0"/>
                <w:i/>
                <w:color w:val="5B6B7B"/>
                <w:sz w:val="16"/>
              </w:rPr>
              <w:t>214 clusters appear under more than one top-level domain; the 15 largest are shown.</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1" w:name="card_20"/>
            <w:pPr>
              <w:pStyle w:val="Heading2"/>
              <w:keepNext/>
              <w:keepLines/>
              <w:spacing w:before="0" w:after="60"/>
            </w:pPr>
            <w:r>
              <w:rPr>
                <w:rFonts w:ascii="Arial" w:hAnsi="Arial" w:cs="Arial" w:eastAsia="Arial"/>
                <w:b/>
                <w:i w:val="0"/>
                <w:color w:val="1F3F63"/>
                <w:sz w:val="23"/>
              </w:rPr>
              <w:t>Possible operator linkage</w:t>
            </w:r>
            <w:bookmarkEnd w:id="1021"/>
          </w:p>
          <w:p>
            <w:pPr>
              <w:keepNext/>
              <w:keepLines/>
              <w:spacing w:after="80"/>
            </w:pPr>
            <w:r>
              <w:rPr>
                <w:rFonts w:ascii="Arial" w:hAnsi="Arial" w:cs="Arial" w:eastAsia="Arial"/>
                <w:b w:val="0"/>
                <w:i/>
                <w:color w:val="5B6B7B"/>
                <w:sz w:val="17"/>
              </w:rPr>
              <w:t>Indicative — not a clustering decision</w:t>
            </w:r>
          </w:p>
          <w:tbl>
            <w:tblPr>
              <w:tblW w:type="auto" w:w="0"/>
              <w:tblLayout w:type="fixed"/>
              <w:tblLook w:firstColumn="1" w:firstRow="1" w:lastColumn="0" w:lastRow="0" w:noHBand="0" w:noVBand="1" w:val="04A0"/>
              <w:tblLayout w:type="fixed"/>
              <w:tblW w:w="7711" w:type="dxa"/>
            </w:tblPr>
            <w:tblGrid>
              <w:gridCol w:w="1247"/>
              <w:gridCol w:w="1247"/>
              <w:gridCol w:w="4309"/>
              <w:gridCol w:w="907"/>
            </w:tblGrid>
            <w:tr>
              <w:trPr>
                <w:cantSplit/>
              </w:trPr>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Cluster A</w:t>
                  </w:r>
                </w:p>
              </w:tc>
              <w:tc>
                <w:tcPr>
                  <w:tcW w:type="dxa" w:w="124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Cluster B</w:t>
                  </w:r>
                </w:p>
              </w:tc>
              <w:tc>
                <w:tcPr>
                  <w:tcW w:type="dxa" w:w="4309"/>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Shared signal keywords</w:t>
                  </w:r>
                </w:p>
              </w:tc>
              <w:tc>
                <w:tcPr>
                  <w:tcW w:type="dxa" w:w="907"/>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6"/>
                    </w:rPr>
                    <w:t>Jaccard</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7oo</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op11</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VIP, WALLET, WIN, Wallet +1</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1.00</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80p</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ko9</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PRAGMATIC, WALLET, WIN, Wallet +1</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0.67</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p77</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Affiliate, BET, PP, PRAGMATIC, VIP +1</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0.60</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7ok</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7oo</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VIP, WALLET, WIN, Wallet</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7ok</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op11</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VIP, WALLET, WIN, Wallet</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90ok</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k6</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Affiliate, BET, PRAGMATIC, VIP, WIN</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90ok</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m02</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PRAGMATIC, RTP, VIP, WIN</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k11</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p77</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PP, PRAGMATIC, VIP, WIN</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k6</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p77</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Affiliate, BET, PRAGMATIC, VIP, WIN</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0.83</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90ok</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p77</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Affiliate, BET, PRAGMATIC, VIP, WIN</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0.71</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7oo</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ko9</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WALLET, WIN, Wallet, สมัครสมาชิก</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0.62</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ko9</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op11</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WALLET, WIN, Wallet, สมัครสมาชิก</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0.62</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70k</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hagy</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WALLET, WIN, Wallet</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1.00</w:t>
                  </w:r>
                </w:p>
              </w:tc>
            </w:tr>
            <w:tr>
              <w:trPr>
                <w:cantSplit/>
              </w:trPr>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8ok</w:t>
                  </w:r>
                </w:p>
              </w:tc>
              <w:tc>
                <w:tcPr>
                  <w:tcW w:type="dxa" w:w="124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j10</w:t>
                  </w:r>
                </w:p>
              </w:tc>
              <w:tc>
                <w:tcPr>
                  <w:tcW w:type="dxa" w:w="4309"/>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BET, PRAGMATIC, VIP, WIN</w:t>
                  </w:r>
                </w:p>
              </w:tc>
              <w:tc>
                <w:tcPr>
                  <w:tcW w:type="dxa" w:w="907"/>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1.00</w:t>
                  </w:r>
                </w:p>
              </w:tc>
            </w:tr>
            <w:tr>
              <w:trPr>
                <w:cantSplit/>
              </w:trPr>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8ok</w:t>
                  </w:r>
                </w:p>
              </w:tc>
              <w:tc>
                <w:tcPr>
                  <w:tcW w:type="dxa" w:w="1247"/>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k20</w:t>
                  </w:r>
                </w:p>
              </w:tc>
              <w:tc>
                <w:tcPr>
                  <w:tcW w:type="dxa" w:w="4309"/>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BET, PRAGMATIC, VIP, WIN</w:t>
                  </w:r>
                </w:p>
              </w:tc>
              <w:tc>
                <w:tcPr>
                  <w:tcW w:type="dxa" w:w="907"/>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1.00</w:t>
                  </w:r>
                </w:p>
              </w:tc>
            </w:tr>
          </w:tbl>
          <w:p/>
          <w:p>
            <w:pPr>
              <w:keepNext w:val="0"/>
              <w:keepLines/>
              <w:spacing w:before="60" w:after="0"/>
            </w:pPr>
            <w:r>
              <w:rPr>
                <w:rFonts w:ascii="Arial" w:hAnsi="Arial" w:cs="Arial" w:eastAsia="Arial"/>
                <w:b w:val="0"/>
                <w:i/>
                <w:color w:val="5B6B7B"/>
                <w:sz w:val="16"/>
              </w:rPr>
              <w:t>2,796 cluster pairs share a signal-keyword fingerprint at Jaccard ≥ 0.60; the 15 with the largest shared sets are shown. Shared promotional vocabulary is common across unrelated operators using the same affiliate templates, so these are leads for an analyst, not merges.</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2" w:name="card_21"/>
            <w:pPr>
              <w:pStyle w:val="Heading2"/>
              <w:keepNext/>
              <w:keepLines/>
              <w:spacing w:before="0" w:after="60"/>
            </w:pPr>
            <w:r>
              <w:rPr>
                <w:rFonts w:ascii="Arial" w:hAnsi="Arial" w:cs="Arial" w:eastAsia="Arial"/>
                <w:b/>
                <w:i w:val="0"/>
                <w:color w:val="1F3F63"/>
                <w:sz w:val="23"/>
              </w:rPr>
              <w:t>Naming conventions</w:t>
            </w:r>
            <w:bookmarkEnd w:id="1022"/>
          </w:p>
          <w:p>
            <w:pPr>
              <w:keepNext/>
              <w:keepLines/>
              <w:spacing w:after="100" w:line="293" w:lineRule="auto"/>
            </w:pPr>
            <w:r>
              <w:rPr>
                <w:rFonts w:ascii="Arial" w:hAnsi="Arial" w:cs="Arial" w:eastAsia="Arial"/>
                <w:b w:val="0"/>
                <w:i w:val="0"/>
                <w:color w:val="1B2733"/>
                <w:sz w:val="19"/>
              </w:rPr>
              <w:t>•  Recurring tokens: “mobile” (292 names), “login” (265 names), “support” (264 names). The same handful of tokens recurs across unrelated brand clusters, which is evidence of a templated naming scheme rather than independently chosen names.</w:t>
            </w:r>
          </w:p>
          <w:p>
            <w:pPr>
              <w:keepNext/>
              <w:keepLines/>
              <w:spacing w:after="100" w:line="293" w:lineRule="auto"/>
            </w:pPr>
            <w:r>
              <w:rPr>
                <w:rFonts w:ascii="Arial" w:hAnsi="Arial" w:cs="Arial" w:eastAsia="Arial"/>
                <w:b w:val="0"/>
                <w:i w:val="0"/>
                <w:color w:val="1B2733"/>
                <w:sz w:val="19"/>
              </w:rPr>
              <w:t>•  TLD switching: .net (427), .cc (308), .com (219), .bet (106). Names in the largest clusters span more than one top-level domain, so the operator rotates top-level domains rather than registering within one.</w:t>
            </w:r>
          </w:p>
          <w:p>
            <w:pPr>
              <w:keepNext/>
              <w:keepLines/>
              <w:spacing w:after="100" w:line="293" w:lineRule="auto"/>
            </w:pPr>
            <w:r>
              <w:rPr>
                <w:rFonts w:ascii="Arial" w:hAnsi="Arial" w:cs="Arial" w:eastAsia="Arial"/>
                <w:b w:val="0"/>
                <w:i w:val="0"/>
                <w:color w:val="1B2733"/>
                <w:sz w:val="19"/>
              </w:rPr>
              <w:t>•  4,096 distinct domains across 384 brand clusters.</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CellSpacing w:w="85" w:type="dxa"/>
        <w:tblLayout w:type="fixed"/>
        <w:tblW w:w="8391" w:type="dxa"/>
      </w:tblPr>
      <w:tblGrid>
        <w:gridCol w:w="2797"/>
        <w:gridCol w:w="2797"/>
        <w:gridCol w:w="2797"/>
      </w:tblGrid>
      <w:tr>
        <w:trPr>
          <w:cantSplit/>
        </w:trPr>
        <w:tc>
          <w:tcPr>
            <w:tcW w:type="dxa" w:w="2797"/>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59</w:t>
            </w:r>
          </w:p>
          <w:p>
            <w:pPr>
              <w:keepNext w:val="0"/>
              <w:keepLines/>
              <w:spacing w:after="0"/>
              <w:jc w:val="center"/>
            </w:pPr>
            <w:r>
              <w:rPr>
                <w:rFonts w:ascii="Arial" w:hAnsi="Arial" w:cs="Arial" w:eastAsia="Arial"/>
                <w:b w:val="0"/>
                <w:i w:val="0"/>
                <w:color w:val="5B6B7B"/>
                <w:sz w:val="17"/>
              </w:rPr>
              <w:t>Direct — 1.4%</w:t>
            </w:r>
          </w:p>
        </w:tc>
        <w:tc>
          <w:tcPr>
            <w:tcW w:type="dxa" w:w="2797"/>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192</w:t>
            </w:r>
          </w:p>
          <w:p>
            <w:pPr>
              <w:keepNext w:val="0"/>
              <w:keepLines/>
              <w:spacing w:after="0"/>
              <w:jc w:val="center"/>
            </w:pPr>
            <w:r>
              <w:rPr>
                <w:rFonts w:ascii="Arial" w:hAnsi="Arial" w:cs="Arial" w:eastAsia="Arial"/>
                <w:b w:val="0"/>
                <w:i w:val="0"/>
                <w:color w:val="5B6B7B"/>
                <w:sz w:val="17"/>
              </w:rPr>
              <w:t>Redirect — 4.7%</w:t>
            </w:r>
          </w:p>
        </w:tc>
        <w:tc>
          <w:tcPr>
            <w:tcW w:type="dxa" w:w="2797"/>
            <w:tcBorders>
              <w:top w:val="single" w:sz="4" w:space="0" w:color="C9D2DB"/>
              <w:left w:val="single" w:sz="4" w:space="0" w:color="C9D2DB"/>
              <w:bottom w:val="single" w:sz="4" w:space="0" w:color="C9D2DB"/>
              <w:right w:val="single" w:sz="4" w:space="0" w:color="C9D2DB"/>
            </w:tcBorders>
            <w:tcMar>
              <w:top w:w="283" w:type="dxa"/>
              <w:start w:w="283" w:type="dxa"/>
              <w:bottom w:w="283" w:type="dxa"/>
              <w:end w:w="283" w:type="dxa"/>
            </w:tcMar>
          </w:tcPr>
          <w:p>
            <w:pPr>
              <w:keepNext/>
              <w:keepLines/>
              <w:spacing w:after="20"/>
              <w:jc w:val="center"/>
            </w:pPr>
            <w:r>
              <w:rPr>
                <w:rFonts w:ascii="Arial" w:hAnsi="Arial" w:cs="Arial" w:eastAsia="Arial"/>
                <w:b/>
                <w:i w:val="0"/>
                <w:color w:val="1F3F63"/>
                <w:sz w:val="38"/>
              </w:rPr>
              <w:t>3,845</w:t>
            </w:r>
          </w:p>
          <w:p>
            <w:pPr>
              <w:keepNext w:val="0"/>
              <w:keepLines/>
              <w:spacing w:after="0"/>
              <w:jc w:val="center"/>
            </w:pPr>
            <w:r>
              <w:rPr>
                <w:rFonts w:ascii="Arial" w:hAnsi="Arial" w:cs="Arial" w:eastAsia="Arial"/>
                <w:b w:val="0"/>
                <w:i w:val="0"/>
                <w:color w:val="5B6B7B"/>
                <w:sz w:val="17"/>
              </w:rPr>
              <w:t>Variant — 93.9%</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3" w:name="card_22"/>
            <w:pPr>
              <w:pStyle w:val="Heading2"/>
              <w:keepNext/>
              <w:keepLines/>
              <w:spacing w:before="0" w:after="60"/>
            </w:pPr>
            <w:r>
              <w:rPr>
                <w:rFonts w:ascii="Arial" w:hAnsi="Arial" w:cs="Arial" w:eastAsia="Arial"/>
                <w:b/>
                <w:i w:val="0"/>
                <w:color w:val="1F3F63"/>
                <w:sz w:val="23"/>
              </w:rPr>
              <w:t>Redirect propagation — lotto432e.com</w:t>
            </w:r>
            <w:bookmarkEnd w:id="1023"/>
          </w:p>
          <w:p>
            <w:pPr>
              <w:keepNext/>
              <w:keepLines/>
              <w:spacing w:before="40" w:after="40"/>
              <w:jc w:val="center"/>
            </w:pPr>
            <w:r>
              <w:drawing>
                <wp:inline xmlns:a="http://schemas.openxmlformats.org/drawingml/2006/main" xmlns:pic="http://schemas.openxmlformats.org/drawingml/2006/picture">
                  <wp:extent cx="5040000" cy="1704043"/>
                  <wp:docPr id="14" name="Picture 14"/>
                  <wp:cNvGraphicFramePr>
                    <a:graphicFrameLocks noChangeAspect="1"/>
                  </wp:cNvGraphicFramePr>
                  <a:graphic>
                    <a:graphicData uri="http://schemas.openxmlformats.org/drawingml/2006/picture">
                      <pic:pic>
                        <pic:nvPicPr>
                          <pic:cNvPr id="0" name="c11.png"/>
                          <pic:cNvPicPr/>
                        </pic:nvPicPr>
                        <pic:blipFill>
                          <a:blip r:embed="rId24"/>
                          <a:stretch>
                            <a:fillRect/>
                          </a:stretch>
                        </pic:blipFill>
                        <pic:spPr>
                          <a:xfrm>
                            <a:off x="0" y="0"/>
                            <a:ext cx="5040000" cy="1704043"/>
                          </a:xfrm>
                          <a:prstGeom prst="rect"/>
                        </pic:spPr>
                      </pic:pic>
                    </a:graphicData>
                  </a:graphic>
                </wp:inline>
              </w:drawing>
            </w:r>
          </w:p>
          <w:p>
            <w:pPr>
              <w:keepNext/>
              <w:keepLines/>
              <w:spacing w:after="80" w:line="293" w:lineRule="auto"/>
            </w:pPr>
            <w:r>
              <w:rPr>
                <w:rFonts w:ascii="Arial" w:hAnsi="Arial" w:cs="Arial" w:eastAsia="Arial"/>
                <w:b w:val="0"/>
                <w:i w:val="0"/>
                <w:color w:val="1B2733"/>
                <w:sz w:val="20"/>
              </w:rPr>
              <w:t>lotto432e.com is the busiest redirect source in the gambling set, reaching 5 distinct destination URLs.</w:t>
            </w:r>
          </w:p>
        </w:tc>
      </w:tr>
    </w:tbl>
    <w:p>
      <w:pPr>
        <w:spacing w:before="0" w:after="0" w:line="340" w:lineRule="exact"/>
      </w:pPr>
      <w:r>
        <w:rPr>
          <w:rFonts w:ascii="Arial" w:hAnsi="Arial" w:cs="Arial" w:eastAsia="Arial"/>
          <w:b w:val="0"/>
          <w:i w:val="0"/>
          <w:color w:val="1B2733"/>
          <w:sz w:val="2"/>
        </w:rPr>
      </w:r>
    </w:p>
    <w:p>
      <w:bookmarkStart w:id="1024" w:name="grp_23"/>
      <w:pPr>
        <w:pStyle w:val="Heading1"/>
        <w:keepNext/>
        <w:spacing w:before="80" w:after="60"/>
      </w:pPr>
      <w:r>
        <w:rPr>
          <w:rFonts w:ascii="Arial" w:hAnsi="Arial" w:cs="Arial" w:eastAsia="Arial"/>
          <w:b/>
          <w:i w:val="0"/>
          <w:color w:val="1F3F63"/>
          <w:sz w:val="25"/>
        </w:rPr>
        <w:t>Group D — Ranking</w:t>
      </w:r>
      <w:bookmarkEnd w:id="1024"/>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5" w:name="card_24"/>
            <w:pPr>
              <w:pStyle w:val="Heading2"/>
              <w:keepNext/>
              <w:keepLines/>
              <w:spacing w:before="0" w:after="60"/>
            </w:pPr>
            <w:r>
              <w:rPr>
                <w:rFonts w:ascii="Arial" w:hAnsi="Arial" w:cs="Arial" w:eastAsia="Arial"/>
                <w:b/>
                <w:i w:val="0"/>
                <w:color w:val="1F3F63"/>
                <w:sz w:val="23"/>
              </w:rPr>
              <w:t>Gambling ranking</w:t>
            </w:r>
            <w:bookmarkEnd w:id="1025"/>
          </w:p>
          <w:tbl>
            <w:tblPr>
              <w:tblW w:type="auto" w:w="0"/>
              <w:tblLayout w:type="fixed"/>
              <w:tblLook w:firstColumn="1" w:firstRow="1" w:lastColumn="0" w:lastRow="0" w:noHBand="0" w:noVBand="1" w:val="04A0"/>
              <w:tblLayout w:type="fixed"/>
              <w:tblW w:w="7938" w:type="dxa"/>
            </w:tblPr>
            <w:tblGrid>
              <w:gridCol w:w="850"/>
              <w:gridCol w:w="2551"/>
              <w:gridCol w:w="1304"/>
              <w:gridCol w:w="1871"/>
              <w:gridCol w:w="1360"/>
            </w:tblGrid>
            <w:tr>
              <w:trPr>
                <w:cantSplit/>
              </w:trPr>
              <w:tc>
                <w:tcPr>
                  <w:tcW w:type="dxa" w:w="850"/>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jc w:val="right"/>
                  </w:pPr>
                  <w:r>
                    <w:rPr>
                      <w:rFonts w:ascii="Arial" w:hAnsi="Arial" w:cs="Arial" w:eastAsia="Arial"/>
                      <w:b/>
                      <w:i w:val="0"/>
                      <w:color w:val="1F3F63"/>
                      <w:sz w:val="16"/>
                    </w:rPr>
                    <w:t>Rank</w:t>
                  </w:r>
                </w:p>
              </w:tc>
              <w:tc>
                <w:tcPr>
                  <w:tcW w:type="dxa" w:w="2551"/>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Domain</w:t>
                  </w:r>
                </w:p>
              </w:tc>
              <w:tc>
                <w:tcPr>
                  <w:tcW w:type="dxa" w:w="1304"/>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Cluster</w:t>
                  </w:r>
                </w:p>
              </w:tc>
              <w:tc>
                <w:tcPr>
                  <w:tcW w:type="dxa" w:w="1871"/>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Subcategory</w:t>
                  </w:r>
                </w:p>
              </w:tc>
              <w:tc>
                <w:tcPr>
                  <w:tcW w:type="dxa" w:w="1361"/>
                  <w:tcMar>
                    <w:top w:w="79" w:type="dxa"/>
                    <w:start w:w="90" w:type="dxa"/>
                    <w:bottom w:w="79" w:type="dxa"/>
                    <w:end w:w="90" w:type="dxa"/>
                  </w:tcMar>
                  <w:shd w:val="clear" w:color="auto" w:fill="F2F5F8"/>
                  <w:tcBorders>
                    <w:top w:val="single" w:sz="4" w:color="E4EAEF"/>
                    <w:bottom w:val="single" w:sz="4" w:color="E4EAEF"/>
                  </w:tcBorders>
                </w:tcPr>
                <w:p>
                  <w:pPr>
                    <w:keepNext/>
                    <w:keepLines/>
                    <w:spacing w:after="0"/>
                  </w:pPr>
                  <w:r>
                    <w:rPr>
                      <w:rFonts w:ascii="Arial" w:hAnsi="Arial" w:cs="Arial" w:eastAsia="Arial"/>
                      <w:b/>
                      <w:i w:val="0"/>
                      <w:color w:val="1F3F63"/>
                      <w:sz w:val="16"/>
                    </w:rPr>
                    <w:t>Source</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78,229</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lottovip.com</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Lottery</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Other</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90,304</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lottovip.bet</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Lottery</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93,266</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lottovip.info</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184,475</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fun88thf.com</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fun88hr</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Football Betting</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216,041</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lottovipp.com</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Lottery</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402,382</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ruay.com</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ruay</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Other</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517,141</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jun88.info</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jun</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517,141</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slavinaslot.top</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jun</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Redirect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547,370</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99ok.vip</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99ok</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Lottery</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558,790</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gg8830.com</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gg88</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595,712</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ruayy.com</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ruay</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706,458</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lotto432ad.com</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Lottery</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715,861</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k7.game</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k6</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727,399</w:t>
                  </w:r>
                </w:p>
              </w:tc>
              <w:tc>
                <w:tcPr>
                  <w:tcW w:type="dxa" w:w="255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gg8832.com</w:t>
                  </w:r>
                </w:p>
              </w:tc>
              <w:tc>
                <w:tcPr>
                  <w:tcW w:type="dxa" w:w="1304"/>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gg88</w:t>
                  </w:r>
                </w:p>
              </w:tc>
              <w:tc>
                <w:tcPr>
                  <w:tcW w:type="dxa" w:w="187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Slots</w:t>
                  </w:r>
                </w:p>
              </w:tc>
              <w:tc>
                <w:tcPr>
                  <w:tcW w:type="dxa" w:w="1361"/>
                  <w:tcMar>
                    <w:top w:w="68" w:type="dxa"/>
                    <w:start w:w="90" w:type="dxa"/>
                    <w:bottom w:w="68" w:type="dxa"/>
                    <w:end w:w="90" w:type="dxa"/>
                  </w:tcMar>
                  <w:shd w:val="clear" w:color="auto" w:fill="FAFBFC"/>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r>
              <w:trPr>
                <w:cantSplit/>
              </w:trPr>
              <w:tc>
                <w:tcPr>
                  <w:tcW w:type="dxa" w:w="850"/>
                  <w:tcMar>
                    <w:top w:w="68" w:type="dxa"/>
                    <w:start w:w="90" w:type="dxa"/>
                    <w:bottom w:w="68" w:type="dxa"/>
                    <w:end w:w="90" w:type="dxa"/>
                  </w:tcMar>
                  <w:tcBorders>
                    <w:top w:val="single" w:sz="4" w:color="E4EAEF"/>
                    <w:bottom w:val="single" w:sz="4" w:color="E4EAEF"/>
                  </w:tcBorders>
                </w:tcPr>
                <w:p>
                  <w:pPr>
                    <w:keepNext/>
                    <w:keepLines/>
                    <w:spacing w:after="0"/>
                    <w:jc w:val="right"/>
                  </w:pPr>
                  <w:r>
                    <w:rPr>
                      <w:rFonts w:ascii="Arial" w:hAnsi="Arial" w:cs="Arial" w:eastAsia="Arial"/>
                      <w:b w:val="0"/>
                      <w:i w:val="0"/>
                      <w:color w:val="1B2733"/>
                      <w:sz w:val="16"/>
                    </w:rPr>
                    <w:t>732,322</w:t>
                  </w:r>
                </w:p>
              </w:tc>
              <w:tc>
                <w:tcPr>
                  <w:tcW w:type="dxa" w:w="255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gg8843.com</w:t>
                  </w:r>
                </w:p>
              </w:tc>
              <w:tc>
                <w:tcPr>
                  <w:tcW w:type="dxa" w:w="1304"/>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gg88</w:t>
                  </w:r>
                </w:p>
              </w:tc>
              <w:tc>
                <w:tcPr>
                  <w:tcW w:type="dxa" w:w="187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General Gambling</w:t>
                  </w:r>
                </w:p>
              </w:tc>
              <w:tc>
                <w:tcPr>
                  <w:tcW w:type="dxa" w:w="1361"/>
                  <w:tcMar>
                    <w:top w:w="68" w:type="dxa"/>
                    <w:start w:w="90" w:type="dxa"/>
                    <w:bottom w:w="68" w:type="dxa"/>
                    <w:end w:w="90" w:type="dxa"/>
                  </w:tcMar>
                  <w:tcBorders>
                    <w:top w:val="single" w:sz="4" w:color="E4EAEF"/>
                    <w:bottom w:val="single" w:sz="4" w:color="E4EAEF"/>
                  </w:tcBorders>
                </w:tcPr>
                <w:p>
                  <w:pPr>
                    <w:keepNext/>
                    <w:keepLines/>
                    <w:spacing w:after="0"/>
                  </w:pPr>
                  <w:r>
                    <w:rPr>
                      <w:rFonts w:ascii="Arial" w:hAnsi="Arial" w:cs="Arial" w:eastAsia="Arial"/>
                      <w:b w:val="0"/>
                      <w:i w:val="0"/>
                      <w:color w:val="1B2733"/>
                      <w:sz w:val="16"/>
                    </w:rPr>
                    <w:t>Variant</w:t>
                  </w:r>
                </w:p>
              </w:tc>
            </w:tr>
          </w:tbl>
          <w:p/>
          <w:p>
            <w:pPr>
              <w:keepNext w:val="0"/>
              <w:keepLines/>
              <w:spacing w:before="60" w:after="0"/>
            </w:pPr>
            <w:r>
              <w:rPr>
                <w:rFonts w:ascii="Arial" w:hAnsi="Arial" w:cs="Arial" w:eastAsia="Arial"/>
                <w:b w:val="0"/>
                <w:i/>
                <w:color w:val="5B6B7B"/>
                <w:sz w:val="16"/>
              </w:rPr>
              <w:t>Gambling sites carrying a numeric rank, ascending; the 15 highest-ranked are shown. 106 of 4,096 gambling rows carry a rank.</w:t>
            </w:r>
          </w:p>
        </w:tc>
      </w:tr>
    </w:tbl>
    <w:p>
      <w:pPr>
        <w:spacing w:before="0" w:after="0" w:line="340" w:lineRule="exact"/>
      </w:pPr>
      <w:r>
        <w:rPr>
          <w:rFonts w:ascii="Arial" w:hAnsi="Arial" w:cs="Arial" w:eastAsia="Arial"/>
          <w:b w:val="0"/>
          <w:i w:val="0"/>
          <w:color w:val="1B2733"/>
          <w:sz w:val="2"/>
        </w:rPr>
      </w:r>
    </w:p>
    <w:p>
      <w:bookmarkStart w:id="1026" w:name="grp_25"/>
      <w:pPr>
        <w:pStyle w:val="Heading1"/>
        <w:keepNext/>
        <w:spacing w:before="80" w:after="60"/>
      </w:pPr>
      <w:r>
        <w:rPr>
          <w:rFonts w:ascii="Arial" w:hAnsi="Arial" w:cs="Arial" w:eastAsia="Arial"/>
          <w:b/>
          <w:i w:val="0"/>
          <w:color w:val="1F3F63"/>
          <w:sz w:val="25"/>
        </w:rPr>
        <w:t>Group E — Key insights</w:t>
      </w:r>
      <w:bookmarkEnd w:id="1026"/>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7" w:name="card_26"/>
            <w:pPr>
              <w:pStyle w:val="Heading2"/>
              <w:keepNext/>
              <w:keepLines/>
              <w:spacing w:before="0" w:after="60"/>
            </w:pPr>
            <w:r>
              <w:rPr>
                <w:rFonts w:ascii="Arial" w:hAnsi="Arial" w:cs="Arial" w:eastAsia="Arial"/>
                <w:b/>
                <w:i w:val="0"/>
                <w:color w:val="1F3F63"/>
                <w:sz w:val="23"/>
              </w:rPr>
              <w:t>Scale of the analysis</w:t>
            </w:r>
            <w:bookmarkEnd w:id="1027"/>
          </w:p>
          <w:p>
            <w:pPr>
              <w:keepNext/>
              <w:keepLines/>
              <w:spacing w:after="80" w:line="293" w:lineRule="auto"/>
            </w:pPr>
            <w:r>
              <w:rPr>
                <w:rFonts w:ascii="Arial" w:hAnsi="Arial" w:cs="Arial" w:eastAsia="Arial"/>
                <w:b w:val="0"/>
                <w:i w:val="0"/>
                <w:color w:val="1B2733"/>
                <w:sz w:val="20"/>
              </w:rPr>
              <w:t>11,560 distinct URLs were analysed over 23 days (2026-08-31 → 2026-09-22), of which 4,096 are gambling sites, 7,464 are not gambling and 0 were unreachable.</w:t>
            </w:r>
          </w:p>
          <w:p>
            <w:pPr>
              <w:keepNext w:val="0"/>
              <w:keepLines/>
              <w:spacing w:before="100" w:after="0"/>
              <w:ind w:left="170"/>
              <w:pBdr>
                <w:left w:val="single" w:sz="18" w:space="8" w:color="1F3F63"/>
              </w:pBdr>
            </w:pPr>
            <w:r>
              <w:rPr>
                <w:rFonts w:ascii="Arial" w:hAnsi="Arial" w:cs="Arial" w:eastAsia="Arial"/>
                <w:b/>
                <w:i w:val="0"/>
                <w:color w:val="1F3F63"/>
                <w:sz w:val="19"/>
              </w:rPr>
              <w:t>The sample is large enough to reason about patterns, not isolated cases.</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8" w:name="card_27"/>
            <w:pPr>
              <w:pStyle w:val="Heading2"/>
              <w:keepNext/>
              <w:keepLines/>
              <w:spacing w:before="0" w:after="60"/>
            </w:pPr>
            <w:r>
              <w:rPr>
                <w:rFonts w:ascii="Arial" w:hAnsi="Arial" w:cs="Arial" w:eastAsia="Arial"/>
                <w:b/>
                <w:i w:val="0"/>
                <w:color w:val="1F3F63"/>
                <w:sz w:val="23"/>
              </w:rPr>
              <w:t>What is being offered</w:t>
            </w:r>
            <w:bookmarkEnd w:id="1028"/>
          </w:p>
          <w:p>
            <w:pPr>
              <w:keepNext/>
              <w:keepLines/>
              <w:spacing w:after="80" w:line="293" w:lineRule="auto"/>
            </w:pPr>
            <w:r>
              <w:rPr>
                <w:rFonts w:ascii="Arial" w:hAnsi="Arial" w:cs="Arial" w:eastAsia="Arial"/>
                <w:b w:val="0"/>
                <w:i w:val="0"/>
                <w:color w:val="1B2733"/>
                <w:sz w:val="20"/>
              </w:rPr>
              <w:t>The three largest product subcategories are Slots (1,221, 29.8%), Football Betting (833, 20.3%), General Gambling (829, 20.2%). 20.2% of sites confirmed as gambling carry no evidenced product type and sit in General Gambling, and 97.2% of subcategory assignments were inferred from classifier reasoning rather than matched against the lexicon. 225 of the 286 lexicon keywords never matched a row in this sample.</w:t>
            </w:r>
          </w:p>
          <w:p>
            <w:pPr>
              <w:keepNext w:val="0"/>
              <w:keepLines/>
              <w:spacing w:before="100" w:after="0"/>
              <w:ind w:left="170"/>
              <w:pBdr>
                <w:left w:val="single" w:sz="18" w:space="8" w:color="1F3F63"/>
              </w:pBdr>
            </w:pPr>
            <w:r>
              <w:rPr>
                <w:rFonts w:ascii="Arial" w:hAnsi="Arial" w:cs="Arial" w:eastAsia="Arial"/>
                <w:b/>
                <w:i w:val="0"/>
                <w:color w:val="1F3F63"/>
                <w:sz w:val="19"/>
              </w:rPr>
              <w:t>Slots is the dominant product type, but at 29.8% of gambling rows the estate is spread across product types rather than concentrated in one.</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9" w:name="card_28"/>
            <w:pPr>
              <w:pStyle w:val="Heading2"/>
              <w:keepNext/>
              <w:keepLines/>
              <w:spacing w:before="0" w:after="60"/>
            </w:pPr>
            <w:r>
              <w:rPr>
                <w:rFonts w:ascii="Arial" w:hAnsi="Arial" w:cs="Arial" w:eastAsia="Arial"/>
                <w:b/>
                <w:i w:val="0"/>
                <w:color w:val="1F3F63"/>
                <w:sz w:val="23"/>
              </w:rPr>
              <w:t>Brand clustering</w:t>
            </w:r>
            <w:bookmarkEnd w:id="1029"/>
          </w:p>
          <w:p>
            <w:pPr>
              <w:keepNext/>
              <w:keepLines/>
              <w:spacing w:after="80" w:line="293" w:lineRule="auto"/>
            </w:pPr>
            <w:r>
              <w:rPr>
                <w:rFonts w:ascii="Arial" w:hAnsi="Arial" w:cs="Arial" w:eastAsia="Arial"/>
                <w:b w:val="0"/>
                <w:i w:val="0"/>
                <w:color w:val="1B2733"/>
                <w:sz w:val="20"/>
              </w:rPr>
              <w:t>384 brand clusters were identified across 4,096 gambling URLs. 286 of them hold more than one domain. 29 clusters cover half the estate. The largest, gg88, holds 295 domains across 7 product subcategories.</w:t>
            </w:r>
          </w:p>
          <w:p>
            <w:pPr>
              <w:keepNext w:val="0"/>
              <w:keepLines/>
              <w:spacing w:before="100" w:after="0"/>
              <w:ind w:left="170"/>
              <w:pBdr>
                <w:left w:val="single" w:sz="18" w:space="8" w:color="1F3F63"/>
              </w:pBdr>
            </w:pPr>
            <w:r>
              <w:rPr>
                <w:rFonts w:ascii="Arial" w:hAnsi="Arial" w:cs="Arial" w:eastAsia="Arial"/>
                <w:b/>
                <w:i w:val="0"/>
                <w:color w:val="1F3F63"/>
                <w:sz w:val="19"/>
              </w:rPr>
              <w:t>The estate is diffuse — 29 clusters are needed to cover half of it — so per-URL blocking will have limited leverage.</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0" w:name="card_29"/>
            <w:pPr>
              <w:pStyle w:val="Heading2"/>
              <w:keepNext/>
              <w:keepLines/>
              <w:spacing w:before="0" w:after="60"/>
            </w:pPr>
            <w:r>
              <w:rPr>
                <w:rFonts w:ascii="Arial" w:hAnsi="Arial" w:cs="Arial" w:eastAsia="Arial"/>
                <w:b/>
                <w:i w:val="0"/>
                <w:color w:val="1F3F63"/>
                <w:sz w:val="23"/>
              </w:rPr>
              <w:t>How the estate is grown and marketed</w:t>
            </w:r>
            <w:bookmarkEnd w:id="1030"/>
          </w:p>
          <w:p>
            <w:pPr>
              <w:keepNext/>
              <w:keepLines/>
              <w:spacing w:after="80" w:line="293" w:lineRule="auto"/>
            </w:pPr>
            <w:r>
              <w:rPr>
                <w:rFonts w:ascii="Arial" w:hAnsi="Arial" w:cs="Arial" w:eastAsia="Arial"/>
                <w:b w:val="0"/>
                <w:i w:val="0"/>
                <w:color w:val="1B2733"/>
                <w:sz w:val="20"/>
              </w:rPr>
              <w:t>3,845 gambling URLs were identified by the crawler as variants, 192 sit behind redirect chains and 59 were reached directly. The busiest redirect source is lotto432e.com with 5 destinations. 214 clusters appear under more than one top-level domain. The two most common signal tags are Abbreviations (30.6%) and Marketing &amp; Acquisition (3.0%).</w:t>
            </w:r>
          </w:p>
          <w:p>
            <w:pPr>
              <w:keepNext w:val="0"/>
              <w:keepLines/>
              <w:spacing w:before="100" w:after="0"/>
              <w:ind w:left="170"/>
              <w:pBdr>
                <w:left w:val="single" w:sz="18" w:space="8" w:color="1F3F63"/>
              </w:pBdr>
            </w:pPr>
            <w:r>
              <w:rPr>
                <w:rFonts w:ascii="Arial" w:hAnsi="Arial" w:cs="Arial" w:eastAsia="Arial"/>
                <w:b/>
                <w:i w:val="0"/>
                <w:color w:val="1F3F63"/>
                <w:sz w:val="19"/>
              </w:rPr>
              <w:t>Redirects and TLD rotation keep a stable entry point while the sites behind it are replaced.</w:t>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1" w:name="card_30"/>
            <w:pPr>
              <w:pStyle w:val="Heading2"/>
              <w:keepNext/>
              <w:keepLines/>
              <w:spacing w:before="0" w:after="60"/>
            </w:pPr>
            <w:r>
              <w:rPr>
                <w:rFonts w:ascii="Arial" w:hAnsi="Arial" w:cs="Arial" w:eastAsia="Arial"/>
                <w:b/>
                <w:i w:val="0"/>
                <w:color w:val="1F3F63"/>
                <w:sz w:val="23"/>
              </w:rPr>
              <w:t>Enforcement position</w:t>
            </w:r>
            <w:bookmarkEnd w:id="1031"/>
          </w:p>
          <w:p>
            <w:pPr>
              <w:keepNext/>
              <w:keepLines/>
              <w:spacing w:after="80" w:line="293" w:lineRule="auto"/>
            </w:pPr>
            <w:r>
              <w:rPr>
                <w:rFonts w:ascii="Arial" w:hAnsi="Arial" w:cs="Arial" w:eastAsia="Arial"/>
                <w:b w:val="0"/>
                <w:i w:val="0"/>
                <w:color w:val="1B2733"/>
                <w:sz w:val="20"/>
              </w:rPr>
              <w:t>1 page in this set already shows regulatory-blocking indicators — court orders, regulator notices or third-party block pages — in the classifier reasoning, 0.0% of the 11,560 URLs analysed.</w:t>
            </w:r>
          </w:p>
          <w:p>
            <w:pPr>
              <w:keepNext w:val="0"/>
              <w:keepLines/>
              <w:spacing w:before="100" w:after="0"/>
              <w:ind w:left="170"/>
              <w:pBdr>
                <w:left w:val="single" w:sz="18" w:space="8" w:color="1F3F63"/>
              </w:pBdr>
            </w:pPr>
            <w:r>
              <w:rPr>
                <w:rFonts w:ascii="Arial" w:hAnsi="Arial" w:cs="Arial" w:eastAsia="Arial"/>
                <w:b/>
                <w:i w:val="0"/>
                <w:color w:val="1F3F63"/>
                <w:sz w:val="19"/>
              </w:rPr>
              <w:t>At 0.0% the set is effectively pre-enforcement, and is a candidate for a first pass, prioritised by cluster rather than by URL.</w:t>
            </w:r>
          </w:p>
        </w:tc>
      </w:tr>
    </w:tbl>
    <w:p>
      <w:pPr>
        <w:spacing w:before="0" w:after="0" w:line="340" w:lineRule="exact"/>
      </w:pPr>
      <w:r>
        <w:rPr>
          <w:rFonts w:ascii="Arial" w:hAnsi="Arial" w:cs="Arial" w:eastAsia="Arial"/>
          <w:b w:val="0"/>
          <w:i w:val="0"/>
          <w:color w:val="1B2733"/>
          <w:sz w:val="2"/>
        </w:rPr>
      </w:r>
    </w:p>
    <w:p>
      <w:bookmarkStart w:id="1032" w:name="grp_31"/>
      <w:pPr>
        <w:pStyle w:val="Heading1"/>
        <w:keepNext/>
        <w:spacing w:before="80" w:after="60"/>
      </w:pPr>
      <w:r>
        <w:rPr>
          <w:rFonts w:ascii="Arial" w:hAnsi="Arial" w:cs="Arial" w:eastAsia="Arial"/>
          <w:b/>
          <w:i w:val="0"/>
          <w:color w:val="1F3F63"/>
          <w:sz w:val="25"/>
        </w:rPr>
        <w:t>Group M — Model Insights</w:t>
      </w:r>
      <w:bookmarkEnd w:id="1032"/>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3" w:name="card_32"/>
            <w:pPr>
              <w:pStyle w:val="Heading2"/>
              <w:keepNext/>
              <w:keepLines/>
              <w:spacing w:before="0" w:after="60"/>
            </w:pPr>
            <w:r>
              <w:rPr>
                <w:rFonts w:ascii="Arial" w:hAnsi="Arial" w:cs="Arial" w:eastAsia="Arial"/>
                <w:b/>
                <w:i w:val="0"/>
                <w:color w:val="1F3F63"/>
                <w:sz w:val="23"/>
              </w:rPr>
              <w:t>Introduction</w:t>
            </w:r>
            <w:bookmarkEnd w:id="1033"/>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4" w:name="card_33"/>
            <w:pPr>
              <w:pStyle w:val="Heading2"/>
              <w:keepNext/>
              <w:keepLines/>
              <w:spacing w:before="0" w:after="60"/>
            </w:pPr>
            <w:r>
              <w:rPr>
                <w:rFonts w:ascii="Arial" w:hAnsi="Arial" w:cs="Arial" w:eastAsia="Arial"/>
                <w:b/>
                <w:i w:val="0"/>
                <w:color w:val="1F3F63"/>
                <w:sz w:val="23"/>
              </w:rPr>
              <w:t>Insights</w:t>
            </w:r>
            <w:bookmarkEnd w:id="1034"/>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5" w:name="card_34"/>
            <w:pPr>
              <w:pStyle w:val="Heading2"/>
              <w:keepNext/>
              <w:keepLines/>
              <w:spacing w:before="0" w:after="60"/>
            </w:pPr>
            <w:r>
              <w:rPr>
                <w:rFonts w:ascii="Arial" w:hAnsi="Arial" w:cs="Arial" w:eastAsia="Arial"/>
                <w:b/>
                <w:i w:val="0"/>
                <w:color w:val="1F3F63"/>
                <w:sz w:val="23"/>
              </w:rPr>
              <w:t>Performance</w:t>
            </w:r>
            <w:bookmarkEnd w:id="1035"/>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p>
            <w:pPr>
              <w:keepNext/>
              <w:keepLines/>
              <w:spacing w:after="0" w:line="312" w:lineRule="auto"/>
            </w:pPr>
            <w:r>
              <w:rPr>
                <w:rFonts w:ascii="Arial" w:hAnsi="Arial" w:cs="Arial" w:eastAsia="Arial"/>
                <w:b w:val="0"/>
                <w:i w:val="0"/>
                <w:color w:val="1B2733"/>
                <w:sz w:val="20"/>
              </w:rPr>
            </w:r>
          </w:p>
        </w:tc>
      </w:tr>
    </w:tbl>
    <w:p>
      <w:pPr>
        <w:spacing w:before="0" w:after="0" w:line="340" w:lineRule="exact"/>
      </w:pPr>
      <w:r>
        <w:rPr>
          <w:rFonts w:ascii="Arial" w:hAnsi="Arial" w:cs="Arial" w:eastAsia="Arial"/>
          <w:b w:val="0"/>
          <w:i w:val="0"/>
          <w:color w:val="1B2733"/>
          <w:sz w:val="2"/>
        </w:rPr>
      </w:r>
    </w:p>
    <w:tbl>
      <w:tblPr>
        <w:tblW w:type="auto" w:w="0"/>
        <w:jc w:val="left"/>
        <w:tblLayout w:type="fixed"/>
        <w:tblLook w:firstColumn="1" w:firstRow="1" w:lastColumn="0" w:lastRow="0" w:noHBand="0" w:noVBand="1" w:val="04A0"/>
        <w:tblLayout w:type="fixed"/>
        <w:tblW w:w="9072" w:type="dxa"/>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36" w:name="card_35"/>
            <w:pPr>
              <w:pStyle w:val="Heading2"/>
              <w:keepNext/>
              <w:keepLines/>
              <w:spacing w:before="0" w:after="60"/>
            </w:pPr>
            <w:r>
              <w:rPr>
                <w:rFonts w:ascii="Arial" w:hAnsi="Arial" w:cs="Arial" w:eastAsia="Arial"/>
                <w:b/>
                <w:i w:val="0"/>
                <w:color w:val="1F3F63"/>
                <w:sz w:val="23"/>
              </w:rPr>
              <w:t>Methodology</w:t>
            </w:r>
            <w:bookmarkEnd w:id="1036"/>
          </w:p>
          <w:p>
            <w:pPr>
              <w:keepNext/>
              <w:keepLines/>
              <w:spacing w:after="80" w:line="293" w:lineRule="auto"/>
            </w:pPr>
            <w:r>
              <w:rPr>
                <w:rFonts w:ascii="Arial" w:hAnsi="Arial" w:cs="Arial" w:eastAsia="Arial"/>
                <w:b w:val="0"/>
                <w:i w:val="0"/>
                <w:color w:val="1B2733"/>
                <w:sz w:val="20"/>
              </w:rPr>
              <w:t>Inferred share: 97.2% of gambling rows. General Gambling share: 20.2% of gambling rows.</w:t>
            </w:r>
          </w:p>
          <w:p>
            <w:pPr>
              <w:keepNext/>
              <w:keepLines/>
              <w:spacing w:after="80" w:line="293" w:lineRule="auto"/>
            </w:pPr>
            <w:r>
              <w:rPr>
                <w:rFonts w:ascii="Arial" w:hAnsi="Arial" w:cs="Arial" w:eastAsia="Arial"/>
                <w:b/>
                <w:i w:val="0"/>
                <w:color w:val="1B2733"/>
                <w:sz w:val="20"/>
              </w:rPr>
              <w:t>The lexicon has poor coverage of this dataset: subcategory figures are indicative only. Most gambling rows carried no lexicon keyword and were placed by reading the classifier reasoning instead.</w:t>
            </w:r>
          </w:p>
          <w:p>
            <w:pPr>
              <w:keepNext/>
              <w:keepLines/>
              <w:spacing w:after="80" w:line="293" w:lineRule="auto"/>
            </w:pPr>
            <w:r>
              <w:rPr>
                <w:rFonts w:ascii="Arial" w:hAnsi="Arial" w:cs="Arial" w:eastAsia="Arial"/>
                <w:b w:val="0"/>
                <w:i w:val="0"/>
                <w:color w:val="1B2733"/>
                <w:sz w:val="20"/>
              </w:rPr>
              <w:t>Clustering thresholds: names reduced to a stem, then merged on Jaro–Winkler similarity ≥ 0.90 where one stem is a prefix of the other or the two differ only in trailing characters. Crawler-asserted seed linkage takes precedence over stem matching. Operator-linkage pairs are reported at Jaccard ≥ 0.60 of their signal-keyword sets and are never merged.</w:t>
            </w:r>
          </w:p>
        </w:tc>
      </w:tr>
    </w:tbl>
    <w:p>
      <w:pPr>
        <w:spacing w:before="0" w:after="0" w:line="340" w:lineRule="exact"/>
      </w:pPr>
      <w:r>
        <w:rPr>
          <w:rFonts w:ascii="Arial" w:hAnsi="Arial" w:cs="Arial" w:eastAsia="Arial"/>
          <w:b w:val="0"/>
          <w:i w:val="0"/>
          <w:color w:val="1B2733"/>
          <w:sz w:val="2"/>
        </w:rPr>
      </w:r>
    </w:p>
    <w:sectPr w:rsidR="00FC693F" w:rsidRPr="0006063C" w:rsidSect="00034616">
      <w:headerReference w:type="default" r:id="rId9"/>
      <w:footerReference w:type="default" r:id="rId10"/>
      <w:pgSz w:w="11906" w:h="16838"/>
      <w:pgMar w:top="1134"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B6B7B"/>
        <w:sz w:val="16"/>
      </w:rPr>
      <w:t xml:space="preserve">Page </w:t>
    </w:r>
    <w:fldSimple w:instr=" PAGE ">
      <w:r>
        <w:rPr>
          <w:sz w:val="16"/>
          <w:color w:val="5B6B7B"/>
          <w:rFonts w:ascii="Arial" w:hAnsi="Arial" w:cs="Arial"/>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val="0"/>
        <w:i w:val="0"/>
        <w:color w:val="5B6B7B"/>
        <w:sz w:val="16"/>
      </w:rPr>
      <w:t>Data Insights &amp; Patterns  ·  MDES Thailand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