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p>
    <w:p>
      <w:pPr>
        <w:spacing w:after="80" w:before="0"/>
      </w:pPr>
    </w:p>
    <w:p>
      <w:pPr>
        <w:spacing w:after="80" w:before="0"/>
      </w:pPr>
    </w:p>
    <w:p>
      <w:pPr>
        <w:spacing w:after="120" w:before="0"/>
      </w:pPr>
      <w:r>
        <w:rPr>
          <w:rFonts w:ascii="Arial" w:hAnsi="Arial" w:cs="Arial"/>
          <w:b/>
          <w:i w:val="0"/>
          <w:color w:val="1F3F63"/>
          <w:sz w:val="60"/>
        </w:rPr>
        <w:t>Data Insights &amp; Patterns</w:t>
      </w:r>
    </w:p>
    <w:p>
      <w:pPr>
        <w:spacing w:after="600" w:before="0"/>
      </w:pPr>
      <w:r>
        <w:rPr>
          <w:rFonts w:ascii="Arial" w:hAnsi="Arial" w:cs="Arial"/>
          <w:b w:val="0"/>
          <w:i w:val="0"/>
          <w:color w:val="555F6B"/>
          <w:sz w:val="26"/>
        </w:rPr>
        <w:t>31,798 URLs · 31 Aug – 28 Sep 2026</w:t>
      </w:r>
    </w:p>
    <w:p>
      <w:pPr>
        <w:spacing w:after="140"/>
      </w:pPr>
      <w:r>
        <w:rPr>
          <w:rFonts w:ascii="Arial" w:hAnsi="Arial" w:cs="Arial"/>
          <w:b w:val="0"/>
          <w:i w:val="0"/>
          <w:color w:val="555F6B"/>
          <w:sz w:val="16"/>
        </w:rPr>
        <w:t xml:space="preserve">Issued to   </w:t>
      </w:r>
      <w:r>
        <w:rPr>
          <w:rFonts w:ascii="Arial" w:hAnsi="Arial" w:cs="Arial"/>
          <w:b/>
          <w:i w:val="0"/>
          <w:color w:val="1B1B1B"/>
          <w:sz w:val="21"/>
        </w:rPr>
        <w:t>Ministry of Digital Economy and Society, Thailand</w:t>
      </w:r>
    </w:p>
    <w:p>
      <w:pPr>
        <w:spacing w:after="140"/>
      </w:pPr>
      <w:r>
        <w:rPr>
          <w:rFonts w:ascii="Arial" w:hAnsi="Arial" w:cs="Arial"/>
          <w:b w:val="0"/>
          <w:i w:val="0"/>
          <w:color w:val="555F6B"/>
          <w:sz w:val="16"/>
        </w:rPr>
        <w:t xml:space="preserve">Prepared by   </w:t>
      </w:r>
      <w:r>
        <w:rPr>
          <w:rFonts w:ascii="Arial" w:hAnsi="Arial" w:cs="Arial"/>
          <w:b/>
          <w:i w:val="0"/>
          <w:color w:val="1B1B1B"/>
          <w:sz w:val="21"/>
        </w:rPr>
        <w:t>SICPA SA</w:t>
      </w:r>
    </w:p>
    <w:p>
      <w:pPr>
        <w:spacing w:after="140"/>
      </w:pPr>
      <w:r>
        <w:rPr>
          <w:rFonts w:ascii="Arial" w:hAnsi="Arial" w:cs="Arial"/>
          <w:b w:val="0"/>
          <w:i w:val="0"/>
          <w:color w:val="555F6B"/>
          <w:sz w:val="16"/>
        </w:rPr>
        <w:t xml:space="preserve">Date of issue   </w:t>
      </w:r>
      <w:r>
        <w:rPr>
          <w:rFonts w:ascii="Arial" w:hAnsi="Arial" w:cs="Arial"/>
          <w:b/>
          <w:i w:val="0"/>
          <w:color w:val="1B1B1B"/>
          <w:sz w:val="21"/>
        </w:rPr>
        <w:t>28/09/2026</w:t>
      </w:r>
    </w:p>
    <w:p>
      <w:pPr>
        <w:spacing w:after="140"/>
      </w:pPr>
      <w:r>
        <w:rPr>
          <w:rFonts w:ascii="Arial" w:hAnsi="Arial" w:cs="Arial"/>
          <w:b w:val="0"/>
          <w:i w:val="0"/>
          <w:color w:val="555F6B"/>
          <w:sz w:val="16"/>
        </w:rPr>
        <w:t xml:space="preserve">Source system   </w:t>
      </w:r>
      <w:r>
        <w:rPr>
          <w:rFonts w:ascii="Arial" w:hAnsi="Arial" w:cs="Arial"/>
          <w:b/>
          <w:i w:val="0"/>
          <w:color w:val="1B1B1B"/>
          <w:sz w:val="21"/>
        </w:rPr>
        <w:t>SICPADetect · lexicon Gambling_Keywords_Full_English_Categories_V1.xlsx (V1)</w:t>
      </w:r>
    </w:p>
    <w:p>
      <w:r>
        <w:br w:type="page"/>
      </w: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1" w:name="card0"/>
            <w:pPr>
              <w:keepNext/>
              <w:spacing w:after="100"/>
            </w:pPr>
            <w:r/>
            <w:r>
              <w:rPr>
                <w:rFonts w:ascii="Arial" w:hAnsi="Arial" w:cs="Arial"/>
                <w:b/>
                <w:i w:val="0"/>
                <w:color w:val="1F3F63"/>
                <w:sz w:val="25"/>
              </w:rPr>
              <w:t>Contents</w:t>
            </w:r>
            <w:bookmarkEnd w:id="101"/>
          </w:p>
          <w:p>
            <w:pPr>
              <w:spacing w:after="40"/>
              <w:ind w:left="340"/>
            </w:pPr>
            <w:hyperlink w:anchor="card1">
              <w:r>
                <w:rPr>
                  <w:rFonts w:ascii="Arial" w:hAnsi="Arial"/>
                  <w:color w:val="1F3F63"/>
                  <w:u w:val="single"/>
                  <w:sz w:val="19"/>
                </w:rPr>
                <w:t xml:space="preserve">Executive summary</w:t>
              </w:r>
            </w:hyperlink>
          </w:p>
          <w:p>
            <w:pPr>
              <w:spacing w:after="40"/>
            </w:pPr>
            <w:r>
              <w:rPr>
                <w:rFonts w:ascii="Arial" w:hAnsi="Arial" w:cs="Arial"/>
                <w:b w:val="0"/>
                <w:i w:val="0"/>
                <w:color w:val="1B1B1B"/>
                <w:sz w:val="19"/>
              </w:rPr>
            </w:r>
            <w:hyperlink w:anchor="grpA">
              <w:r>
                <w:rPr>
                  <w:rFonts w:ascii="Arial" w:hAnsi="Arial"/>
                  <w:color w:val="1F3F63"/>
                  <w:u w:val="single"/>
                  <w:sz w:val="20"/>
                </w:rPr>
                <w:t xml:space="preserve">Group A — Model insights</w:t>
              </w:r>
            </w:hyperlink>
          </w:p>
          <w:p>
            <w:pPr>
              <w:spacing w:after="40"/>
              <w:ind w:left="340"/>
            </w:pPr>
            <w:hyperlink w:anchor="a1">
              <w:r>
                <w:rPr>
                  <w:rFonts w:ascii="Arial" w:hAnsi="Arial"/>
                  <w:color w:val="1F3F63"/>
                  <w:u w:val="single"/>
                  <w:sz w:val="19"/>
                </w:rPr>
                <w:t xml:space="preserve">Introduction</w:t>
              </w:r>
            </w:hyperlink>
          </w:p>
          <w:p>
            <w:pPr>
              <w:spacing w:after="40"/>
              <w:ind w:left="340"/>
            </w:pPr>
            <w:hyperlink w:anchor="a2">
              <w:r>
                <w:rPr>
                  <w:rFonts w:ascii="Arial" w:hAnsi="Arial"/>
                  <w:color w:val="1F3F63"/>
                  <w:u w:val="single"/>
                  <w:sz w:val="19"/>
                </w:rPr>
                <w:t xml:space="preserve">Insights</w:t>
              </w:r>
            </w:hyperlink>
          </w:p>
          <w:p>
            <w:pPr>
              <w:spacing w:after="40"/>
              <w:ind w:left="340"/>
            </w:pPr>
            <w:hyperlink w:anchor="a3">
              <w:r>
                <w:rPr>
                  <w:rFonts w:ascii="Arial" w:hAnsi="Arial"/>
                  <w:color w:val="1F3F63"/>
                  <w:u w:val="single"/>
                  <w:sz w:val="19"/>
                </w:rPr>
                <w:t xml:space="preserve">Performance</w:t>
              </w:r>
            </w:hyperlink>
          </w:p>
          <w:p>
            <w:pPr>
              <w:spacing w:after="40"/>
            </w:pPr>
            <w:r>
              <w:rPr>
                <w:rFonts w:ascii="Arial" w:hAnsi="Arial" w:cs="Arial"/>
                <w:b w:val="0"/>
                <w:i w:val="0"/>
                <w:color w:val="1B1B1B"/>
                <w:sz w:val="19"/>
              </w:rPr>
            </w:r>
            <w:hyperlink w:anchor="grpB">
              <w:r>
                <w:rPr>
                  <w:rFonts w:ascii="Arial" w:hAnsi="Arial"/>
                  <w:color w:val="1F3F63"/>
                  <w:u w:val="single"/>
                  <w:sz w:val="20"/>
                </w:rPr>
                <w:t xml:space="preserve">Group B — Most prominent gambling sites in Thailand</w:t>
              </w:r>
            </w:hyperlink>
          </w:p>
          <w:p>
            <w:pPr>
              <w:spacing w:after="40"/>
              <w:ind w:left="340"/>
            </w:pPr>
            <w:hyperlink w:anchor="b1">
              <w:r>
                <w:rPr>
                  <w:rFonts w:ascii="Arial" w:hAnsi="Arial"/>
                  <w:color w:val="1F3F63"/>
                  <w:u w:val="single"/>
                  <w:sz w:val="19"/>
                </w:rPr>
                <w:t xml:space="preserve">10 most prominent gambling sites in Thailand</w:t>
              </w:r>
            </w:hyperlink>
          </w:p>
          <w:p>
            <w:pPr>
              <w:spacing w:after="40"/>
            </w:pPr>
            <w:r>
              <w:rPr>
                <w:rFonts w:ascii="Arial" w:hAnsi="Arial" w:cs="Arial"/>
                <w:b w:val="0"/>
                <w:i w:val="0"/>
                <w:color w:val="1B1B1B"/>
                <w:sz w:val="19"/>
              </w:rPr>
            </w:r>
            <w:hyperlink w:anchor="grpC">
              <w:r>
                <w:rPr>
                  <w:rFonts w:ascii="Arial" w:hAnsi="Arial"/>
                  <w:color w:val="1F3F63"/>
                  <w:u w:val="single"/>
                  <w:sz w:val="20"/>
                </w:rPr>
                <w:t xml:space="preserve">Group C — The numbers</w:t>
              </w:r>
            </w:hyperlink>
          </w:p>
          <w:p>
            <w:pPr>
              <w:spacing w:after="40"/>
              <w:ind w:left="340"/>
            </w:pPr>
            <w:hyperlink w:anchor="c1">
              <w:r>
                <w:rPr>
                  <w:rFonts w:ascii="Arial" w:hAnsi="Arial"/>
                  <w:color w:val="1F3F63"/>
                  <w:u w:val="single"/>
                  <w:sz w:val="19"/>
                </w:rPr>
                <w:t xml:space="preserve">The numbers at a glance</w:t>
              </w:r>
            </w:hyperlink>
          </w:p>
          <w:p>
            <w:pPr>
              <w:spacing w:after="40"/>
              <w:ind w:left="340"/>
            </w:pPr>
            <w:hyperlink w:anchor="c2">
              <w:r>
                <w:rPr>
                  <w:rFonts w:ascii="Arial" w:hAnsi="Arial"/>
                  <w:color w:val="1F3F63"/>
                  <w:u w:val="single"/>
                  <w:sz w:val="19"/>
                </w:rPr>
                <w:t xml:space="preserve">URLs analysed per day</w:t>
              </w:r>
            </w:hyperlink>
          </w:p>
          <w:p>
            <w:pPr>
              <w:spacing w:after="40"/>
              <w:ind w:left="340"/>
            </w:pPr>
            <w:hyperlink w:anchor="c3">
              <w:r>
                <w:rPr>
                  <w:rFonts w:ascii="Arial" w:hAnsi="Arial"/>
                  <w:color w:val="1F3F63"/>
                  <w:u w:val="single"/>
                  <w:sz w:val="19"/>
                </w:rPr>
                <w:t xml:space="preserve">Status distribution</w:t>
              </w:r>
            </w:hyperlink>
          </w:p>
          <w:p>
            <w:pPr>
              <w:spacing w:after="40"/>
              <w:ind w:left="340"/>
            </w:pPr>
            <w:hyperlink w:anchor="c4">
              <w:r>
                <w:rPr>
                  <w:rFonts w:ascii="Arial" w:hAnsi="Arial"/>
                  <w:color w:val="1F3F63"/>
                  <w:u w:val="single"/>
                  <w:sz w:val="19"/>
                </w:rPr>
                <w:t xml:space="preserve">Top 10 URL suffixes</w:t>
              </w:r>
            </w:hyperlink>
          </w:p>
          <w:p>
            <w:pPr>
              <w:spacing w:after="40"/>
            </w:pPr>
            <w:r>
              <w:rPr>
                <w:rFonts w:ascii="Arial" w:hAnsi="Arial" w:cs="Arial"/>
                <w:b w:val="0"/>
                <w:i w:val="0"/>
                <w:color w:val="1B1B1B"/>
                <w:sz w:val="19"/>
              </w:rPr>
            </w:r>
            <w:hyperlink w:anchor="grpD">
              <w:r>
                <w:rPr>
                  <w:rFonts w:ascii="Arial" w:hAnsi="Arial"/>
                  <w:color w:val="1F3F63"/>
                  <w:u w:val="single"/>
                  <w:sz w:val="20"/>
                </w:rPr>
                <w:t xml:space="preserve">Group D — Subcategories</w:t>
              </w:r>
            </w:hyperlink>
          </w:p>
          <w:p>
            <w:pPr>
              <w:spacing w:after="40"/>
              <w:ind w:left="340"/>
            </w:pPr>
            <w:hyperlink w:anchor="d1">
              <w:r>
                <w:rPr>
                  <w:rFonts w:ascii="Arial" w:hAnsi="Arial"/>
                  <w:color w:val="1F3F63"/>
                  <w:u w:val="single"/>
                  <w:sz w:val="19"/>
                </w:rPr>
                <w:t xml:space="preserve">Gambling sites by product subcategory</w:t>
              </w:r>
            </w:hyperlink>
          </w:p>
          <w:p>
            <w:pPr>
              <w:spacing w:after="40"/>
              <w:ind w:left="340"/>
            </w:pPr>
            <w:hyperlink w:anchor="d2">
              <w:r>
                <w:rPr>
                  <w:rFonts w:ascii="Arial" w:hAnsi="Arial"/>
                  <w:color w:val="1F3F63"/>
                  <w:u w:val="single"/>
                  <w:sz w:val="19"/>
                </w:rPr>
                <w:t xml:space="preserve">Assignment method by subcategory</w:t>
              </w:r>
            </w:hyperlink>
          </w:p>
          <w:p>
            <w:pPr>
              <w:spacing w:after="40"/>
              <w:ind w:left="340"/>
            </w:pPr>
            <w:hyperlink w:anchor="d3">
              <w:r>
                <w:rPr>
                  <w:rFonts w:ascii="Arial" w:hAnsi="Arial"/>
                  <w:color w:val="1F3F63"/>
                  <w:u w:val="single"/>
                  <w:sz w:val="19"/>
                </w:rPr>
                <w:t xml:space="preserve">Subcategory table</w:t>
              </w:r>
            </w:hyperlink>
          </w:p>
          <w:p>
            <w:pPr>
              <w:spacing w:after="40"/>
              <w:ind w:left="340"/>
            </w:pPr>
            <w:hyperlink w:anchor="d4">
              <w:r>
                <w:rPr>
                  <w:rFonts w:ascii="Arial" w:hAnsi="Arial"/>
                  <w:color w:val="1F3F63"/>
                  <w:u w:val="single"/>
                  <w:sz w:val="19"/>
                </w:rPr>
                <w:t xml:space="preserve">Heat map — keyword by subcategory</w:t>
              </w:r>
            </w:hyperlink>
          </w:p>
          <w:p>
            <w:pPr>
              <w:spacing w:after="40"/>
              <w:ind w:left="340"/>
            </w:pPr>
            <w:hyperlink w:anchor="d5">
              <w:r>
                <w:rPr>
                  <w:rFonts w:ascii="Arial" w:hAnsi="Arial"/>
                  <w:color w:val="1F3F63"/>
                  <w:u w:val="single"/>
                  <w:sz w:val="19"/>
                </w:rPr>
                <w:t xml:space="preserve">Heat map — signal tag by subcategory</w:t>
              </w:r>
            </w:hyperlink>
          </w:p>
          <w:p>
            <w:pPr>
              <w:spacing w:after="40"/>
            </w:pPr>
            <w:r>
              <w:rPr>
                <w:rFonts w:ascii="Arial" w:hAnsi="Arial" w:cs="Arial"/>
                <w:b w:val="0"/>
                <w:i w:val="0"/>
                <w:color w:val="1B1B1B"/>
                <w:sz w:val="19"/>
              </w:rPr>
            </w:r>
            <w:hyperlink w:anchor="grpE">
              <w:r>
                <w:rPr>
                  <w:rFonts w:ascii="Arial" w:hAnsi="Arial"/>
                  <w:color w:val="1F3F63"/>
                  <w:u w:val="single"/>
                  <w:sz w:val="20"/>
                </w:rPr>
                <w:t xml:space="preserve">Group E — Brands and clustering</w:t>
              </w:r>
            </w:hyperlink>
          </w:p>
          <w:p>
            <w:pPr>
              <w:spacing w:after="40"/>
              <w:ind w:left="340"/>
            </w:pPr>
            <w:hyperlink w:anchor="e1">
              <w:r>
                <w:rPr>
                  <w:rFonts w:ascii="Arial" w:hAnsi="Arial"/>
                  <w:color w:val="1F3F63"/>
                  <w:u w:val="single"/>
                  <w:sz w:val="19"/>
                </w:rPr>
                <w:t xml:space="preserve">Clustering at a glance</w:t>
              </w:r>
            </w:hyperlink>
          </w:p>
          <w:p>
            <w:pPr>
              <w:spacing w:after="40"/>
              <w:ind w:left="340"/>
            </w:pPr>
            <w:hyperlink w:anchor="e2">
              <w:r>
                <w:rPr>
                  <w:rFonts w:ascii="Arial" w:hAnsi="Arial"/>
                  <w:color w:val="1F3F63"/>
                  <w:u w:val="single"/>
                  <w:sz w:val="19"/>
                </w:rPr>
                <w:t xml:space="preserve">Top 15 brand clusters by URL count</w:t>
              </w:r>
            </w:hyperlink>
          </w:p>
          <w:p>
            <w:pPr>
              <w:spacing w:after="40"/>
              <w:ind w:left="340"/>
            </w:pPr>
            <w:hyperlink w:anchor="e3">
              <w:r>
                <w:rPr>
                  <w:rFonts w:ascii="Arial" w:hAnsi="Arial"/>
                  <w:color w:val="1F3F63"/>
                  <w:u w:val="single"/>
                  <w:sz w:val="19"/>
                </w:rPr>
                <w:t xml:space="preserve">Heat map — brand cluster by subcategory</w:t>
              </w:r>
            </w:hyperlink>
          </w:p>
          <w:p>
            <w:pPr>
              <w:spacing w:after="40"/>
              <w:ind w:left="340"/>
            </w:pPr>
            <w:hyperlink w:anchor="e4">
              <w:r>
                <w:rPr>
                  <w:rFonts w:ascii="Arial" w:hAnsi="Arial"/>
                  <w:color w:val="1F3F63"/>
                  <w:u w:val="single"/>
                  <w:sz w:val="19"/>
                </w:rPr>
                <w:t xml:space="preserve">Cluster expansion — jun</w:t>
              </w:r>
            </w:hyperlink>
          </w:p>
          <w:p>
            <w:pPr>
              <w:spacing w:after="40"/>
              <w:ind w:left="340"/>
            </w:pPr>
            <w:hyperlink w:anchor="e5">
              <w:r>
                <w:rPr>
                  <w:rFonts w:ascii="Arial" w:hAnsi="Arial"/>
                  <w:color w:val="1F3F63"/>
                  <w:u w:val="single"/>
                  <w:sz w:val="19"/>
                </w:rPr>
                <w:t xml:space="preserve">Clusters spanning multiple subcategories</w:t>
              </w:r>
            </w:hyperlink>
          </w:p>
          <w:p>
            <w:pPr>
              <w:spacing w:after="40"/>
              <w:ind w:left="340"/>
            </w:pPr>
            <w:hyperlink w:anchor="e6">
              <w:r>
                <w:rPr>
                  <w:rFonts w:ascii="Arial" w:hAnsi="Arial"/>
                  <w:color w:val="1F3F63"/>
                  <w:u w:val="single"/>
                  <w:sz w:val="19"/>
                </w:rPr>
                <w:t xml:space="preserve">Clusters rotating top-level domains</w:t>
              </w:r>
            </w:hyperlink>
          </w:p>
          <w:p>
            <w:pPr>
              <w:spacing w:after="40"/>
              <w:ind w:left="340"/>
            </w:pPr>
            <w:hyperlink w:anchor="e7">
              <w:r>
                <w:rPr>
                  <w:rFonts w:ascii="Arial" w:hAnsi="Arial"/>
                  <w:color w:val="1F3F63"/>
                  <w:u w:val="single"/>
                  <w:sz w:val="19"/>
                </w:rPr>
                <w:t xml:space="preserve">Possible operator linkage</w:t>
              </w:r>
            </w:hyperlink>
          </w:p>
          <w:p>
            <w:pPr>
              <w:spacing w:after="40"/>
              <w:ind w:left="340"/>
            </w:pPr>
            <w:hyperlink w:anchor="e8">
              <w:r>
                <w:rPr>
                  <w:rFonts w:ascii="Arial" w:hAnsi="Arial"/>
                  <w:color w:val="1F3F63"/>
                  <w:u w:val="single"/>
                  <w:sz w:val="19"/>
                </w:rPr>
                <w:t xml:space="preserve">Naming conventions</w:t>
              </w:r>
            </w:hyperlink>
          </w:p>
          <w:p>
            <w:pPr>
              <w:spacing w:after="40"/>
              <w:ind w:left="340"/>
            </w:pPr>
            <w:hyperlink w:anchor="e9">
              <w:r>
                <w:rPr>
                  <w:rFonts w:ascii="Arial" w:hAnsi="Arial"/>
                  <w:color w:val="1F3F63"/>
                  <w:u w:val="single"/>
                  <w:sz w:val="19"/>
                </w:rPr>
                <w:t xml:space="preserve">Structure: direct, redirect, variant</w:t>
              </w:r>
            </w:hyperlink>
          </w:p>
          <w:p>
            <w:pPr>
              <w:spacing w:after="40"/>
              <w:ind w:left="340"/>
            </w:pPr>
            <w:hyperlink w:anchor="e10">
              <w:r>
                <w:rPr>
                  <w:rFonts w:ascii="Arial" w:hAnsi="Arial"/>
                  <w:color w:val="1F3F63"/>
                  <w:u w:val="single"/>
                  <w:sz w:val="19"/>
                </w:rPr>
                <w:t xml:space="preserve">Redirect propagation — www.min88.top</w:t>
              </w:r>
            </w:hyperlink>
          </w:p>
          <w:p>
            <w:pPr>
              <w:spacing w:after="40"/>
            </w:pPr>
            <w:r>
              <w:rPr>
                <w:rFonts w:ascii="Arial" w:hAnsi="Arial" w:cs="Arial"/>
                <w:b w:val="0"/>
                <w:i w:val="0"/>
                <w:color w:val="1B1B1B"/>
                <w:sz w:val="19"/>
              </w:rPr>
            </w:r>
            <w:hyperlink w:anchor="grpF">
              <w:r>
                <w:rPr>
                  <w:rFonts w:ascii="Arial" w:hAnsi="Arial"/>
                  <w:color w:val="1F3F63"/>
                  <w:u w:val="single"/>
                  <w:sz w:val="20"/>
                </w:rPr>
                <w:t xml:space="preserve">Group F — Ranking</w:t>
              </w:r>
            </w:hyperlink>
          </w:p>
          <w:p>
            <w:pPr>
              <w:spacing w:after="40"/>
              <w:ind w:left="340"/>
            </w:pPr>
            <w:hyperlink w:anchor="f1">
              <w:r>
                <w:rPr>
                  <w:rFonts w:ascii="Arial" w:hAnsi="Arial"/>
                  <w:color w:val="1F3F63"/>
                  <w:u w:val="single"/>
                  <w:sz w:val="19"/>
                </w:rPr>
                <w:t xml:space="preserve">Gambling ranking</w:t>
              </w:r>
            </w:hyperlink>
          </w:p>
          <w:p>
            <w:pPr>
              <w:spacing w:after="40"/>
            </w:pPr>
            <w:r>
              <w:rPr>
                <w:rFonts w:ascii="Arial" w:hAnsi="Arial" w:cs="Arial"/>
                <w:b w:val="0"/>
                <w:i w:val="0"/>
                <w:color w:val="1B1B1B"/>
                <w:sz w:val="19"/>
              </w:rPr>
            </w:r>
            <w:hyperlink w:anchor="grpG">
              <w:r>
                <w:rPr>
                  <w:rFonts w:ascii="Arial" w:hAnsi="Arial"/>
                  <w:color w:val="1F3F63"/>
                  <w:u w:val="single"/>
                  <w:sz w:val="20"/>
                </w:rPr>
                <w:t xml:space="preserve">Group G — Key insights</w:t>
              </w:r>
            </w:hyperlink>
          </w:p>
          <w:p>
            <w:pPr>
              <w:spacing w:after="40"/>
              <w:ind w:left="340"/>
            </w:pPr>
            <w:hyperlink w:anchor="g1">
              <w:r>
                <w:rPr>
                  <w:rFonts w:ascii="Arial" w:hAnsi="Arial"/>
                  <w:color w:val="1F3F63"/>
                  <w:u w:val="single"/>
                  <w:sz w:val="19"/>
                </w:rPr>
                <w:t xml:space="preserve">Scale of the analysis</w:t>
              </w:r>
            </w:hyperlink>
          </w:p>
          <w:p>
            <w:pPr>
              <w:spacing w:after="40"/>
              <w:ind w:left="340"/>
            </w:pPr>
            <w:hyperlink w:anchor="g2">
              <w:r>
                <w:rPr>
                  <w:rFonts w:ascii="Arial" w:hAnsi="Arial"/>
                  <w:color w:val="1F3F63"/>
                  <w:u w:val="single"/>
                  <w:sz w:val="19"/>
                </w:rPr>
                <w:t xml:space="preserve">What is being offered</w:t>
              </w:r>
            </w:hyperlink>
          </w:p>
          <w:p>
            <w:pPr>
              <w:spacing w:after="40"/>
              <w:ind w:left="340"/>
            </w:pPr>
            <w:hyperlink w:anchor="g3">
              <w:r>
                <w:rPr>
                  <w:rFonts w:ascii="Arial" w:hAnsi="Arial"/>
                  <w:color w:val="1F3F63"/>
                  <w:u w:val="single"/>
                  <w:sz w:val="19"/>
                </w:rPr>
                <w:t xml:space="preserve">Brand clustering</w:t>
              </w:r>
            </w:hyperlink>
          </w:p>
          <w:p>
            <w:pPr>
              <w:spacing w:after="40"/>
              <w:ind w:left="340"/>
            </w:pPr>
            <w:hyperlink w:anchor="g4">
              <w:r>
                <w:rPr>
                  <w:rFonts w:ascii="Arial" w:hAnsi="Arial"/>
                  <w:color w:val="1F3F63"/>
                  <w:u w:val="single"/>
                  <w:sz w:val="19"/>
                </w:rPr>
                <w:t xml:space="preserve">How the estate is grown and marketed</w:t>
              </w:r>
            </w:hyperlink>
          </w:p>
          <w:p>
            <w:pPr>
              <w:spacing w:after="40"/>
              <w:ind w:left="340"/>
            </w:pPr>
            <w:hyperlink w:anchor="g5">
              <w:r>
                <w:rPr>
                  <w:rFonts w:ascii="Arial" w:hAnsi="Arial"/>
                  <w:color w:val="1F3F63"/>
                  <w:u w:val="single"/>
                  <w:sz w:val="19"/>
                </w:rPr>
                <w:t xml:space="preserve">Enforcement position</w:t>
              </w:r>
            </w:hyperlink>
          </w:p>
        </w:tc>
      </w:tr>
    </w:tbl>
    <w:p>
      <w:pPr>
        <w:spacing w:after="340" w:line="20" w:lineRule="exact"/>
      </w:pPr>
    </w:p>
    <w:p>
      <w:r>
        <w:br w:type="page"/>
      </w: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2" w:name="card1"/>
            <w:pPr>
              <w:keepNext/>
              <w:spacing w:after="100"/>
            </w:pPr>
            <w:r/>
            <w:r>
              <w:rPr>
                <w:rFonts w:ascii="Arial" w:hAnsi="Arial" w:cs="Arial"/>
                <w:b/>
                <w:i w:val="0"/>
                <w:color w:val="1F3F63"/>
                <w:sz w:val="25"/>
              </w:rPr>
              <w:t>Executive summary</w:t>
            </w:r>
            <w:bookmarkEnd w:id="102"/>
          </w:p>
          <w:p>
            <w:pPr>
              <w:spacing w:after="80"/>
            </w:pPr>
            <w:r>
              <w:rPr>
                <w:rFonts w:ascii="Arial" w:hAnsi="Arial" w:cs="Arial"/>
                <w:b/>
                <w:i w:val="0"/>
                <w:color w:val="1F3F63"/>
                <w:sz w:val="21"/>
              </w:rPr>
              <w:t>Part 1a. Insights and trends</w:t>
            </w:r>
          </w:p>
          <w:p>
            <w:pPr>
              <w:spacing w:after="100"/>
            </w:pPr>
            <w:r>
              <w:rPr>
                <w:rFonts w:ascii="Arial" w:hAnsi="Arial" w:cs="Arial"/>
                <w:b w:val="0"/>
                <w:i w:val="0"/>
                <w:color w:val="1B1B1B"/>
                <w:sz w:val="19"/>
              </w:rPr>
              <w:t>The estate analysed holds 31,798 distinct URLs over 29 days, of which 9,175 carry gambling content. The rest are sites classified as not gambling, sites that could not be reached, and records the source feed leaves unresolved.</w:t>
            </w:r>
          </w:p>
          <w:p>
            <w:pPr>
              <w:spacing w:after="100"/>
            </w:pPr>
            <w:r>
              <w:rPr>
                <w:rFonts w:ascii="Arial" w:hAnsi="Arial" w:cs="Arial"/>
                <w:b w:val="0"/>
                <w:i w:val="0"/>
                <w:color w:val="1B1B1B"/>
                <w:sz w:val="19"/>
              </w:rPr>
              <w:t>Product type is dominated by slots, at 41.7% of gambling sites, with casino and football betting behind it. A further group is confirmed as gambling without an evidenced product type and is carried as General Gambling rather than pushed into a product bucket. Most assignments come from reading the reasoning text rather than from a lexicon match, so the product picture is indicative.</w:t>
            </w:r>
          </w:p>
          <w:p>
            <w:pPr>
              <w:spacing w:after="100"/>
            </w:pPr>
            <w:r>
              <w:rPr>
                <w:rFonts w:ascii="Arial" w:hAnsi="Arial" w:cs="Arial"/>
                <w:b w:val="0"/>
                <w:i w:val="0"/>
                <w:color w:val="1B1B1B"/>
                <w:sz w:val="19"/>
              </w:rPr>
              <w:t>Operators are concentrated. 939 brand clusters sit behind the gambling URLs, and 46 of them cover half the estate. The largest spans every product type in the report, which is the signature of a multi product operator rather than a single game site.</w:t>
            </w:r>
          </w:p>
          <w:p>
            <w:pPr>
              <w:spacing w:after="100"/>
            </w:pPr>
            <w:r>
              <w:rPr>
                <w:rFonts w:ascii="Arial" w:hAnsi="Arial" w:cs="Arial"/>
                <w:b w:val="0"/>
                <w:i w:val="0"/>
                <w:color w:val="1B1B1B"/>
                <w:sz w:val="19"/>
              </w:rPr>
              <w:t>The estate is grown by replication rather than by new entrants. Almost all gambling URLs are crawler identified variants of a domain already in the set; a smaller group sits behind redirect chains and only a thin layer was reached directly. Clusters rotate top level domains, and the signal most often present is provider and network branding rather than promotional or payment language.</w:t>
            </w:r>
          </w:p>
          <w:p>
            <w:pPr>
              <w:spacing w:after="100"/>
            </w:pPr>
            <w:r>
              <w:rPr>
                <w:rFonts w:ascii="Arial" w:hAnsi="Arial" w:cs="Arial"/>
                <w:b w:val="0"/>
                <w:i w:val="0"/>
                <w:color w:val="1B1B1B"/>
                <w:sz w:val="19"/>
              </w:rPr>
              <w:t>Enforcement is barely visible in this window. Only a handful of pages carry a block notice, a court order or a regulator reference.</w:t>
            </w:r>
          </w:p>
          <w:p>
            <w:pPr>
              <w:spacing w:after="100"/>
            </w:pPr>
            <w:r>
              <w:rPr>
                <w:rFonts w:ascii="Arial" w:hAnsi="Arial" w:cs="Arial"/>
                <w:b w:val="0"/>
                <w:i w:val="0"/>
                <w:color w:val="1B1B1B"/>
                <w:sz w:val="19"/>
              </w:rPr>
              <w:t>The evaluation period is too short to carry a direction of travel, so no trend is stated.</w:t>
            </w:r>
          </w:p>
          <w:p>
            <w:pPr>
              <w:spacing w:after="80"/>
            </w:pPr>
            <w:r>
              <w:rPr>
                <w:rFonts w:ascii="Arial" w:hAnsi="Arial" w:cs="Arial"/>
                <w:b/>
                <w:i w:val="0"/>
                <w:color w:val="1F3F63"/>
                <w:sz w:val="21"/>
              </w:rPr>
              <w:t>Part 1b. Key figures</w:t>
            </w:r>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4819"/>
              <w:gridCol w:w="3118"/>
            </w:tblGrid>
            <w:tr>
              <w:trPr>
                <w:cantSplit/>
              </w:trPr>
              <w:tc>
                <w:tcPr>
                  <w:tcW w:type="dxa" w:w="4819"/>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6"/>
                    </w:rPr>
                    <w:t>Reporting figure</w:t>
                  </w:r>
                </w:p>
              </w:tc>
              <w:tc>
                <w:tcPr>
                  <w:tcW w:type="dxa" w:w="3118"/>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Value</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URLs analysed</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31,798</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Gambling sites</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9,175 (28.9% of URLs analysed)</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Not gambling</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11,594</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Unreachable</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28</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Status not resolved by the source feed</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11,001</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Brand clusters identified</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939</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Clusters holding more than one domain</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656</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Clusters covering half the gambling estate</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46</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Largest cluster</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jun — 609 URLs</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Dominant product subcategory</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Slots — 3,830 (41.7%)</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Most common signal tag</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Abbreviations — 3,209 (35.0%)</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Sites showing blocking indicators</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7</w:t>
                  </w:r>
                </w:p>
              </w:tc>
            </w:tr>
            <w:tr>
              <w:trPr>
                <w:cantSplit/>
              </w:trPr>
              <w:tc>
                <w:tcPr>
                  <w:tcW w:type="dxa" w:w="481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Subcategory assignment: keyword versus inferred</w:t>
                  </w:r>
                </w:p>
              </w:tc>
              <w:tc>
                <w:tcPr>
                  <w:tcW w:type="dxa" w:w="3118"/>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338 keyword · 8,837 inferred</w:t>
                  </w:r>
                </w:p>
              </w:tc>
            </w:tr>
          </w:tbl>
          <w:p/>
        </w:tc>
      </w:tr>
    </w:tbl>
    <w:p>
      <w:pPr>
        <w:spacing w:after="340" w:line="20" w:lineRule="exact"/>
      </w:pPr>
    </w:p>
    <w:p>
      <w:bookmarkStart w:id="103" w:name="grpA"/>
      <w:pPr>
        <w:keepNext/>
        <w:spacing w:before="200" w:after="80"/>
      </w:pPr>
      <w:r>
        <w:rPr>
          <w:rFonts w:ascii="Arial" w:hAnsi="Arial" w:cs="Arial"/>
          <w:b/>
          <w:i w:val="0"/>
          <w:color w:val="1F3F63"/>
          <w:sz w:val="27"/>
        </w:rPr>
        <w:t>Group A — Model insights</w:t>
      </w:r>
      <w:bookmarkEnd w:id="103"/>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4" w:name="a1"/>
            <w:pPr>
              <w:keepNext/>
              <w:spacing w:after="100"/>
            </w:pPr>
            <w:r/>
            <w:r>
              <w:rPr>
                <w:rFonts w:ascii="Arial" w:hAnsi="Arial" w:cs="Arial"/>
                <w:b/>
                <w:i w:val="0"/>
                <w:color w:val="1F3F63"/>
                <w:sz w:val="25"/>
              </w:rPr>
              <w:t>Introduction</w:t>
            </w:r>
            <w:bookmarkEnd w:id="104"/>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5" w:name="a2"/>
            <w:pPr>
              <w:keepNext/>
              <w:spacing w:after="100"/>
            </w:pPr>
            <w:r/>
            <w:r>
              <w:rPr>
                <w:rFonts w:ascii="Arial" w:hAnsi="Arial" w:cs="Arial"/>
                <w:b/>
                <w:i w:val="0"/>
                <w:color w:val="1F3F63"/>
                <w:sz w:val="25"/>
              </w:rPr>
              <w:t>Insights</w:t>
            </w:r>
            <w:bookmarkEnd w:id="105"/>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6" w:name="a3"/>
            <w:pPr>
              <w:keepNext/>
              <w:spacing w:after="100"/>
            </w:pPr>
            <w:r/>
            <w:r>
              <w:rPr>
                <w:rFonts w:ascii="Arial" w:hAnsi="Arial" w:cs="Arial"/>
                <w:b/>
                <w:i w:val="0"/>
                <w:color w:val="1F3F63"/>
                <w:sz w:val="25"/>
              </w:rPr>
              <w:t>Performance</w:t>
            </w:r>
            <w:bookmarkEnd w:id="106"/>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p>
            <w:pPr>
              <w:spacing w:after="120"/>
            </w:pPr>
            <w:r>
              <w:rPr>
                <w:rFonts w:ascii="Arial" w:hAnsi="Arial" w:cs="Arial"/>
                <w:b w:val="0"/>
                <w:i w:val="0"/>
                <w:color w:val="1B1B1B"/>
                <w:sz w:val="19"/>
              </w:rPr>
            </w:r>
          </w:p>
        </w:tc>
      </w:tr>
    </w:tbl>
    <w:p>
      <w:pPr>
        <w:spacing w:after="340" w:line="20" w:lineRule="exact"/>
      </w:pPr>
    </w:p>
    <w:p>
      <w:bookmarkStart w:id="107" w:name="grpB"/>
      <w:pPr>
        <w:keepNext/>
        <w:spacing w:before="200" w:after="80"/>
      </w:pPr>
      <w:r>
        <w:rPr>
          <w:rFonts w:ascii="Arial" w:hAnsi="Arial" w:cs="Arial"/>
          <w:b/>
          <w:i w:val="0"/>
          <w:color w:val="1F3F63"/>
          <w:sz w:val="27"/>
        </w:rPr>
        <w:t>Group B — Most prominent gambling sites in Thailand</w:t>
      </w:r>
      <w:bookmarkEnd w:id="107"/>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08" w:name="b1"/>
            <w:pPr>
              <w:keepNext/>
              <w:spacing w:after="100"/>
            </w:pPr>
            <w:r/>
            <w:r>
              <w:rPr>
                <w:rFonts w:ascii="Arial" w:hAnsi="Arial" w:cs="Arial"/>
                <w:b/>
                <w:i w:val="0"/>
                <w:color w:val="1F3F63"/>
                <w:sz w:val="25"/>
              </w:rPr>
              <w:t>10 most prominent gambling sites in Thailand</w:t>
            </w:r>
            <w:bookmarkEnd w:id="108"/>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815"/>
              <w:gridCol w:w="1577"/>
              <w:gridCol w:w="1142"/>
              <w:gridCol w:w="870"/>
              <w:gridCol w:w="1087"/>
              <w:gridCol w:w="1359"/>
              <w:gridCol w:w="1087"/>
            </w:tblGrid>
            <w:tr>
              <w:trPr>
                <w:cantSplit/>
              </w:trPr>
              <w:tc>
                <w:tcPr>
                  <w:tcW w:type="dxa" w:w="815"/>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4"/>
                    </w:rPr>
                    <w:t>Rank</w:t>
                  </w:r>
                </w:p>
              </w:tc>
              <w:tc>
                <w:tcPr>
                  <w:tcW w:type="dxa" w:w="1577"/>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URL (defanged)</w:t>
                  </w:r>
                </w:p>
              </w:tc>
              <w:tc>
                <w:tcPr>
                  <w:tcW w:type="dxa" w:w="1142"/>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Domain</w:t>
                  </w:r>
                </w:p>
              </w:tc>
              <w:tc>
                <w:tcPr>
                  <w:tcW w:type="dxa" w:w="870"/>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Brand cluster</w:t>
                  </w:r>
                </w:p>
              </w:tc>
              <w:tc>
                <w:tcPr>
                  <w:tcW w:type="dxa" w:w="1087"/>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Subcategory</w:t>
                  </w:r>
                </w:p>
              </w:tc>
              <w:tc>
                <w:tcPr>
                  <w:tcW w:type="dxa" w:w="1359"/>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Thai-targeting evidence</w:t>
                  </w:r>
                </w:p>
              </w:tc>
              <w:tc>
                <w:tcPr>
                  <w:tcW w:type="dxa" w:w="1087"/>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Source</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78229</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hxxps://www[.]lottovip[.]com/register/af/21832</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lottovip.com</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Lottery</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 currency: “Baht”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Youtube (lotto432)</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90304</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hxxps://lottovip[.]bet/</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lottovip.bet</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Lottery</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“BET”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(lottovip.com)</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184475</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hxxps://fun88thf[.]com/</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fun88thf.com</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fun88tht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Football Betting</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“VIP”</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(fun88tht.com)</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216041</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hxxps://lottovipp[.]com/</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lottovipp.com</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Lottery</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“WIN”</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(lottovip.com)</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221001</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hxxps://suriyathai[.]net/</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suriyathai.net</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suriya</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General Gambling</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 script: “สมัครสมาชิก”</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Manual (claude.ai)</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517141</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hxxps://slavinaslot[.]top/</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slavinaslot.top</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jun</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Slots</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“VIP”</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Redirect (jun88.info)</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517141</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hxxps://jun88[.]info/</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jun88.info</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jun</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Slots</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“VIP”</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(jun88.mobile)</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547370</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hxxps://99ok[.]vip/</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99ok.vip</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99ok</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Lottery</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“VIP”</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(99ok.bet)</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558790</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hxxps://gg8830[.]com/</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gg8830.com</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gg88</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Slots</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Thai-market product or brand terms: “SEXY”</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(gg8825.app)</w:t>
                  </w:r>
                </w:p>
              </w:tc>
            </w:tr>
            <w:tr>
              <w:trPr>
                <w:cantSplit/>
              </w:trPr>
              <w:tc>
                <w:tcPr>
                  <w:tcW w:type="dxa" w:w="815"/>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4"/>
                    </w:rPr>
                    <w:t>706458</w:t>
                  </w:r>
                </w:p>
              </w:tc>
              <w:tc>
                <w:tcPr>
                  <w:tcW w:type="dxa" w:w="157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hxxps://lotto432ad[.]com/</w:t>
                  </w:r>
                </w:p>
              </w:tc>
              <w:tc>
                <w:tcPr>
                  <w:tcW w:type="dxa" w:w="114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lotto432ad.com</w:t>
                  </w:r>
                </w:p>
              </w:tc>
              <w:tc>
                <w:tcPr>
                  <w:tcW w:type="dxa" w:w="870"/>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Lottery</w:t>
                  </w:r>
                </w:p>
              </w:tc>
              <w:tc>
                <w:tcPr>
                  <w:tcW w:type="dxa" w:w="135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Thai script: “สมัครสมาชิก”</w:t>
                  </w:r>
                </w:p>
              </w:tc>
              <w:tc>
                <w:tcPr>
                  <w:tcW w:type="dxa" w:w="10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4"/>
                    </w:rPr>
                    <w:t>Variant (lotto432ae.com)</w:t>
                  </w:r>
                </w:p>
              </w:tc>
            </w:tr>
          </w:tbl>
          <w:p/>
          <w:p>
            <w:pPr>
              <w:spacing w:before="80" w:after="0"/>
            </w:pPr>
            <w:r>
              <w:rPr>
                <w:rFonts w:ascii="Arial" w:hAnsi="Arial" w:cs="Arial"/>
                <w:b w:val="0"/>
                <w:i w:val="0"/>
                <w:color w:val="555F6B"/>
                <w:sz w:val="16"/>
              </w:rPr>
              <w:t>Rank reflects search visibility in the source feed, not harm, reach or revenue.</w:t>
            </w:r>
          </w:p>
        </w:tc>
      </w:tr>
    </w:tbl>
    <w:p>
      <w:pPr>
        <w:spacing w:after="340" w:line="20" w:lineRule="exact"/>
      </w:pPr>
    </w:p>
    <w:p>
      <w:bookmarkStart w:id="109" w:name="grpC"/>
      <w:pPr>
        <w:keepNext/>
        <w:spacing w:before="200" w:after="80"/>
      </w:pPr>
      <w:r>
        <w:rPr>
          <w:rFonts w:ascii="Arial" w:hAnsi="Arial" w:cs="Arial"/>
          <w:b/>
          <w:i w:val="0"/>
          <w:color w:val="1F3F63"/>
          <w:sz w:val="27"/>
        </w:rPr>
        <w:t>Group C — The numbers</w:t>
      </w:r>
      <w:bookmarkEnd w:id="109"/>
    </w:p>
    <w:p>
      <w:bookmarkStart w:id="110" w:name="c1"/>
      <w:pPr>
        <w:keepNext/>
        <w:spacing w:after="60"/>
      </w:pPr>
      <w:r>
        <w:rPr>
          <w:rFonts w:ascii="Arial" w:hAnsi="Arial" w:cs="Arial"/>
          <w:b/>
          <w:i w:val="0"/>
          <w:color w:val="1F3F63"/>
          <w:sz w:val="25"/>
        </w:rPr>
        <w:t>The numbers at a glance</w:t>
      </w:r>
      <w:bookmarkEnd w:id="110"/>
    </w:p>
    <w:tbl>
      <w:tblPr>
        <w:tblW w:type="auto" w:w="0"/>
        <w:tblLayout w:type="fixed"/>
        <w:tblLook w:firstColumn="1" w:firstRow="1" w:lastColumn="0" w:lastRow="0" w:noHBand="0" w:noVBand="1" w:val="04A0"/>
        <w:tblLayout w:type="fixed"/>
        <w:tblW w:w="9072" w:type="dxa"/>
      </w:tblPr>
      <w:tblGrid>
        <w:gridCol w:w="2268"/>
        <w:gridCol w:w="2268"/>
        <w:gridCol w:w="2268"/>
        <w:gridCol w:w="2268"/>
      </w:tblGrid>
      <w:tr>
        <w:trPr>
          <w:cantSplit/>
        </w:trPr>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31,798</w:t>
            </w:r>
          </w:p>
          <w:p>
            <w:pPr>
              <w:spacing w:after="0"/>
            </w:pPr>
            <w:r>
              <w:rPr>
                <w:rFonts w:ascii="Arial" w:hAnsi="Arial" w:cs="Arial"/>
                <w:b w:val="0"/>
                <w:i w:val="0"/>
                <w:color w:val="555F6B"/>
                <w:sz w:val="16"/>
              </w:rPr>
              <w:t>Total URLs analysed</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9,175</w:t>
            </w:r>
          </w:p>
          <w:p>
            <w:pPr>
              <w:spacing w:after="0"/>
            </w:pPr>
            <w:r>
              <w:rPr>
                <w:rFonts w:ascii="Arial" w:hAnsi="Arial" w:cs="Arial"/>
                <w:b w:val="0"/>
                <w:i w:val="0"/>
                <w:color w:val="555F6B"/>
                <w:sz w:val="16"/>
              </w:rPr>
              <w:t>Gambling sites</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939</w:t>
            </w:r>
          </w:p>
          <w:p>
            <w:pPr>
              <w:spacing w:after="0"/>
            </w:pPr>
            <w:r>
              <w:rPr>
                <w:rFonts w:ascii="Arial" w:hAnsi="Arial" w:cs="Arial"/>
                <w:b w:val="0"/>
                <w:i w:val="0"/>
                <w:color w:val="555F6B"/>
                <w:sz w:val="16"/>
              </w:rPr>
              <w:t>Brand clusters identified</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29 days</w:t>
            </w:r>
          </w:p>
          <w:p>
            <w:pPr>
              <w:spacing w:after="0"/>
            </w:pPr>
            <w:r>
              <w:rPr>
                <w:rFonts w:ascii="Arial" w:hAnsi="Arial" w:cs="Arial"/>
                <w:b w:val="0"/>
                <w:i w:val="0"/>
                <w:color w:val="555F6B"/>
                <w:sz w:val="16"/>
              </w:rPr>
              <w:t>2026-08-31 → 2026-09-28</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1" w:name="c2"/>
            <w:pPr>
              <w:keepNext/>
              <w:spacing w:after="100"/>
            </w:pPr>
            <w:r/>
            <w:r>
              <w:rPr>
                <w:rFonts w:ascii="Arial" w:hAnsi="Arial" w:cs="Arial"/>
                <w:b/>
                <w:i w:val="0"/>
                <w:color w:val="1F3F63"/>
                <w:sz w:val="25"/>
              </w:rPr>
              <w:t>URLs analysed per day</w:t>
            </w:r>
            <w:bookmarkEnd w:id="111"/>
          </w:p>
          <w:p>
            <w:pPr>
              <w:keepNext/>
              <w:spacing w:after="120"/>
            </w:pPr>
            <w:r>
              <w:rPr>
                <w:rFonts w:ascii="Arial" w:hAnsi="Arial" w:cs="Arial"/>
                <w:b w:val="0"/>
                <w:i w:val="0"/>
                <w:color w:val="555F6B"/>
                <w:sz w:val="18"/>
              </w:rPr>
              <w:t>Daily count of URLs analysed across the evaluation period. Each point is one calendar day.</w:t>
            </w:r>
          </w:p>
          <w:p>
            <w:pPr>
              <w:spacing w:after="40"/>
            </w:pPr>
            <w:r>
              <w:drawing>
                <wp:inline xmlns:a="http://schemas.openxmlformats.org/drawingml/2006/main" xmlns:pic="http://schemas.openxmlformats.org/drawingml/2006/picture">
                  <wp:extent cx="5040000" cy="2095022"/>
                  <wp:docPr id="1" name="Picture 1"/>
                  <wp:cNvGraphicFramePr>
                    <a:graphicFrameLocks noChangeAspect="1"/>
                  </wp:cNvGraphicFramePr>
                  <a:graphic>
                    <a:graphicData uri="http://schemas.openxmlformats.org/drawingml/2006/picture">
                      <pic:pic>
                        <pic:nvPicPr>
                          <pic:cNvPr id="0" name="c2.png"/>
                          <pic:cNvPicPr/>
                        </pic:nvPicPr>
                        <pic:blipFill>
                          <a:blip r:embed="rId10"/>
                          <a:stretch>
                            <a:fillRect/>
                          </a:stretch>
                        </pic:blipFill>
                        <pic:spPr>
                          <a:xfrm>
                            <a:off x="0" y="0"/>
                            <a:ext cx="5040000" cy="2095022"/>
                          </a:xfrm>
                          <a:prstGeom prst="rect"/>
                        </pic:spPr>
                      </pic:pic>
                    </a:graphicData>
                  </a:graphic>
                </wp:inline>
              </w:drawing>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2" w:name="c3"/>
            <w:pPr>
              <w:keepNext/>
              <w:spacing w:after="100"/>
            </w:pPr>
            <w:r/>
            <w:r>
              <w:rPr>
                <w:rFonts w:ascii="Arial" w:hAnsi="Arial" w:cs="Arial"/>
                <w:b/>
                <w:i w:val="0"/>
                <w:color w:val="1F3F63"/>
                <w:sz w:val="25"/>
              </w:rPr>
              <w:t>Status distribution</w:t>
            </w:r>
            <w:bookmarkEnd w:id="112"/>
          </w:p>
          <w:p>
            <w:pPr>
              <w:keepNext/>
              <w:spacing w:after="120"/>
            </w:pPr>
            <w:r>
              <w:rPr>
                <w:rFonts w:ascii="Arial" w:hAnsi="Arial" w:cs="Arial"/>
                <w:b w:val="0"/>
                <w:i w:val="0"/>
                <w:color w:val="555F6B"/>
                <w:sz w:val="18"/>
              </w:rPr>
              <w:t>Share of the estate by classification status. Each segment is one status and the table below carries the counts.</w:t>
            </w:r>
          </w:p>
          <w:p>
            <w:pPr>
              <w:spacing w:after="40"/>
            </w:pPr>
            <w:r>
              <w:drawing>
                <wp:inline xmlns:a="http://schemas.openxmlformats.org/drawingml/2006/main" xmlns:pic="http://schemas.openxmlformats.org/drawingml/2006/picture">
                  <wp:extent cx="5040000" cy="2354498"/>
                  <wp:docPr id="2" name="Picture 2"/>
                  <wp:cNvGraphicFramePr>
                    <a:graphicFrameLocks noChangeAspect="1"/>
                  </wp:cNvGraphicFramePr>
                  <a:graphic>
                    <a:graphicData uri="http://schemas.openxmlformats.org/drawingml/2006/picture">
                      <pic:pic>
                        <pic:nvPicPr>
                          <pic:cNvPr id="0" name="c3.png"/>
                          <pic:cNvPicPr/>
                        </pic:nvPicPr>
                        <pic:blipFill>
                          <a:blip r:embed="rId11"/>
                          <a:stretch>
                            <a:fillRect/>
                          </a:stretch>
                        </pic:blipFill>
                        <pic:spPr>
                          <a:xfrm>
                            <a:off x="0" y="0"/>
                            <a:ext cx="5040000" cy="2354498"/>
                          </a:xfrm>
                          <a:prstGeom prst="rect"/>
                        </pic:spPr>
                      </pic:pic>
                    </a:graphicData>
                  </a:graphic>
                </wp:inline>
              </w:drawing>
            </w:r>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3969"/>
              <w:gridCol w:w="1984"/>
              <w:gridCol w:w="1984"/>
            </w:tblGrid>
            <w:tr>
              <w:trPr>
                <w:cantSplit/>
              </w:trPr>
              <w:tc>
                <w:tcPr>
                  <w:tcW w:type="dxa" w:w="3969"/>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6"/>
                    </w:rPr>
                    <w:t>Status</w:t>
                  </w:r>
                </w:p>
              </w:tc>
              <w:tc>
                <w:tcPr>
                  <w:tcW w:type="dxa" w:w="198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Count</w:t>
                  </w:r>
                </w:p>
              </w:tc>
              <w:tc>
                <w:tcPr>
                  <w:tcW w:type="dxa" w:w="198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 of URLs analysed</w:t>
                  </w:r>
                </w:p>
              </w:tc>
            </w:tr>
            <w:tr>
              <w:trPr>
                <w:cantSplit/>
              </w:trPr>
              <w:tc>
                <w:tcPr>
                  <w:tcW w:type="dxa" w:w="396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Not gambling</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11,594</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36.5%</w:t>
                  </w:r>
                </w:p>
              </w:tc>
            </w:tr>
            <w:tr>
              <w:trPr>
                <w:cantSplit/>
              </w:trPr>
              <w:tc>
                <w:tcPr>
                  <w:tcW w:type="dxa" w:w="396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Unknown</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11,001</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34.6%</w:t>
                  </w:r>
                </w:p>
              </w:tc>
            </w:tr>
            <w:tr>
              <w:trPr>
                <w:cantSplit/>
              </w:trPr>
              <w:tc>
                <w:tcPr>
                  <w:tcW w:type="dxa" w:w="396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Gambling</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9,175</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28.9%</w:t>
                  </w:r>
                </w:p>
              </w:tc>
            </w:tr>
            <w:tr>
              <w:trPr>
                <w:cantSplit/>
              </w:trPr>
              <w:tc>
                <w:tcPr>
                  <w:tcW w:type="dxa" w:w="396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Unreachable</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28</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0.1%</w:t>
                  </w:r>
                </w:p>
              </w:tc>
            </w:tr>
            <w:tr>
              <w:trPr>
                <w:cantSplit/>
              </w:trPr>
              <w:tc>
                <w:tcPr>
                  <w:tcW w:type="dxa" w:w="3969"/>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Total</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31,798</w:t>
                  </w:r>
                </w:p>
              </w:tc>
              <w:tc>
                <w:tcPr>
                  <w:tcW w:type="dxa" w:w="198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100.0%</w:t>
                  </w:r>
                </w:p>
              </w:tc>
            </w:tr>
          </w:tbl>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3" w:name="c4"/>
            <w:pPr>
              <w:keepNext/>
              <w:spacing w:after="100"/>
            </w:pPr>
            <w:r/>
            <w:r>
              <w:rPr>
                <w:rFonts w:ascii="Arial" w:hAnsi="Arial" w:cs="Arial"/>
                <w:b/>
                <w:i w:val="0"/>
                <w:color w:val="1F3F63"/>
                <w:sz w:val="25"/>
              </w:rPr>
              <w:t>Top 10 URL suffixes</w:t>
            </w:r>
            <w:bookmarkEnd w:id="113"/>
          </w:p>
          <w:p>
            <w:pPr>
              <w:keepNext/>
              <w:spacing w:after="120"/>
            </w:pPr>
            <w:r>
              <w:rPr>
                <w:rFonts w:ascii="Arial" w:hAnsi="Arial" w:cs="Arial"/>
                <w:b w:val="0"/>
                <w:i w:val="0"/>
                <w:color w:val="555F6B"/>
                <w:sz w:val="18"/>
              </w:rPr>
              <w:t>The ten most common URL suffixes in the estate. Bar length is the total count and the table separates the gambling share.</w:t>
            </w:r>
          </w:p>
          <w:p>
            <w:pPr>
              <w:spacing w:after="40"/>
            </w:pPr>
            <w:r>
              <w:drawing>
                <wp:inline xmlns:a="http://schemas.openxmlformats.org/drawingml/2006/main" xmlns:pic="http://schemas.openxmlformats.org/drawingml/2006/picture">
                  <wp:extent cx="5040000" cy="3225029"/>
                  <wp:docPr id="3" name="Picture 3"/>
                  <wp:cNvGraphicFramePr>
                    <a:graphicFrameLocks noChangeAspect="1"/>
                  </wp:cNvGraphicFramePr>
                  <a:graphic>
                    <a:graphicData uri="http://schemas.openxmlformats.org/drawingml/2006/picture">
                      <pic:pic>
                        <pic:nvPicPr>
                          <pic:cNvPr id="0" name="c4.png"/>
                          <pic:cNvPicPr/>
                        </pic:nvPicPr>
                        <pic:blipFill>
                          <a:blip r:embed="rId12"/>
                          <a:stretch>
                            <a:fillRect/>
                          </a:stretch>
                        </pic:blipFill>
                        <pic:spPr>
                          <a:xfrm>
                            <a:off x="0" y="0"/>
                            <a:ext cx="5040000" cy="3225029"/>
                          </a:xfrm>
                          <a:prstGeom prst="rect"/>
                        </pic:spPr>
                      </pic:pic>
                    </a:graphicData>
                  </a:graphic>
                </wp:inline>
              </w:drawing>
            </w:r>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2041"/>
              <w:gridCol w:w="1474"/>
              <w:gridCol w:w="1474"/>
              <w:gridCol w:w="1474"/>
              <w:gridCol w:w="1474"/>
            </w:tblGrid>
            <w:tr>
              <w:trPr>
                <w:cantSplit/>
              </w:trPr>
              <w:tc>
                <w:tcPr>
                  <w:tcW w:type="dxa" w:w="204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6"/>
                    </w:rPr>
                    <w:t>Suffix</w:t>
                  </w:r>
                </w:p>
              </w:tc>
              <w:tc>
                <w:tcPr>
                  <w:tcW w:type="dxa" w:w="147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Total</w:t>
                  </w:r>
                </w:p>
              </w:tc>
              <w:tc>
                <w:tcPr>
                  <w:tcW w:type="dxa" w:w="147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 of all</w:t>
                  </w:r>
                </w:p>
              </w:tc>
              <w:tc>
                <w:tcPr>
                  <w:tcW w:type="dxa" w:w="147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Gambling</w:t>
                  </w:r>
                </w:p>
              </w:tc>
              <w:tc>
                <w:tcPr>
                  <w:tcW w:type="dxa" w:w="147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 gambling</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.org</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5,049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15.9%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0.2%</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.com</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4,218</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13.3%</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1,389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32.9%</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.dev</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2,619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8.2%</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451</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17.2%</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.vip</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2,493</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7.8%</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872</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35.0%</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.net</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2,306</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7.3%</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985</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42.7%</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.cc</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1,570</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4.9%</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631</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40.2%</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.app</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1,370</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4.3%</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591</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43.1%</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.xyz</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1,066</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3.4%</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206</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19.3%</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.co</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978</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3.1%</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177</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18.1%</w:t>
                  </w:r>
                </w:p>
              </w:tc>
            </w:tr>
            <w:tr>
              <w:trPr>
                <w:cantSplit/>
              </w:trPr>
              <w:tc>
                <w:tcPr>
                  <w:tcW w:type="dxa" w:w="204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.me</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945</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3.0%</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212</w:t>
                  </w:r>
                </w:p>
              </w:tc>
              <w:tc>
                <w:tcPr>
                  <w:tcW w:type="dxa" w:w="147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22.4%</w:t>
                  </w:r>
                </w:p>
              </w:tc>
            </w:tr>
          </w:tbl>
          <w:p/>
        </w:tc>
      </w:tr>
    </w:tbl>
    <w:p>
      <w:pPr>
        <w:spacing w:after="340" w:line="20" w:lineRule="exact"/>
      </w:pPr>
    </w:p>
    <w:p>
      <w:bookmarkStart w:id="114" w:name="grpD"/>
      <w:pPr>
        <w:keepNext/>
        <w:spacing w:before="200" w:after="80"/>
      </w:pPr>
      <w:r>
        <w:rPr>
          <w:rFonts w:ascii="Arial" w:hAnsi="Arial" w:cs="Arial"/>
          <w:b/>
          <w:i w:val="0"/>
          <w:color w:val="1F3F63"/>
          <w:sz w:val="27"/>
        </w:rPr>
        <w:t>Group D — Subcategories</w:t>
      </w:r>
      <w:bookmarkEnd w:id="114"/>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5" w:name="d1"/>
            <w:pPr>
              <w:keepNext/>
              <w:spacing w:after="100"/>
            </w:pPr>
            <w:r/>
            <w:r>
              <w:rPr>
                <w:rFonts w:ascii="Arial" w:hAnsi="Arial" w:cs="Arial"/>
                <w:b/>
                <w:i w:val="0"/>
                <w:color w:val="1F3F63"/>
                <w:sz w:val="25"/>
              </w:rPr>
              <w:t>Gambling sites by product subcategory</w:t>
            </w:r>
            <w:bookmarkEnd w:id="115"/>
          </w:p>
          <w:p>
            <w:pPr>
              <w:keepNext/>
              <w:spacing w:after="120"/>
            </w:pPr>
            <w:r>
              <w:rPr>
                <w:rFonts w:ascii="Arial" w:hAnsi="Arial" w:cs="Arial"/>
                <w:b w:val="0"/>
                <w:i w:val="0"/>
                <w:color w:val="555F6B"/>
                <w:sz w:val="18"/>
              </w:rPr>
              <w:t>Gambling sites by product subcategory. Bar length is the site count and each label carries the count and the share of gambling rows.</w:t>
            </w:r>
          </w:p>
          <w:p>
            <w:pPr>
              <w:spacing w:after="40"/>
            </w:pPr>
            <w:r>
              <w:drawing>
                <wp:inline xmlns:a="http://schemas.openxmlformats.org/drawingml/2006/main" xmlns:pic="http://schemas.openxmlformats.org/drawingml/2006/picture">
                  <wp:extent cx="5040000" cy="2444651"/>
                  <wp:docPr id="4" name="Picture 4"/>
                  <wp:cNvGraphicFramePr>
                    <a:graphicFrameLocks noChangeAspect="1"/>
                  </wp:cNvGraphicFramePr>
                  <a:graphic>
                    <a:graphicData uri="http://schemas.openxmlformats.org/drawingml/2006/picture">
                      <pic:pic>
                        <pic:nvPicPr>
                          <pic:cNvPr id="0" name="d1.png"/>
                          <pic:cNvPicPr/>
                        </pic:nvPicPr>
                        <pic:blipFill>
                          <a:blip r:embed="rId13"/>
                          <a:stretch>
                            <a:fillRect/>
                          </a:stretch>
                        </pic:blipFill>
                        <pic:spPr>
                          <a:xfrm>
                            <a:off x="0" y="0"/>
                            <a:ext cx="5040000" cy="2444651"/>
                          </a:xfrm>
                          <a:prstGeom prst="rect"/>
                        </pic:spPr>
                      </pic:pic>
                    </a:graphicData>
                  </a:graphic>
                </wp:inline>
              </w:drawing>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6" w:name="d2"/>
            <w:pPr>
              <w:keepNext/>
              <w:spacing w:after="100"/>
            </w:pPr>
            <w:r/>
            <w:r>
              <w:rPr>
                <w:rFonts w:ascii="Arial" w:hAnsi="Arial" w:cs="Arial"/>
                <w:b/>
                <w:i w:val="0"/>
                <w:color w:val="1F3F63"/>
                <w:sz w:val="25"/>
              </w:rPr>
              <w:t>Assignment method by subcategory</w:t>
            </w:r>
            <w:bookmarkEnd w:id="116"/>
          </w:p>
          <w:p>
            <w:pPr>
              <w:keepNext/>
              <w:spacing w:after="120"/>
            </w:pPr>
            <w:r>
              <w:rPr>
                <w:rFonts w:ascii="Arial" w:hAnsi="Arial" w:cs="Arial"/>
                <w:b w:val="0"/>
                <w:i w:val="0"/>
                <w:color w:val="555F6B"/>
                <w:sz w:val="18"/>
              </w:rPr>
              <w:t>How each subcategory was assigned. Solid fill is a lexicon keyword match and the lighter fill is reasoning inference.</w:t>
            </w:r>
          </w:p>
          <w:p>
            <w:pPr>
              <w:spacing w:after="40"/>
            </w:pPr>
            <w:r>
              <w:drawing>
                <wp:inline xmlns:a="http://schemas.openxmlformats.org/drawingml/2006/main" xmlns:pic="http://schemas.openxmlformats.org/drawingml/2006/picture">
                  <wp:extent cx="5040000" cy="2536051"/>
                  <wp:docPr id="5" name="Picture 5"/>
                  <wp:cNvGraphicFramePr>
                    <a:graphicFrameLocks noChangeAspect="1"/>
                  </wp:cNvGraphicFramePr>
                  <a:graphic>
                    <a:graphicData uri="http://schemas.openxmlformats.org/drawingml/2006/picture">
                      <pic:pic>
                        <pic:nvPicPr>
                          <pic:cNvPr id="0" name="d2.png"/>
                          <pic:cNvPicPr/>
                        </pic:nvPicPr>
                        <pic:blipFill>
                          <a:blip r:embed="rId14"/>
                          <a:stretch>
                            <a:fillRect/>
                          </a:stretch>
                        </pic:blipFill>
                        <pic:spPr>
                          <a:xfrm>
                            <a:off x="0" y="0"/>
                            <a:ext cx="5040000" cy="2536051"/>
                          </a:xfrm>
                          <a:prstGeom prst="rect"/>
                        </pic:spPr>
                      </pic:pic>
                    </a:graphicData>
                  </a:graphic>
                </wp:inline>
              </w:drawing>
            </w:r>
          </w:p>
          <w:p>
            <w:pPr>
              <w:spacing w:before="80" w:after="0"/>
            </w:pPr>
            <w:r>
              <w:rPr>
                <w:rFonts w:ascii="Arial" w:hAnsi="Arial" w:cs="Arial"/>
                <w:b w:val="0"/>
                <w:i w:val="0"/>
                <w:color w:val="555F6B"/>
                <w:sz w:val="16"/>
              </w:rPr>
              <w:t>Inferred share 96.3% of gambling rows; General Gambling share 18.4%. An inferred share above 30% means the lexicon has poor coverage of this dataset, so subcategory figures are indicative only. A Thai-language lexicon run against an estate whose evidence text is largely English produces exactly this result.</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7" w:name="d3"/>
            <w:pPr>
              <w:keepNext/>
              <w:spacing w:after="100"/>
            </w:pPr>
            <w:r/>
            <w:r>
              <w:rPr>
                <w:rFonts w:ascii="Arial" w:hAnsi="Arial" w:cs="Arial"/>
                <w:b/>
                <w:i w:val="0"/>
                <w:color w:val="1F3F63"/>
                <w:sz w:val="25"/>
              </w:rPr>
              <w:t>Subcategory table</w:t>
            </w:r>
            <w:bookmarkEnd w:id="117"/>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2154"/>
              <w:gridCol w:w="1134"/>
              <w:gridCol w:w="1361"/>
              <w:gridCol w:w="1077"/>
              <w:gridCol w:w="1077"/>
              <w:gridCol w:w="1134"/>
            </w:tblGrid>
            <w:tr>
              <w:trPr>
                <w:cantSplit/>
              </w:trPr>
              <w:tc>
                <w:tcPr>
                  <w:tcW w:type="dxa" w:w="2154"/>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6"/>
                    </w:rPr>
                    <w:t>Subcategory</w:t>
                  </w:r>
                </w:p>
              </w:tc>
              <w:tc>
                <w:tcPr>
                  <w:tcW w:type="dxa" w:w="113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Count</w:t>
                  </w:r>
                </w:p>
              </w:tc>
              <w:tc>
                <w:tcPr>
                  <w:tcW w:type="dxa" w:w="1361"/>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 of gambling</w:t>
                  </w:r>
                </w:p>
              </w:tc>
              <w:tc>
                <w:tcPr>
                  <w:tcW w:type="dxa" w:w="1077"/>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Keyword</w:t>
                  </w:r>
                </w:p>
              </w:tc>
              <w:tc>
                <w:tcPr>
                  <w:tcW w:type="dxa" w:w="1077"/>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Inferred</w:t>
                  </w:r>
                </w:p>
              </w:tc>
              <w:tc>
                <w:tcPr>
                  <w:tcW w:type="dxa" w:w="113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6"/>
                    </w:rPr>
                    <w:t>Distinct clusters</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Slots</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3,830</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41.7%</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156</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3,674</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649</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General Gambling</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1,685</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18.4%</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22</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1,663</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430</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Casino</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1,402</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15.3%</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98</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1,304</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378</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Football Betting</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1,152</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12.6%</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10</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1,142</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287</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Baccarat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445</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4.9%</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28</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417</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223</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Lottery</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413</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4.5%</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21</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392</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125</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Playing card</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248</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2.7%</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245</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157</w:t>
                  </w:r>
                </w:p>
              </w:tc>
            </w:tr>
            <w:tr>
              <w:trPr>
                <w:cantSplit/>
              </w:trPr>
              <w:tc>
                <w:tcPr>
                  <w:tcW w:type="dxa" w:w="2154"/>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7"/>
                    </w:rPr>
                    <w:t>Total</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9,175</w:t>
                  </w:r>
                </w:p>
              </w:tc>
              <w:tc>
                <w:tcPr>
                  <w:tcW w:type="dxa" w:w="1361"/>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100.0%</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338</w:t>
                  </w:r>
                </w:p>
              </w:tc>
              <w:tc>
                <w:tcPr>
                  <w:tcW w:type="dxa" w:w="1077"/>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8,837</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7"/>
                    </w:rPr>
                    <w:t>—</w:t>
                  </w:r>
                </w:p>
              </w:tc>
            </w:tr>
          </w:tbl>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8" w:name="d4"/>
            <w:pPr>
              <w:keepNext/>
              <w:spacing w:after="100"/>
            </w:pPr>
            <w:r/>
            <w:r>
              <w:rPr>
                <w:rFonts w:ascii="Arial" w:hAnsi="Arial" w:cs="Arial"/>
                <w:b/>
                <w:i w:val="0"/>
                <w:color w:val="1F3F63"/>
                <w:sz w:val="25"/>
              </w:rPr>
              <w:t>Heat map — keyword by subcategory</w:t>
            </w:r>
            <w:bookmarkEnd w:id="118"/>
          </w:p>
          <w:p>
            <w:pPr>
              <w:keepNext/>
              <w:spacing w:after="120"/>
            </w:pPr>
            <w:r>
              <w:rPr>
                <w:rFonts w:ascii="Arial" w:hAnsi="Arial" w:cs="Arial"/>
                <w:b w:val="0"/>
                <w:i w:val="0"/>
                <w:color w:val="555F6B"/>
                <w:sz w:val="18"/>
              </w:rPr>
              <w:t>Matched keywords against product subcategory. Each cell is the number of gambling sites carrying that keyword in that subcategory.</w:t>
            </w:r>
          </w:p>
          <w:p>
            <w:pPr>
              <w:spacing w:after="40"/>
            </w:pPr>
            <w:r>
              <w:drawing>
                <wp:inline xmlns:a="http://schemas.openxmlformats.org/drawingml/2006/main" xmlns:pic="http://schemas.openxmlformats.org/drawingml/2006/picture">
                  <wp:extent cx="5040000" cy="7066174"/>
                  <wp:docPr id="6" name="Picture 6"/>
                  <wp:cNvGraphicFramePr>
                    <a:graphicFrameLocks noChangeAspect="1"/>
                  </wp:cNvGraphicFramePr>
                  <a:graphic>
                    <a:graphicData uri="http://schemas.openxmlformats.org/drawingml/2006/picture">
                      <pic:pic>
                        <pic:nvPicPr>
                          <pic:cNvPr id="0" name="d4.png"/>
                          <pic:cNvPicPr/>
                        </pic:nvPicPr>
                        <pic:blipFill>
                          <a:blip r:embed="rId15"/>
                          <a:stretch>
                            <a:fillRect/>
                          </a:stretch>
                        </pic:blipFill>
                        <pic:spPr>
                          <a:xfrm>
                            <a:off x="0" y="0"/>
                            <a:ext cx="5040000" cy="7066174"/>
                          </a:xfrm>
                          <a:prstGeom prst="rect"/>
                        </pic:spPr>
                      </pic:pic>
                    </a:graphicData>
                  </a:graphic>
                </wp:inline>
              </w:drawing>
            </w:r>
          </w:p>
          <w:p>
            <w:pPr>
              <w:spacing w:before="80" w:after="0"/>
            </w:pPr>
            <w:r>
              <w:rPr>
                <w:rFonts w:ascii="Arial" w:hAnsi="Arial" w:cs="Arial"/>
                <w:b w:val="0"/>
                <w:i w:val="0"/>
                <w:color w:val="555F6B"/>
                <w:sz w:val="16"/>
              </w:rPr>
              <w:t>The strip beside each keyword carries its own lexicon category, so a keyword scoring across several product columns is visible as cross category bleed. Thai keywords are shown in their original script.</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19" w:name="d5"/>
            <w:pPr>
              <w:keepNext/>
              <w:spacing w:after="100"/>
            </w:pPr>
            <w:r/>
            <w:r>
              <w:rPr>
                <w:rFonts w:ascii="Arial" w:hAnsi="Arial" w:cs="Arial"/>
                <w:b/>
                <w:i w:val="0"/>
                <w:color w:val="1F3F63"/>
                <w:sz w:val="25"/>
              </w:rPr>
              <w:t>Heat map — signal tag by subcategory</w:t>
            </w:r>
            <w:bookmarkEnd w:id="119"/>
          </w:p>
          <w:p>
            <w:pPr>
              <w:keepNext/>
              <w:spacing w:after="120"/>
            </w:pPr>
            <w:r>
              <w:rPr>
                <w:rFonts w:ascii="Arial" w:hAnsi="Arial" w:cs="Arial"/>
                <w:b w:val="0"/>
                <w:i w:val="0"/>
                <w:color w:val="555F6B"/>
                <w:sz w:val="18"/>
              </w:rPr>
              <w:t>Signal tags against product subcategory. Each cell is the number of gambling sites carrying that tag in that subcategory.</w:t>
            </w:r>
          </w:p>
          <w:p>
            <w:pPr>
              <w:spacing w:after="40"/>
            </w:pPr>
            <w:r>
              <w:drawing>
                <wp:inline xmlns:a="http://schemas.openxmlformats.org/drawingml/2006/main" xmlns:pic="http://schemas.openxmlformats.org/drawingml/2006/picture">
                  <wp:extent cx="5040000" cy="3327300"/>
                  <wp:docPr id="7" name="Picture 7"/>
                  <wp:cNvGraphicFramePr>
                    <a:graphicFrameLocks noChangeAspect="1"/>
                  </wp:cNvGraphicFramePr>
                  <a:graphic>
                    <a:graphicData uri="http://schemas.openxmlformats.org/drawingml/2006/picture">
                      <pic:pic>
                        <pic:nvPicPr>
                          <pic:cNvPr id="0" name="d5.png"/>
                          <pic:cNvPicPr/>
                        </pic:nvPicPr>
                        <pic:blipFill>
                          <a:blip r:embed="rId16"/>
                          <a:stretch>
                            <a:fillRect/>
                          </a:stretch>
                        </pic:blipFill>
                        <pic:spPr>
                          <a:xfrm>
                            <a:off x="0" y="0"/>
                            <a:ext cx="5040000" cy="3327300"/>
                          </a:xfrm>
                          <a:prstGeom prst="rect"/>
                        </pic:spPr>
                      </pic:pic>
                    </a:graphicData>
                  </a:graphic>
                </wp:inline>
              </w:drawing>
            </w:r>
          </w:p>
        </w:tc>
      </w:tr>
    </w:tbl>
    <w:p>
      <w:pPr>
        <w:spacing w:after="340" w:line="20" w:lineRule="exact"/>
      </w:pPr>
    </w:p>
    <w:p>
      <w:bookmarkStart w:id="120" w:name="grpE"/>
      <w:pPr>
        <w:keepNext/>
        <w:spacing w:before="200" w:after="80"/>
      </w:pPr>
      <w:r>
        <w:rPr>
          <w:rFonts w:ascii="Arial" w:hAnsi="Arial" w:cs="Arial"/>
          <w:b/>
          <w:i w:val="0"/>
          <w:color w:val="1F3F63"/>
          <w:sz w:val="27"/>
        </w:rPr>
        <w:t>Group E — Brands and clustering</w:t>
      </w:r>
      <w:bookmarkEnd w:id="120"/>
    </w:p>
    <w:p>
      <w:bookmarkStart w:id="121" w:name="e1"/>
      <w:pPr>
        <w:keepNext/>
        <w:spacing w:after="60"/>
      </w:pPr>
      <w:r>
        <w:rPr>
          <w:rFonts w:ascii="Arial" w:hAnsi="Arial" w:cs="Arial"/>
          <w:b/>
          <w:i w:val="0"/>
          <w:color w:val="1F3F63"/>
          <w:sz w:val="25"/>
        </w:rPr>
        <w:t>Clustering at a glance</w:t>
      </w:r>
      <w:bookmarkEnd w:id="121"/>
    </w:p>
    <w:tbl>
      <w:tblPr>
        <w:tblW w:type="auto" w:w="0"/>
        <w:tblLayout w:type="fixed"/>
        <w:tblLook w:firstColumn="1" w:firstRow="1" w:lastColumn="0" w:lastRow="0" w:noHBand="0" w:noVBand="1" w:val="04A0"/>
        <w:tblLayout w:type="fixed"/>
        <w:tblW w:w="9072" w:type="dxa"/>
      </w:tblPr>
      <w:tblGrid>
        <w:gridCol w:w="2268"/>
        <w:gridCol w:w="2268"/>
        <w:gridCol w:w="2268"/>
        <w:gridCol w:w="2268"/>
      </w:tblGrid>
      <w:tr>
        <w:trPr>
          <w:cantSplit/>
        </w:trPr>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939</w:t>
            </w:r>
          </w:p>
          <w:p>
            <w:pPr>
              <w:spacing w:after="0"/>
            </w:pPr>
            <w:r>
              <w:rPr>
                <w:rFonts w:ascii="Arial" w:hAnsi="Arial" w:cs="Arial"/>
                <w:b w:val="0"/>
                <w:i w:val="0"/>
                <w:color w:val="555F6B"/>
                <w:sz w:val="16"/>
              </w:rPr>
              <w:t>Distinct clusters</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656</w:t>
            </w:r>
          </w:p>
          <w:p>
            <w:pPr>
              <w:spacing w:after="0"/>
            </w:pPr>
            <w:r>
              <w:rPr>
                <w:rFonts w:ascii="Arial" w:hAnsi="Arial" w:cs="Arial"/>
                <w:b w:val="0"/>
                <w:i w:val="0"/>
                <w:color w:val="555F6B"/>
                <w:sz w:val="16"/>
              </w:rPr>
              <w:t>Clusters with 2 or more URLs</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283</w:t>
            </w:r>
          </w:p>
          <w:p>
            <w:pPr>
              <w:spacing w:after="0"/>
            </w:pPr>
            <w:r>
              <w:rPr>
                <w:rFonts w:ascii="Arial" w:hAnsi="Arial" w:cs="Arial"/>
                <w:b w:val="0"/>
                <w:i w:val="0"/>
                <w:color w:val="555F6B"/>
                <w:sz w:val="16"/>
              </w:rPr>
              <w:t>Singletons</w:t>
            </w:r>
          </w:p>
        </w:tc>
        <w:tc>
          <w:tcPr>
            <w:tcW w:type="dxa" w:w="2154"/>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46</w:t>
            </w:r>
          </w:p>
          <w:p>
            <w:pPr>
              <w:spacing w:after="0"/>
            </w:pPr>
            <w:r>
              <w:rPr>
                <w:rFonts w:ascii="Arial" w:hAnsi="Arial" w:cs="Arial"/>
                <w:b w:val="0"/>
                <w:i w:val="0"/>
                <w:color w:val="555F6B"/>
                <w:sz w:val="16"/>
              </w:rPr>
              <w:t>Clusters covering half the estate</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2" w:name="e2"/>
            <w:pPr>
              <w:keepNext/>
              <w:spacing w:after="100"/>
            </w:pPr>
            <w:r/>
            <w:r>
              <w:rPr>
                <w:rFonts w:ascii="Arial" w:hAnsi="Arial" w:cs="Arial"/>
                <w:b/>
                <w:i w:val="0"/>
                <w:color w:val="1F3F63"/>
                <w:sz w:val="25"/>
              </w:rPr>
              <w:t>Top 15 brand clusters by URL count</w:t>
            </w:r>
            <w:bookmarkEnd w:id="122"/>
          </w:p>
          <w:p>
            <w:pPr>
              <w:keepNext/>
              <w:spacing w:after="120"/>
            </w:pPr>
            <w:r>
              <w:rPr>
                <w:rFonts w:ascii="Arial" w:hAnsi="Arial" w:cs="Arial"/>
                <w:b w:val="0"/>
                <w:i w:val="0"/>
                <w:color w:val="555F6B"/>
                <w:sz w:val="18"/>
              </w:rPr>
              <w:t>The fifteen largest brand clusters by URL count. Bar length is the number of domains in the cluster.</w:t>
            </w:r>
          </w:p>
          <w:p>
            <w:pPr>
              <w:spacing w:after="40"/>
            </w:pPr>
            <w:r>
              <w:drawing>
                <wp:inline xmlns:a="http://schemas.openxmlformats.org/drawingml/2006/main" xmlns:pic="http://schemas.openxmlformats.org/drawingml/2006/picture">
                  <wp:extent cx="5040000" cy="4455452"/>
                  <wp:docPr id="8" name="Picture 8"/>
                  <wp:cNvGraphicFramePr>
                    <a:graphicFrameLocks noChangeAspect="1"/>
                  </wp:cNvGraphicFramePr>
                  <a:graphic>
                    <a:graphicData uri="http://schemas.openxmlformats.org/drawingml/2006/picture">
                      <pic:pic>
                        <pic:nvPicPr>
                          <pic:cNvPr id="0" name="e2.png"/>
                          <pic:cNvPicPr/>
                        </pic:nvPicPr>
                        <pic:blipFill>
                          <a:blip r:embed="rId17"/>
                          <a:stretch>
                            <a:fillRect/>
                          </a:stretch>
                        </pic:blipFill>
                        <pic:spPr>
                          <a:xfrm>
                            <a:off x="0" y="0"/>
                            <a:ext cx="5040000" cy="4455452"/>
                          </a:xfrm>
                          <a:prstGeom prst="rect"/>
                        </pic:spPr>
                      </pic:pic>
                    </a:graphicData>
                  </a:graphic>
                </wp:inline>
              </w:drawing>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3" w:name="e3"/>
            <w:pPr>
              <w:keepNext/>
              <w:spacing w:after="100"/>
            </w:pPr>
            <w:r/>
            <w:r>
              <w:rPr>
                <w:rFonts w:ascii="Arial" w:hAnsi="Arial" w:cs="Arial"/>
                <w:b/>
                <w:i w:val="0"/>
                <w:color w:val="1F3F63"/>
                <w:sz w:val="25"/>
              </w:rPr>
              <w:t>Heat map — brand cluster by subcategory</w:t>
            </w:r>
            <w:bookmarkEnd w:id="123"/>
          </w:p>
          <w:p>
            <w:pPr>
              <w:keepNext/>
              <w:spacing w:after="120"/>
            </w:pPr>
            <w:r>
              <w:rPr>
                <w:rFonts w:ascii="Arial" w:hAnsi="Arial" w:cs="Arial"/>
                <w:b w:val="0"/>
                <w:i w:val="0"/>
                <w:color w:val="555F6B"/>
                <w:sz w:val="18"/>
              </w:rPr>
              <w:t>Brand clusters against product subcategory. Each cell is the number of URLs a cluster holds in that subcategory.</w:t>
            </w:r>
          </w:p>
          <w:p>
            <w:pPr>
              <w:spacing w:after="40"/>
            </w:pPr>
            <w:r>
              <w:drawing>
                <wp:inline xmlns:a="http://schemas.openxmlformats.org/drawingml/2006/main" xmlns:pic="http://schemas.openxmlformats.org/drawingml/2006/picture">
                  <wp:extent cx="5040000" cy="6639410"/>
                  <wp:docPr id="9" name="Picture 9"/>
                  <wp:cNvGraphicFramePr>
                    <a:graphicFrameLocks noChangeAspect="1"/>
                  </wp:cNvGraphicFramePr>
                  <a:graphic>
                    <a:graphicData uri="http://schemas.openxmlformats.org/drawingml/2006/picture">
                      <pic:pic>
                        <pic:nvPicPr>
                          <pic:cNvPr id="0" name="e3.png"/>
                          <pic:cNvPicPr/>
                        </pic:nvPicPr>
                        <pic:blipFill>
                          <a:blip r:embed="rId18"/>
                          <a:stretch>
                            <a:fillRect/>
                          </a:stretch>
                        </pic:blipFill>
                        <pic:spPr>
                          <a:xfrm>
                            <a:off x="0" y="0"/>
                            <a:ext cx="5040000" cy="6639410"/>
                          </a:xfrm>
                          <a:prstGeom prst="rect"/>
                        </pic:spPr>
                      </pic:pic>
                    </a:graphicData>
                  </a:graphic>
                </wp:inline>
              </w:drawing>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4" w:name="e4"/>
            <w:pPr>
              <w:keepNext/>
              <w:spacing w:after="100"/>
            </w:pPr>
            <w:r/>
            <w:r>
              <w:rPr>
                <w:rFonts w:ascii="Arial" w:hAnsi="Arial" w:cs="Arial"/>
                <w:b/>
                <w:i w:val="0"/>
                <w:color w:val="1F3F63"/>
                <w:sz w:val="25"/>
              </w:rPr>
              <w:t>Cluster expansion — jun</w:t>
            </w:r>
            <w:bookmarkEnd w:id="124"/>
          </w:p>
          <w:p>
            <w:pPr>
              <w:keepNext/>
              <w:spacing w:after="120"/>
            </w:pPr>
            <w:r>
              <w:rPr>
                <w:rFonts w:ascii="Arial" w:hAnsi="Arial" w:cs="Arial"/>
                <w:b w:val="0"/>
                <w:i w:val="0"/>
                <w:color w:val="555F6B"/>
                <w:sz w:val="18"/>
              </w:rPr>
              <w:t>The largest brand cluster and its member domains. Edge style records why each domain joined the cluster.</w:t>
            </w:r>
          </w:p>
          <w:p>
            <w:pPr>
              <w:spacing w:after="40"/>
            </w:pPr>
            <w:r>
              <w:drawing>
                <wp:inline xmlns:a="http://schemas.openxmlformats.org/drawingml/2006/main" xmlns:pic="http://schemas.openxmlformats.org/drawingml/2006/picture">
                  <wp:extent cx="5040000" cy="3459703"/>
                  <wp:docPr id="10" name="Picture 10"/>
                  <wp:cNvGraphicFramePr>
                    <a:graphicFrameLocks noChangeAspect="1"/>
                  </wp:cNvGraphicFramePr>
                  <a:graphic>
                    <a:graphicData uri="http://schemas.openxmlformats.org/drawingml/2006/picture">
                      <pic:pic>
                        <pic:nvPicPr>
                          <pic:cNvPr id="0" name="e4.png"/>
                          <pic:cNvPicPr/>
                        </pic:nvPicPr>
                        <pic:blipFill>
                          <a:blip r:embed="rId19"/>
                          <a:stretch>
                            <a:fillRect/>
                          </a:stretch>
                        </pic:blipFill>
                        <pic:spPr>
                          <a:xfrm>
                            <a:off x="0" y="0"/>
                            <a:ext cx="5040000" cy="3459703"/>
                          </a:xfrm>
                          <a:prstGeom prst="rect"/>
                        </pic:spPr>
                      </pic:pic>
                    </a:graphicData>
                  </a:graphic>
                </wp:inline>
              </w:drawing>
            </w:r>
          </w:p>
          <w:p>
            <w:pPr>
              <w:spacing w:after="100"/>
            </w:pPr>
            <w:r>
              <w:rPr>
                <w:rFonts w:ascii="Arial" w:hAnsi="Arial" w:cs="Arial"/>
                <w:b w:val="0"/>
                <w:i w:val="0"/>
                <w:color w:val="1B1B1B"/>
                <w:sz w:val="18"/>
              </w:rPr>
              <w:t>jun holds 609 gambling URLs across 7 product subcategories; the diagram shows 22 of them.</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5" w:name="e5"/>
            <w:pPr>
              <w:keepNext/>
              <w:spacing w:after="100"/>
            </w:pPr>
            <w:r/>
            <w:r>
              <w:rPr>
                <w:rFonts w:ascii="Arial" w:hAnsi="Arial" w:cs="Arial"/>
                <w:b/>
                <w:i w:val="0"/>
                <w:color w:val="1F3F63"/>
                <w:sz w:val="25"/>
              </w:rPr>
              <w:t>Clusters spanning multiple subcategories</w:t>
            </w:r>
            <w:bookmarkEnd w:id="125"/>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1361"/>
              <w:gridCol w:w="794"/>
              <w:gridCol w:w="3515"/>
              <w:gridCol w:w="2268"/>
            </w:tblGrid>
            <w:tr>
              <w:trPr>
                <w:cantSplit/>
              </w:trPr>
              <w:tc>
                <w:tcPr>
                  <w:tcW w:type="dxa" w:w="136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Cluster</w:t>
                  </w:r>
                </w:p>
              </w:tc>
              <w:tc>
                <w:tcPr>
                  <w:tcW w:type="dxa" w:w="79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4"/>
                    </w:rPr>
                    <w:t>URLs</w:t>
                  </w:r>
                </w:p>
              </w:tc>
              <w:tc>
                <w:tcPr>
                  <w:tcW w:type="dxa" w:w="3515"/>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Subcategories</w:t>
                  </w:r>
                </w:p>
              </w:tc>
              <w:tc>
                <w:tcPr>
                  <w:tcW w:type="dxa" w:w="2268"/>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Suffixes</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jun</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609</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242, Casino 130, Lottery 78, General Gambling 70</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.top, .com, .net, .bet, .cc</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a3game</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507</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485, General Gambling 15, Lottery 3, Casino 3</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.vip, .app, .click, .club</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hay</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434</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Football Betting 208, Casino 160, Slots 38, General Gambling 26</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.net, .cc, .bet, .click, .pro</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gg88</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295</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116, Casino 62, General Gambling 44, Baccarat 27</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.net, .app, .pro, .bet, .com</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k03</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275</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General Gambling 200, Football Betting 73, Slots 1, Casino 1</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.cc, .xyz, .pro, .net</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paes</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266</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Football Betting 106, Casino 61, Slots 52, General Gambling 47</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.dev, .com</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paegs</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174</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Football Betting 75, Casino 47, Slots 27, General Gambling 24</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.dev</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lott</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173</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Lottery 120, Slots 23, General Gambling 18, Casino 6</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.com, .net, .live, .info, .bet</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jin</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145</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69, General Gambling 33, Casino 25, Playing card 9</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.vip, .com, .pro, .net, .co</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uu8</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105</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54, Casino 19, General Gambling 10, Baccarat 9</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.cc, .com, .net, .pro, .app</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o8</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88</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65, General Gambling 21, Lottery 1, Playing card 1</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.game, .click, .casino, .co, .uk</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7ok</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76</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65, General Gambling 10, Casino 1</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.shop, .live, .pro</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jju</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74</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Slots 26, Casino 19, Baccarat 11, Football Betting 8</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.pro, .net, .fun, .com, .xyz</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l8</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67</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General Gambling 47, Slots 19, Casino 1</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.game, .casino, .bet, .club, .pro</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ju8</w:t>
                  </w:r>
                </w:p>
              </w:tc>
              <w:tc>
                <w:tcPr>
                  <w:tcW w:type="dxa" w:w="79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63</w:t>
                  </w:r>
                </w:p>
              </w:tc>
              <w:tc>
                <w:tcPr>
                  <w:tcW w:type="dxa" w:w="3515"/>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General Gambling 20, Slots 19, Casino 11, Football Betting 7</w:t>
                  </w:r>
                </w:p>
              </w:tc>
              <w:tc>
                <w:tcPr>
                  <w:tcW w:type="dxa" w:w="2268"/>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.com, .click, .pro, .buzz, .site</w:t>
                  </w:r>
                </w:p>
              </w:tc>
            </w:tr>
          </w:tbl>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6" w:name="e6"/>
            <w:pPr>
              <w:keepNext/>
              <w:spacing w:after="100"/>
            </w:pPr>
            <w:r/>
            <w:r>
              <w:rPr>
                <w:rFonts w:ascii="Arial" w:hAnsi="Arial" w:cs="Arial"/>
                <w:b/>
                <w:i w:val="0"/>
                <w:color w:val="1F3F63"/>
                <w:sz w:val="25"/>
              </w:rPr>
              <w:t>Clusters rotating top-level domains</w:t>
            </w:r>
            <w:bookmarkEnd w:id="126"/>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1361"/>
              <w:gridCol w:w="5443"/>
              <w:gridCol w:w="1134"/>
            </w:tblGrid>
            <w:tr>
              <w:trPr>
                <w:cantSplit/>
              </w:trPr>
              <w:tc>
                <w:tcPr>
                  <w:tcW w:type="dxa" w:w="136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Cluster</w:t>
                  </w:r>
                </w:p>
              </w:tc>
              <w:tc>
                <w:tcPr>
                  <w:tcW w:type="dxa" w:w="5443"/>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Suffixes and counts</w:t>
                  </w:r>
                </w:p>
              </w:tc>
              <w:tc>
                <w:tcPr>
                  <w:tcW w:type="dxa" w:w="113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4"/>
                    </w:rPr>
                    <w:t>URLs</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jun</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.top (99), .com (95), .net (82), .bet (38), .cc (36), .fun (30), .pro (29), .app (28)</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609</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a3game</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.vip (498), .app (6), .click (2), .club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507</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hay</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.net (408), .cc (14), .bet (5), .click (2), .pro (1), .club (1), .app (1), .fun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434</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gg88</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.net (53), .app (48), .pro (46), .bet (36), .com (30), .online (17), .vip (15), .club (13)</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295</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k03</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.cc (272), .xyz (1), .pro (1), .net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275</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paes</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.dev (265), .com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266</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lott</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.com (98), .net (12), .live (7), .info (7), .bet (7), .cc (6), .online (5), .click (4)</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173</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jin</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.vip (25), .com (22), .pro (16), .net (14), .co (14), .bet (11), .app (8), .click (8)</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145</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uu8</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.cc (15), .com (13), .net (11), .pro (10), .app (9), .co (6), .xyz (6), .bet (4)</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105</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o8</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.game (79), .click (2), .casino (2), .co (1), .uk (1), .live (1), .bet (1), .club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88</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7ok</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(66), .shop (6), .live (3), .pro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76</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jju</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.pro (11), .net (10), .fun (9), .com (9), .xyz (8), .top (6), .co (6), .bet (6)</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74</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l8</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.game (61), .casino (2), .bet (1), .club (1), .pro (1), .fun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67</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ju8</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.com (30), .click (11), .pro (10), .buzz (4), .site (4), .fun (3), .dev (1)</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63</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min</w:t>
                  </w:r>
                </w:p>
              </w:tc>
              <w:tc>
                <w:tcPr>
                  <w:tcW w:type="dxa" w:w="5443"/>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.app (6), .com (6), .net (6), .co (4), .top (3), .city (2), .site (2), .cash (2)</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60</w:t>
                  </w:r>
                </w:p>
              </w:tc>
            </w:tr>
          </w:tbl>
          <w:p/>
          <w:p>
            <w:pPr>
              <w:spacing w:before="80" w:after="0"/>
            </w:pPr>
            <w:r>
              <w:rPr>
                <w:rFonts w:ascii="Arial" w:hAnsi="Arial" w:cs="Arial"/>
                <w:b w:val="0"/>
                <w:i w:val="0"/>
                <w:color w:val="555F6B"/>
                <w:sz w:val="16"/>
              </w:rPr>
              <w:t>501 clusters span more than one top-level domain; the fifteen largest are listed.</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7" w:name="e7"/>
            <w:pPr>
              <w:keepNext/>
              <w:spacing w:after="100"/>
            </w:pPr>
            <w:r/>
            <w:r>
              <w:rPr>
                <w:rFonts w:ascii="Arial" w:hAnsi="Arial" w:cs="Arial"/>
                <w:b/>
                <w:i w:val="0"/>
                <w:color w:val="1F3F63"/>
                <w:sz w:val="25"/>
              </w:rPr>
              <w:t>Possible operator linkage</w:t>
            </w:r>
            <w:bookmarkEnd w:id="127"/>
          </w:p>
          <w:p>
            <w:pPr>
              <w:spacing w:after="100"/>
            </w:pPr>
            <w:r>
              <w:rPr>
                <w:rFonts w:ascii="Arial" w:hAnsi="Arial" w:cs="Arial"/>
                <w:b/>
                <w:i w:val="0"/>
                <w:color w:val="555F6B"/>
                <w:sz w:val="18"/>
              </w:rPr>
              <w:t>Indicative — not a clustering decision.</w:t>
            </w:r>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1361"/>
              <w:gridCol w:w="1361"/>
              <w:gridCol w:w="4082"/>
              <w:gridCol w:w="1134"/>
            </w:tblGrid>
            <w:tr>
              <w:trPr>
                <w:cantSplit/>
              </w:trPr>
              <w:tc>
                <w:tcPr>
                  <w:tcW w:type="dxa" w:w="136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Cluster A</w:t>
                  </w:r>
                </w:p>
              </w:tc>
              <w:tc>
                <w:tcPr>
                  <w:tcW w:type="dxa" w:w="136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Cluster B</w:t>
                  </w:r>
                </w:p>
              </w:tc>
              <w:tc>
                <w:tcPr>
                  <w:tcW w:type="dxa" w:w="4082"/>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4"/>
                    </w:rPr>
                    <w:t>Shared signal keywords</w:t>
                  </w:r>
                </w:p>
              </w:tc>
              <w:tc>
                <w:tcPr>
                  <w:tcW w:type="dxa" w:w="1134"/>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4"/>
                    </w:rPr>
                    <w:t>Jaccard</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9oo</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mu8</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9oo</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n98bet</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mu8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n98bet</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m88thcasino</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jun88t</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jub</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kn88</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hu88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p27</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hu88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br</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ib8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op11</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ib8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ub88</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ib8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7oo</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op11</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ub88</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op11</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7oo</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j16</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jnu</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j16</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lun</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PRAGMATIC, WALLET, Wallet</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r>
              <w:trPr>
                <w:cantSplit/>
              </w:trPr>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ub88</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7oo</w:t>
                  </w:r>
                </w:p>
              </w:tc>
              <w:tc>
                <w:tcPr>
                  <w:tcW w:type="dxa" w:w="4082"/>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5"/>
                    </w:rPr>
                    <w:t>BET, VIP, WALLET, WIN, Wallet, สมัครสมาชิก</w:t>
                  </w:r>
                </w:p>
              </w:tc>
              <w:tc>
                <w:tcPr>
                  <w:tcW w:type="dxa" w:w="1134"/>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5"/>
                    </w:rPr>
                    <w:t>1.00</w:t>
                  </w:r>
                </w:p>
              </w:tc>
            </w:tr>
          </w:tbl>
          <w:p/>
          <w:p>
            <w:pPr>
              <w:spacing w:before="80" w:after="0"/>
            </w:pPr>
            <w:r>
              <w:rPr>
                <w:rFonts w:ascii="Arial" w:hAnsi="Arial" w:cs="Arial"/>
                <w:b w:val="0"/>
                <w:i w:val="0"/>
                <w:color w:val="555F6B"/>
                <w:sz w:val="16"/>
              </w:rPr>
              <w:t>593 cluster pairs score 0.60 or above. Shared promotional vocabulary is common across unrelated operators using the same affiliate templates, so a pair here is a lead for an analyst rather than a merge.</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28" w:name="e8"/>
            <w:pPr>
              <w:keepNext/>
              <w:spacing w:after="100"/>
            </w:pPr>
            <w:r/>
            <w:r>
              <w:rPr>
                <w:rFonts w:ascii="Arial" w:hAnsi="Arial" w:cs="Arial"/>
                <w:b/>
                <w:i w:val="0"/>
                <w:color w:val="1F3F63"/>
                <w:sz w:val="25"/>
              </w:rPr>
              <w:t>Naming conventions</w:t>
            </w:r>
            <w:bookmarkEnd w:id="128"/>
          </w:p>
          <w:p>
            <w:pPr>
              <w:pStyle w:val="ListBullet"/>
              <w:spacing w:after="60"/>
            </w:pPr>
            <w:r>
              <w:rPr>
                <w:rFonts w:ascii="Arial" w:hAnsi="Arial" w:cs="Arial"/>
                <w:b w:val="0"/>
                <w:i w:val="0"/>
                <w:color w:val="1B1B1B"/>
                <w:sz w:val="19"/>
              </w:rPr>
              <w:t>Recurring tokens across the largest clusters: "vip" (651), "mobile" (636), "m." (599). The same tokens recur across otherwise unrelated names, which is evidence of a templated naming scheme.</w:t>
            </w:r>
          </w:p>
          <w:p>
            <w:pPr>
              <w:pStyle w:val="ListBullet"/>
              <w:spacing w:after="60"/>
            </w:pPr>
            <w:r>
              <w:rPr>
                <w:rFonts w:ascii="Arial" w:hAnsi="Arial" w:cs="Arial"/>
                <w:b w:val="0"/>
                <w:i w:val="0"/>
                <w:color w:val="1B1B1B"/>
                <w:sz w:val="19"/>
              </w:rPr>
              <w:t>TLD switching: the names span 60 suffixes — .net (605), .vip (563), .dev (441), .cc (365). Operators rotate top-level domains.</w:t>
            </w:r>
          </w:p>
          <w:p>
            <w:pPr>
              <w:pStyle w:val="ListBullet"/>
              <w:spacing w:after="60"/>
            </w:pPr>
            <w:r>
              <w:rPr>
                <w:rFonts w:ascii="Arial" w:hAnsi="Arial" w:cs="Arial"/>
                <w:b w:val="0"/>
                <w:i w:val="0"/>
                <w:color w:val="1B1B1B"/>
                <w:sz w:val="19"/>
              </w:rPr>
              <w:t>3068 distinct domains across 20 brand clusters.</w:t>
            </w:r>
          </w:p>
        </w:tc>
      </w:tr>
    </w:tbl>
    <w:p>
      <w:pPr>
        <w:spacing w:after="340" w:line="20" w:lineRule="exact"/>
      </w:pPr>
    </w:p>
    <w:p>
      <w:bookmarkStart w:id="129" w:name="e9"/>
      <w:pPr>
        <w:keepNext/>
        <w:spacing w:after="60"/>
      </w:pPr>
      <w:r>
        <w:rPr>
          <w:rFonts w:ascii="Arial" w:hAnsi="Arial" w:cs="Arial"/>
          <w:b/>
          <w:i w:val="0"/>
          <w:color w:val="1F3F63"/>
          <w:sz w:val="25"/>
        </w:rPr>
        <w:t>Structure: direct, redirect, variant</w:t>
      </w:r>
      <w:bookmarkEnd w:id="129"/>
    </w:p>
    <w:tbl>
      <w:tblPr>
        <w:tblW w:type="auto" w:w="0"/>
        <w:tblLayout w:type="fixed"/>
        <w:tblLook w:firstColumn="1" w:firstRow="1" w:lastColumn="0" w:lastRow="0" w:noHBand="0" w:noVBand="1" w:val="04A0"/>
        <w:tblLayout w:type="fixed"/>
        <w:tblW w:w="9072" w:type="dxa"/>
      </w:tblPr>
      <w:tblGrid>
        <w:gridCol w:w="3024"/>
        <w:gridCol w:w="3024"/>
        <w:gridCol w:w="3024"/>
      </w:tblGrid>
      <w:tr>
        <w:trPr>
          <w:cantSplit/>
        </w:trPr>
        <w:tc>
          <w:tcPr>
            <w:tcW w:type="dxa" w:w="2910"/>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83</w:t>
            </w:r>
          </w:p>
          <w:p>
            <w:pPr>
              <w:spacing w:after="0"/>
            </w:pPr>
            <w:r>
              <w:rPr>
                <w:rFonts w:ascii="Arial" w:hAnsi="Arial" w:cs="Arial"/>
                <w:b w:val="0"/>
                <w:i w:val="0"/>
                <w:color w:val="555F6B"/>
                <w:sz w:val="16"/>
              </w:rPr>
              <w:t>Reached directly (0.9%)</w:t>
            </w:r>
          </w:p>
        </w:tc>
        <w:tc>
          <w:tcPr>
            <w:tcW w:type="dxa" w:w="2910"/>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520</w:t>
            </w:r>
          </w:p>
          <w:p>
            <w:pPr>
              <w:spacing w:after="0"/>
            </w:pPr>
            <w:r>
              <w:rPr>
                <w:rFonts w:ascii="Arial" w:hAnsi="Arial" w:cs="Arial"/>
                <w:b w:val="0"/>
                <w:i w:val="0"/>
                <w:color w:val="555F6B"/>
                <w:sz w:val="16"/>
              </w:rPr>
              <w:t>Behind a redirect (5.7%)</w:t>
            </w:r>
          </w:p>
        </w:tc>
        <w:tc>
          <w:tcPr>
            <w:tcW w:type="dxa" w:w="2910"/>
            <w:tcBorders>
              <w:top w:val="single" w:sz="4" w:space="0" w:color="C9D2DB"/>
              <w:left w:val="single" w:sz="4" w:space="0" w:color="C9D2DB"/>
              <w:bottom w:val="single" w:sz="4" w:space="0" w:color="C9D2DB"/>
              <w:right w:val="single" w:sz="4" w:space="0" w:color="C9D2DB"/>
            </w:tcBorders>
            <w:tcMar>
              <w:top w:w="226" w:type="dxa"/>
              <w:start w:w="226" w:type="dxa"/>
              <w:bottom w:w="226" w:type="dxa"/>
              <w:end w:w="226" w:type="dxa"/>
            </w:tcMar>
          </w:tcPr>
          <w:p>
            <w:pPr>
              <w:spacing w:after="20"/>
            </w:pPr>
            <w:r>
              <w:rPr>
                <w:rFonts w:ascii="Arial" w:hAnsi="Arial" w:cs="Arial"/>
                <w:b/>
                <w:i w:val="0"/>
                <w:color w:val="1F3F63"/>
                <w:sz w:val="34"/>
              </w:rPr>
              <w:t>8,572</w:t>
            </w:r>
          </w:p>
          <w:p>
            <w:pPr>
              <w:spacing w:after="0"/>
            </w:pPr>
            <w:r>
              <w:rPr>
                <w:rFonts w:ascii="Arial" w:hAnsi="Arial" w:cs="Arial"/>
                <w:b w:val="0"/>
                <w:i w:val="0"/>
                <w:color w:val="555F6B"/>
                <w:sz w:val="16"/>
              </w:rPr>
              <w:t>Crawler-identified variants (93.4%)</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0" w:name="e10"/>
            <w:pPr>
              <w:keepNext/>
              <w:spacing w:after="100"/>
            </w:pPr>
            <w:r/>
            <w:r>
              <w:rPr>
                <w:rFonts w:ascii="Arial" w:hAnsi="Arial" w:cs="Arial"/>
                <w:b/>
                <w:i w:val="0"/>
                <w:color w:val="1F3F63"/>
                <w:sz w:val="25"/>
              </w:rPr>
              <w:t>Redirect propagation — www.min88.top</w:t>
            </w:r>
            <w:bookmarkEnd w:id="130"/>
          </w:p>
          <w:p>
            <w:pPr>
              <w:keepNext/>
              <w:spacing w:after="120"/>
            </w:pPr>
            <w:r>
              <w:rPr>
                <w:rFonts w:ascii="Arial" w:hAnsi="Arial" w:cs="Arial"/>
                <w:b w:val="0"/>
                <w:i w:val="0"/>
                <w:color w:val="555F6B"/>
                <w:sz w:val="18"/>
              </w:rPr>
              <w:t>The busiest redirect source and the destinations reached from it. Each node is one domain.</w:t>
            </w:r>
          </w:p>
          <w:p>
            <w:pPr>
              <w:spacing w:after="40"/>
            </w:pPr>
            <w:r>
              <w:drawing>
                <wp:inline xmlns:a="http://schemas.openxmlformats.org/drawingml/2006/main" xmlns:pic="http://schemas.openxmlformats.org/drawingml/2006/picture">
                  <wp:extent cx="5040000" cy="1966829"/>
                  <wp:docPr id="11" name="Picture 11"/>
                  <wp:cNvGraphicFramePr>
                    <a:graphicFrameLocks noChangeAspect="1"/>
                  </wp:cNvGraphicFramePr>
                  <a:graphic>
                    <a:graphicData uri="http://schemas.openxmlformats.org/drawingml/2006/picture">
                      <pic:pic>
                        <pic:nvPicPr>
                          <pic:cNvPr id="0" name="e10.png"/>
                          <pic:cNvPicPr/>
                        </pic:nvPicPr>
                        <pic:blipFill>
                          <a:blip r:embed="rId20"/>
                          <a:stretch>
                            <a:fillRect/>
                          </a:stretch>
                        </pic:blipFill>
                        <pic:spPr>
                          <a:xfrm>
                            <a:off x="0" y="0"/>
                            <a:ext cx="5040000" cy="1966829"/>
                          </a:xfrm>
                          <a:prstGeom prst="rect"/>
                        </pic:spPr>
                      </pic:pic>
                    </a:graphicData>
                  </a:graphic>
                </wp:inline>
              </w:drawing>
            </w:r>
          </w:p>
          <w:p>
            <w:pPr>
              <w:spacing w:after="100"/>
            </w:pPr>
            <w:r>
              <w:rPr>
                <w:rFonts w:ascii="Arial" w:hAnsi="Arial" w:cs="Arial"/>
                <w:b w:val="0"/>
                <w:i w:val="0"/>
                <w:color w:val="1B1B1B"/>
                <w:sz w:val="18"/>
              </w:rPr>
              <w:t>www.min88.top reaches 6 destinations in this window.</w:t>
            </w:r>
          </w:p>
        </w:tc>
      </w:tr>
    </w:tbl>
    <w:p>
      <w:pPr>
        <w:spacing w:after="340" w:line="20" w:lineRule="exact"/>
      </w:pPr>
    </w:p>
    <w:p>
      <w:bookmarkStart w:id="131" w:name="grpF"/>
      <w:pPr>
        <w:keepNext/>
        <w:spacing w:before="200" w:after="80"/>
      </w:pPr>
      <w:r>
        <w:rPr>
          <w:rFonts w:ascii="Arial" w:hAnsi="Arial" w:cs="Arial"/>
          <w:b/>
          <w:i w:val="0"/>
          <w:color w:val="1F3F63"/>
          <w:sz w:val="27"/>
        </w:rPr>
        <w:t>Group F — Ranking</w:t>
      </w:r>
      <w:bookmarkEnd w:id="131"/>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2" w:name="f1"/>
            <w:pPr>
              <w:keepNext/>
              <w:spacing w:after="100"/>
            </w:pPr>
            <w:r/>
            <w:r>
              <w:rPr>
                <w:rFonts w:ascii="Arial" w:hAnsi="Arial" w:cs="Arial"/>
                <w:b/>
                <w:i w:val="0"/>
                <w:color w:val="1F3F63"/>
                <w:sz w:val="25"/>
              </w:rPr>
              <w:t>Gambling ranking</w:t>
            </w:r>
            <w:bookmarkEnd w:id="132"/>
          </w:p>
          <w:tbl>
            <w:tblPr>
              <w:tblW w:type="auto" w:w="0"/>
              <w:tblLayout w:type="fixed"/>
              <w:tblLook w:firstColumn="1" w:firstRow="1" w:lastColumn="0" w:lastRow="0" w:noHBand="0" w:noVBand="1" w:val="04A0"/>
              <w:tblLayout w:type="fixed"/>
              <w:tblW w:w="7938" w:type="dxa"/>
              <w:tblBorders>
                <w:insideH w:val="single" w:sz="2" w:space="0" w:color="E4E8F0"/>
              </w:tblBorders>
            </w:tblPr>
            <w:tblGrid>
              <w:gridCol w:w="1020"/>
              <w:gridCol w:w="2381"/>
              <w:gridCol w:w="1361"/>
              <w:gridCol w:w="1587"/>
              <w:gridCol w:w="1587"/>
            </w:tblGrid>
            <w:tr>
              <w:trPr>
                <w:cantSplit/>
              </w:trPr>
              <w:tc>
                <w:tcPr>
                  <w:tcW w:type="dxa" w:w="1020"/>
                  <w:shd w:val="clear" w:color="auto" w:fill="1F3F63"/>
                  <w:tcBorders>
                    <w:top w:val="nil"/>
                    <w:left w:val="nil"/>
                    <w:bottom w:val="nil"/>
                    <w:right w:val="nil"/>
                  </w:tcBorders>
                  <w:tcMar>
                    <w:top w:w="68" w:type="dxa"/>
                    <w:start w:w="68" w:type="dxa"/>
                    <w:bottom w:w="68" w:type="dxa"/>
                    <w:end w:w="68" w:type="dxa"/>
                  </w:tcMar>
                </w:tcPr>
                <w:p>
                  <w:pPr>
                    <w:spacing w:after="0"/>
                    <w:jc w:val="right"/>
                  </w:pPr>
                  <w:r>
                    <w:rPr>
                      <w:rFonts w:ascii="Arial" w:hAnsi="Arial" w:cs="Arial"/>
                      <w:b/>
                      <w:i w:val="0"/>
                      <w:color w:val="FFFFFF"/>
                      <w:sz w:val="15"/>
                    </w:rPr>
                    <w:t>Rank</w:t>
                  </w:r>
                </w:p>
              </w:tc>
              <w:tc>
                <w:tcPr>
                  <w:tcW w:type="dxa" w:w="238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5"/>
                    </w:rPr>
                    <w:t>Domain</w:t>
                  </w:r>
                </w:p>
              </w:tc>
              <w:tc>
                <w:tcPr>
                  <w:tcW w:type="dxa" w:w="1361"/>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5"/>
                    </w:rPr>
                    <w:t>Brand cluster</w:t>
                  </w:r>
                </w:p>
              </w:tc>
              <w:tc>
                <w:tcPr>
                  <w:tcW w:type="dxa" w:w="1587"/>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5"/>
                    </w:rPr>
                    <w:t>Subcategory</w:t>
                  </w:r>
                </w:p>
              </w:tc>
              <w:tc>
                <w:tcPr>
                  <w:tcW w:type="dxa" w:w="1587"/>
                  <w:shd w:val="clear" w:color="auto" w:fill="1F3F63"/>
                  <w:tcBorders>
                    <w:top w:val="nil"/>
                    <w:left w:val="nil"/>
                    <w:bottom w:val="nil"/>
                    <w:right w:val="nil"/>
                  </w:tcBorders>
                  <w:tcMar>
                    <w:top w:w="68" w:type="dxa"/>
                    <w:start w:w="68" w:type="dxa"/>
                    <w:bottom w:w="68" w:type="dxa"/>
                    <w:end w:w="68" w:type="dxa"/>
                  </w:tcMar>
                </w:tcPr>
                <w:p>
                  <w:pPr>
                    <w:spacing w:after="0"/>
                  </w:pPr>
                  <w:r>
                    <w:rPr>
                      <w:rFonts w:ascii="Arial" w:hAnsi="Arial" w:cs="Arial"/>
                      <w:b/>
                      <w:i w:val="0"/>
                      <w:color w:val="FFFFFF"/>
                      <w:sz w:val="15"/>
                    </w:rPr>
                    <w:t>Source</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78,229</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lottovip.com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Lottery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Youtube (lotto432)</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90,304</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lottovip.bet</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Lottery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(lottovip.com)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93,266</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lottovip.info</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(lottovip.com)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184,475</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fun88thf.com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fun88tht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Football Betting</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(fun88tht.com)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198,736</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jun88wb.com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Casino</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(jun88wh.com)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214,795</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allslotwallet.online</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allslotwallet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Manual (claude.ai)</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216,041</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lottovipp.com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Lottery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(lottovip.com)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221,001</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suriyathai.net</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suriya</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General Gambling</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Manual (claude.ai)</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303,254</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jun88wf.com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Lottery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(jun88wt.com)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397,330</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jun88wa.com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jun88e</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(jun88ea.com)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402,382</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ruay.com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ruay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General Gambling</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Youtube (หวยออนไลน์)</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466,858</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jun88wc.com</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jun88w</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(jun88wd.com)</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517,141</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slavinaslot.top</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Redirect (jun88.info)</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517,141</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jun88.info</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jun</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Slots</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(jun88.mobile)</w:t>
                  </w:r>
                </w:p>
              </w:tc>
            </w:tr>
            <w:tr>
              <w:trPr>
                <w:cantSplit/>
              </w:trPr>
              <w:tc>
                <w:tcPr>
                  <w:tcW w:type="dxa" w:w="1020"/>
                  <w:tcBorders>
                    <w:top w:val="nil"/>
                    <w:left w:val="nil"/>
                    <w:bottom w:val="nil"/>
                    <w:right w:val="nil"/>
                  </w:tcBorders>
                  <w:tcMar>
                    <w:top w:w="68" w:type="dxa"/>
                    <w:start w:w="68" w:type="dxa"/>
                    <w:bottom w:w="68" w:type="dxa"/>
                    <w:end w:w="68" w:type="dxa"/>
                  </w:tcMar>
                </w:tcPr>
                <w:p>
                  <w:pPr>
                    <w:spacing w:after="0"/>
                    <w:jc w:val="right"/>
                  </w:pPr>
                  <w:r>
                    <w:rPr>
                      <w:rFonts w:ascii="Arial" w:hAnsi="Arial" w:cs="Arial"/>
                      <w:b w:val="0"/>
                      <w:i w:val="0"/>
                      <w:color w:val="1B1B1B"/>
                      <w:sz w:val="16"/>
                    </w:rPr>
                    <w:t>547,370</w:t>
                  </w:r>
                </w:p>
              </w:tc>
              <w:tc>
                <w:tcPr>
                  <w:tcW w:type="dxa" w:w="238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99ok.vip</w:t>
                  </w:r>
                </w:p>
              </w:tc>
              <w:tc>
                <w:tcPr>
                  <w:tcW w:type="dxa" w:w="1361"/>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99ok</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Lottery</w:t>
                  </w:r>
                </w:p>
              </w:tc>
              <w:tc>
                <w:tcPr>
                  <w:tcW w:type="dxa" w:w="1587"/>
                  <w:tcBorders>
                    <w:top w:val="nil"/>
                    <w:left w:val="nil"/>
                    <w:bottom w:val="nil"/>
                    <w:right w:val="nil"/>
                  </w:tcBorders>
                  <w:tcMar>
                    <w:top w:w="68" w:type="dxa"/>
                    <w:start w:w="68" w:type="dxa"/>
                    <w:bottom w:w="68" w:type="dxa"/>
                    <w:end w:w="68" w:type="dxa"/>
                  </w:tcMar>
                </w:tcPr>
                <w:p>
                  <w:pPr>
                    <w:spacing w:after="0"/>
                  </w:pPr>
                  <w:r>
                    <w:rPr>
                      <w:rFonts w:ascii="Arial" w:hAnsi="Arial" w:cs="Arial"/>
                      <w:b w:val="0"/>
                      <w:i w:val="0"/>
                      <w:color w:val="1B1B1B"/>
                      <w:sz w:val="16"/>
                    </w:rPr>
                    <w:t>Variant (99ok.bet)</w:t>
                  </w:r>
                </w:p>
              </w:tc>
            </w:tr>
          </w:tbl>
          <w:p/>
          <w:p>
            <w:pPr>
              <w:spacing w:before="80" w:after="0"/>
            </w:pPr>
            <w:r>
              <w:rPr>
                <w:rFonts w:ascii="Arial" w:hAnsi="Arial" w:cs="Arial"/>
                <w:b w:val="0"/>
                <w:i w:val="0"/>
                <w:color w:val="555F6B"/>
                <w:sz w:val="16"/>
              </w:rPr>
              <w:t>236 gambling rows carry a numeric rank; the fifteen best ranked are listed.</w:t>
            </w:r>
          </w:p>
        </w:tc>
      </w:tr>
    </w:tbl>
    <w:p>
      <w:pPr>
        <w:spacing w:after="340" w:line="20" w:lineRule="exact"/>
      </w:pPr>
    </w:p>
    <w:p>
      <w:bookmarkStart w:id="133" w:name="grpG"/>
      <w:pPr>
        <w:keepNext/>
        <w:spacing w:before="200" w:after="80"/>
      </w:pPr>
      <w:r>
        <w:rPr>
          <w:rFonts w:ascii="Arial" w:hAnsi="Arial" w:cs="Arial"/>
          <w:b/>
          <w:i w:val="0"/>
          <w:color w:val="1F3F63"/>
          <w:sz w:val="27"/>
        </w:rPr>
        <w:t>Group G — Key insights</w:t>
      </w:r>
      <w:bookmarkEnd w:id="133"/>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4" w:name="g1"/>
            <w:pPr>
              <w:keepNext/>
              <w:spacing w:after="100"/>
            </w:pPr>
            <w:r/>
            <w:r>
              <w:rPr>
                <w:rFonts w:ascii="Arial" w:hAnsi="Arial" w:cs="Arial"/>
                <w:b/>
                <w:i w:val="0"/>
                <w:color w:val="1F3F63"/>
                <w:sz w:val="25"/>
              </w:rPr>
              <w:t>Scale of the analysis</w:t>
            </w:r>
            <w:bookmarkEnd w:id="134"/>
          </w:p>
          <w:p>
            <w:pPr>
              <w:spacing w:after="100"/>
            </w:pPr>
            <w:r>
              <w:rPr>
                <w:rFonts w:ascii="Arial" w:hAnsi="Arial" w:cs="Arial"/>
                <w:b w:val="0"/>
                <w:i w:val="0"/>
                <w:color w:val="1B1B1B"/>
                <w:sz w:val="19"/>
              </w:rPr>
              <w:t>The standard working set holds 31,798 distinct URLs over 29 days (2026-08-31 to 2026-09-28). 9,175 carry gambling content, 11,594 do not, 28 could not be reached and 11,001 arrive with a status the source feed does not resolve. Gambling is 28.9% of the set.</w:t>
            </w:r>
          </w:p>
          <w:p>
            <w:pPr>
              <w:spacing w:before="80" w:after="0"/>
            </w:pPr>
            <w:r>
              <w:rPr>
                <w:rFonts w:ascii="Arial" w:hAnsi="Arial" w:cs="Arial"/>
                <w:b/>
                <w:i w:val="0"/>
                <w:color w:val="1F3F63"/>
                <w:sz w:val="19"/>
              </w:rPr>
              <w:t xml:space="preserve">Take: </w:t>
            </w:r>
            <w:r>
              <w:rPr>
                <w:rFonts w:ascii="Arial" w:hAnsi="Arial" w:cs="Arial"/>
                <w:b w:val="0"/>
                <w:i w:val="0"/>
                <w:color w:val="1F3F63"/>
                <w:sz w:val="19"/>
              </w:rPr>
              <w:t>The sample is large enough to reason about patterns, not isolated cases.</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5" w:name="g2"/>
            <w:pPr>
              <w:keepNext/>
              <w:spacing w:after="100"/>
            </w:pPr>
            <w:r/>
            <w:r>
              <w:rPr>
                <w:rFonts w:ascii="Arial" w:hAnsi="Arial" w:cs="Arial"/>
                <w:b/>
                <w:i w:val="0"/>
                <w:color w:val="1F3F63"/>
                <w:sz w:val="25"/>
              </w:rPr>
              <w:t>What is being offered</w:t>
            </w:r>
            <w:bookmarkEnd w:id="135"/>
          </w:p>
          <w:p>
            <w:pPr>
              <w:spacing w:after="100"/>
            </w:pPr>
            <w:r>
              <w:rPr>
                <w:rFonts w:ascii="Arial" w:hAnsi="Arial" w:cs="Arial"/>
                <w:b w:val="0"/>
                <w:i w:val="0"/>
                <w:color w:val="1B1B1B"/>
                <w:sz w:val="19"/>
              </w:rPr>
              <w:t>The three largest product subcategories are Slots (3,830, 41.7%), General Gambling (1,685, 18.4%), Casino (1,402, 15.3%). 18.4% of gambling sites are confirmed as gambling without an evidenced product type and are carried as General Gambling. 96.3% of subcategory assignments come from reasoning inference rather than a lexicon keyword, and 212 of the 291 lexicon entries never matched a row in this sample.</w:t>
            </w:r>
          </w:p>
          <w:p>
            <w:pPr>
              <w:spacing w:before="80" w:after="0"/>
            </w:pPr>
            <w:r>
              <w:rPr>
                <w:rFonts w:ascii="Arial" w:hAnsi="Arial" w:cs="Arial"/>
                <w:b/>
                <w:i w:val="0"/>
                <w:color w:val="1F3F63"/>
                <w:sz w:val="19"/>
              </w:rPr>
              <w:t xml:space="preserve">Take: </w:t>
            </w:r>
            <w:r>
              <w:rPr>
                <w:rFonts w:ascii="Arial" w:hAnsi="Arial" w:cs="Arial"/>
                <w:b w:val="0"/>
                <w:i w:val="0"/>
                <w:color w:val="1F3F63"/>
                <w:sz w:val="19"/>
              </w:rPr>
              <w:t>Slots is the dominant product type, but at 41.7% of gambling rows the estate is spread across product types rather than concentrated. The lexicon resolves product type for only a small minority of rows here — coverage is weakest on Slots, Promotions, Hashtags — so these figures are indicative only.</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6" w:name="g3"/>
            <w:pPr>
              <w:keepNext/>
              <w:spacing w:after="100"/>
            </w:pPr>
            <w:r/>
            <w:r>
              <w:rPr>
                <w:rFonts w:ascii="Arial" w:hAnsi="Arial" w:cs="Arial"/>
                <w:b/>
                <w:i w:val="0"/>
                <w:color w:val="1F3F63"/>
                <w:sz w:val="25"/>
              </w:rPr>
              <w:t>Brand clustering</w:t>
            </w:r>
            <w:bookmarkEnd w:id="136"/>
          </w:p>
          <w:p>
            <w:pPr>
              <w:spacing w:after="100"/>
            </w:pPr>
            <w:r>
              <w:rPr>
                <w:rFonts w:ascii="Arial" w:hAnsi="Arial" w:cs="Arial"/>
                <w:b w:val="0"/>
                <w:i w:val="0"/>
                <w:color w:val="1B1B1B"/>
                <w:sz w:val="19"/>
              </w:rPr>
              <w:t>939 brand clusters sit behind 9,175 gambling URLs. 656 hold more than one domain and 283 are singletons. 46 clusters cover half the estate; the top five cover 23.1% and the top ten 32.5%. The largest, jun, holds 609 domains across 7 product subcategories.</w:t>
            </w:r>
          </w:p>
          <w:p>
            <w:pPr>
              <w:spacing w:before="80" w:after="0"/>
            </w:pPr>
            <w:r>
              <w:rPr>
                <w:rFonts w:ascii="Arial" w:hAnsi="Arial" w:cs="Arial"/>
                <w:b/>
                <w:i w:val="0"/>
                <w:color w:val="1F3F63"/>
                <w:sz w:val="19"/>
              </w:rPr>
              <w:t xml:space="preserve">Take: </w:t>
            </w:r>
            <w:r>
              <w:rPr>
                <w:rFonts w:ascii="Arial" w:hAnsi="Arial" w:cs="Arial"/>
                <w:b w:val="0"/>
                <w:i w:val="0"/>
                <w:color w:val="1F3F63"/>
                <w:sz w:val="19"/>
              </w:rPr>
              <w:t>The estate is diffuse: with 46 clusters needed to cover half of it, per URL blocking will have limited leverage and cluster level action is the only route that scales.</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7" w:name="g4"/>
            <w:pPr>
              <w:keepNext/>
              <w:spacing w:after="100"/>
            </w:pPr>
            <w:r/>
            <w:r>
              <w:rPr>
                <w:rFonts w:ascii="Arial" w:hAnsi="Arial" w:cs="Arial"/>
                <w:b/>
                <w:i w:val="0"/>
                <w:color w:val="1F3F63"/>
                <w:sz w:val="25"/>
              </w:rPr>
              <w:t>How the estate is grown and marketed</w:t>
            </w:r>
            <w:bookmarkEnd w:id="137"/>
          </w:p>
          <w:p>
            <w:pPr>
              <w:spacing w:after="100"/>
            </w:pPr>
            <w:r>
              <w:rPr>
                <w:rFonts w:ascii="Arial" w:hAnsi="Arial" w:cs="Arial"/>
                <w:b w:val="0"/>
                <w:i w:val="0"/>
                <w:color w:val="1B1B1B"/>
                <w:sz w:val="19"/>
              </w:rPr>
              <w:t>8,572 gambling URLs are crawler-identified variants, 520 sit behind redirect chains and 83 were reached directly. The busiest redirect source, www.min88.top, reaches 6 destinations. 501 clusters rotate across more than one top-level domain. The two most common signal tags are Abbreviations (35.0%) and Marketing &amp; Acquisition (3.7%).</w:t>
            </w:r>
          </w:p>
          <w:p>
            <w:pPr>
              <w:spacing w:before="80" w:after="0"/>
            </w:pPr>
            <w:r>
              <w:rPr>
                <w:rFonts w:ascii="Arial" w:hAnsi="Arial" w:cs="Arial"/>
                <w:b/>
                <w:i w:val="0"/>
                <w:color w:val="1F3F63"/>
                <w:sz w:val="19"/>
              </w:rPr>
              <w:t xml:space="preserve">Take: </w:t>
            </w:r>
            <w:r>
              <w:rPr>
                <w:rFonts w:ascii="Arial" w:hAnsi="Arial" w:cs="Arial"/>
                <w:b w:val="0"/>
                <w:i w:val="0"/>
                <w:color w:val="1F3F63"/>
                <w:sz w:val="19"/>
              </w:rPr>
              <w:t>Redirects and TLD rotation keep a stable entry point while the sites behind it are replaced, so enforcement aimed at a single domain is absorbed by the next variant.</w:t>
            </w:r>
          </w:p>
        </w:tc>
      </w:tr>
    </w:tbl>
    <w:p>
      <w:pPr>
        <w:spacing w:after="340" w:line="20" w:lineRule="exact"/>
      </w:pPr>
    </w:p>
    <w:tbl>
      <w:tblPr>
        <w:tblW w:type="auto" w:w="0"/>
        <w:jc w:val="left"/>
        <w:tblLayout w:type="fixed"/>
        <w:tblLook w:firstColumn="1" w:firstRow="1" w:lastColumn="0" w:lastRow="0" w:noHBand="0" w:noVBand="1" w:val="04A0"/>
        <w:tblLayout w:type="fixed"/>
        <w:tblW w:w="9072" w:type="dxa"/>
      </w:tblPr>
      <w:tblGrid>
        <w:gridCol w:w="9071"/>
      </w:tblGrid>
      <w:tr>
        <w:trPr>
          <w:cantSplit/>
        </w:trPr>
        <w:tc>
          <w:tcPr>
            <w:tcW w:type="dxa" w:w="9071"/>
            <w:tcBorders>
              <w:top w:val="single" w:sz="4" w:space="0" w:color="C9D2DB"/>
              <w:left w:val="single" w:sz="4" w:space="0" w:color="C9D2DB"/>
              <w:bottom w:val="single" w:sz="4" w:space="0" w:color="C9D2DB"/>
              <w:right w:val="single" w:sz="4" w:space="0" w:color="C9D2DB"/>
            </w:tcBorders>
            <w:tcMar>
              <w:top w:w="567" w:type="dxa"/>
              <w:start w:w="567" w:type="dxa"/>
              <w:bottom w:w="567" w:type="dxa"/>
              <w:end w:w="567" w:type="dxa"/>
            </w:tcMar>
          </w:tcPr>
          <w:p>
            <w:bookmarkStart w:id="138" w:name="g5"/>
            <w:pPr>
              <w:keepNext/>
              <w:spacing w:after="100"/>
            </w:pPr>
            <w:r/>
            <w:r>
              <w:rPr>
                <w:rFonts w:ascii="Arial" w:hAnsi="Arial" w:cs="Arial"/>
                <w:b/>
                <w:i w:val="0"/>
                <w:color w:val="1F3F63"/>
                <w:sz w:val="25"/>
              </w:rPr>
              <w:t>Enforcement position</w:t>
            </w:r>
            <w:bookmarkEnd w:id="138"/>
          </w:p>
          <w:p>
            <w:pPr>
              <w:spacing w:after="100"/>
            </w:pPr>
            <w:r>
              <w:rPr>
                <w:rFonts w:ascii="Arial" w:hAnsi="Arial" w:cs="Arial"/>
                <w:b w:val="0"/>
                <w:i w:val="0"/>
                <w:color w:val="1B1B1B"/>
                <w:sz w:val="19"/>
              </w:rPr>
              <w:t>7 pages in the set carry a regulatory-blocking indicator — a block notice, a court order or a regulator reference — out of 31,798 URLs analysed.</w:t>
            </w:r>
          </w:p>
          <w:p>
            <w:pPr>
              <w:spacing w:before="80" w:after="0"/>
            </w:pPr>
            <w:r>
              <w:rPr>
                <w:rFonts w:ascii="Arial" w:hAnsi="Arial" w:cs="Arial"/>
                <w:b/>
                <w:i w:val="0"/>
                <w:color w:val="1F3F63"/>
                <w:sz w:val="19"/>
              </w:rPr>
              <w:t xml:space="preserve">Take: </w:t>
            </w:r>
            <w:r>
              <w:rPr>
                <w:rFonts w:ascii="Arial" w:hAnsi="Arial" w:cs="Arial"/>
                <w:b w:val="0"/>
                <w:i w:val="0"/>
                <w:color w:val="1F3F63"/>
                <w:sz w:val="19"/>
              </w:rPr>
              <w:t>This set is a candidate for a first enforcement pass, prioritised by cluster rather than by URL.</w:t>
            </w:r>
          </w:p>
        </w:tc>
      </w:tr>
    </w:tbl>
    <w:p>
      <w:pPr>
        <w:spacing w:after="340" w:line="20" w:lineRule="exact"/>
      </w:pPr>
    </w:p>
    <w:p>
      <w:pPr>
        <w:keepLines/>
        <w:spacing w:before="200"/>
      </w:pPr>
      <w:r>
        <w:rPr>
          <w:rFonts w:ascii="Arial" w:hAnsi="Arial" w:cs="Arial"/>
          <w:b w:val="0"/>
          <w:i w:val="0"/>
          <w:color w:val="555F6B"/>
          <w:sz w:val="14"/>
        </w:rPr>
        <w:t>Lexicon source Gambling_Keywords_Full_English_Categories_V1.xlsx, version V1, Appendix A of the report specification; 14 categories, 291 entries, 286 distinct keywords — Football Betting 21 · Slots 32 · Casino 14 · Lottery 20 · Playing card 12 · Baccarat 11 · General Gambling 22 · Deposit &amp; Withdrawal 24 · Promotions 27 · Marketing &amp; Acquisition 25 · Affiliate &amp; Agent 20 · Vague-Evasion Terms 20 · Abbreviations 22 · Hashtags 21. Inferred share 96.3%; General Gambling share 18.4%. Rows normalised from a licensed-gambling status value: 0. Abbreviations flagged as probable false-positive sources: BET 28.4% of Abbreviations matches; VIP 47.3% of Abbreviations matches. Clustering thresholds: Jaro–Winkler 0.90 with a prefix or trailing-character condition; market and version affixes stripped (th, thai, thb, aff, affiliate, vip, official, v-number, trailing digits); stems under three characters reverted.</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s="Arial"/>
        <w:b w:val="0"/>
        <w:i w:val="0"/>
        <w:color w:val="555F6B"/>
        <w:sz w:val="15"/>
      </w:rPr>
      <w:t xml:space="preserve">Data Insights &amp; Patterns · SICPADetect · Ministry of Digital Economy and Society, Thailand · page </w:t>
    </w:r>
    <w:r>
      <w:rPr>
        <w:rFonts w:ascii="Arial" w:hAnsi="Arial" w:cs="Arial"/>
        <w:b w:val="0"/>
        <w:i w:val="0"/>
        <w:color w:val="555F6B"/>
        <w:sz w:val="15"/>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