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804878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878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40"/>
        <w:jc w:val="center"/>
      </w:pPr>
      <w:r>
        <w:rPr>
          <w:rFonts w:ascii="Arial" w:hAnsi="Arial" w:cs="Noto Sans Thai"/>
          <w:b/>
          <w:color w:val="111417"/>
          <w:sz w:val="40"/>
          <w:szCs w:val="40"/>
          <w:bCs w:val="1"/>
        </w:rPr>
        <w:t>Site Classification Report</w:t>
      </w:r>
    </w:p>
    <w:p>
      <w:pPr>
        <w:spacing w:before="0" w:after="280" w:line="324" w:lineRule="auto"/>
        <w:jc w:val="center"/>
      </w:pPr>
      <w:r>
        <w:rPr>
          <w:rFonts w:ascii="Arial" w:hAnsi="Arial" w:cs="Noto Sans Thai"/>
          <w:b w:val="0"/>
          <w:color w:val="5B6670"/>
          <w:sz w:val="20"/>
          <w:szCs w:val="20"/>
        </w:rPr>
        <w:t>Automated site classification: evidence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Report reference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Prepared by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 SA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Date of issue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07/10/2026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System / model version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· TH_V1_SiteReport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Records in this report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10</w:t>
            </w:r>
          </w:p>
        </w:tc>
      </w:tr>
    </w:tbl>
    <w:p>
      <w:pPr>
        <w:spacing w:before="320" w:after="280"/>
        <w:pBdr>
          <w:bottom w:val="single" w:sz="6" w:space="1" w:color="C9D2DB"/>
        </w:pBdr>
      </w:pPr>
    </w:p>
    <w:p>
      <w:pPr>
        <w:pStyle w:val="Heading2"/>
        <w:spacing w:before="0" w:after="200"/>
      </w:pPr>
      <w:r>
        <w:rPr>
          <w:rFonts w:ascii="Arial" w:hAnsi="Arial" w:cs="Noto Sans Thai"/>
          <w:b/>
          <w:color w:val="111417"/>
          <w:sz w:val="28"/>
          <w:szCs w:val="28"/>
          <w:bCs w:val="1"/>
        </w:rPr>
        <w:t>Analysis</w:t>
      </w:r>
    </w:p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suriyathai.net: General Gambling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https://suriyathai.net/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General Gambling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gold crowned lion wordmark above a white sign-in panel on a plain green background.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username field, a password field, a forgot-password link, a registration button and a sign-in button.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None matched. The classification rests on the visual and functional evidence in this record.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capture records a sign-in wall. No page content behind the sign-in panel is visible.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e642bd0d32118bce113d6105a5a366ba7d4a60f66c54df935829cd7dc96b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evidence/c1f74435-ba17-49fa-bdfd-50c5e611e7b8/f53b6ff8-4595-4689-aa33-8d4c6744ea63/homepage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2026-09-26T10:51:53.702663+07:00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7de642bd0d32118bce113d6105a5a366ba7d4a60f66c54df935829cd7dc96b14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SHA-256 evidence hash: a cryptographic fingerprint of the captured evidence file. It verifies that the screenshot or capture has not changed since collection.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None matched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7de642bd0d32118bce113d6105a5a366ba7d4a60f66c54df935829cd7dc96b14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2026-09-26T10:51:53.702663+07:00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707jili.com: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(Variant: 707jili.vip)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https://707jili.com/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slot game artwork, illustrated game characters, stacks of gold coins and payout figures of 124,107 and 113,600.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sign-in link, a registration button, a first-deposit bonus offer and game category tabs.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สล็อต; สล็อตเว็บตรง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707jili.com carries the game provider name JILI, which also appears in the site wordmark.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A promotional overlay covers the centre of the page at capture time.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b23e2b2b690bd40565ff29b82e0bc00f147669f7ab6fc8f43b61158a83b76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evidence/53e20327-7b7a-4a46-96e1-8886c0d348af/dc4913da-66ce-46d5-9673-74fe58a9f6d3/homepage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2026-10-03T20:22:18.268+07:00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45b23e2b2b690bd40565ff29b82e0bc00f147669f7ab6fc8f43b61158a83b76d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สล็อต; สล็อตเว็บตรง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45b23e2b2b690bd40565ff29b82e0bc00f147669f7ab6fc8f43b61158a83b76d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2026-10-03T20:22:18.268+07:00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play-tga.net: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https://play-tga.net/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red and black casino theme with illustrated dealers, playing cards, a roulette wheel and casino chips.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registration button, a sign-in button, a deposit button and game category links for six product types.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A notification prompt covers part of the page at capture time.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695d47c462c2500655a13c51bba0ed01c2696d1e4f1676ca82ad80c5109ce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evidence/fa32dbf1-9f37-42c4-9ed8-db250706a14f/ae4a9f65-07d8-4903-ad6a-0cd30150104f/homepage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2026-10-03T11:14:35.026059+07:00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3f695d47c462c2500655a13c51bba0ed01c2696d1e4f1676ca82ad80c5109ce9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3f695d47c462c2500655a13c51bba0ed01c2696d1e4f1676ca82ad80c5109ce9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2026-10-03T11:14:35.026059+07:00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dreamworld777.buzz: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https://dreamworld777.buzz/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slot machine and jackpot artwork, a 777 reel icon and game tiles carrying win-rate percentages from 85 to 97.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sign-in button, a registration button, game category links and messaging contact buttons.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dreamworld777.buzz carries the numeral 777, a slot machine reel combination.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b62ad9d0af70c403d5527b8f08e4f32d2f8268c85a7bb5f70828175d07b8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evidence/d7c3d159-8c95-45d4-af2c-fbcc0ddbb89f/367a5f79-b523-44bc-ae66-7880050df816/homepage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2026-10-05T10:48:21.305467+07:00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f1b62ad9d0af70c403d5527b8f08e4f32d2f8268c85a7bb5f70828175d07b82f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f1b62ad9d0af70c403d5527b8f08e4f32d2f8268c85a7bb5f70828175d07b82f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2026-10-05T10:48:21.305467+07:00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e699zz.com: Casino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https://e699zz.com/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Casino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คาสิโน; คาสิโนสด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gold and black casino theme with illustrated hosts, banknote artwork and a deposit bonus panel reading 100 and 98.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username field, a password field, a sign-in button, a registration button, a messaging sign-in button and game category links.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คาสิโน; คาสิโนสด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e699zz.com differs from the site wordmark 2066.COM, and the page lists further domains including E699X.COM.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Two promotional overlays cover the page at capture time. The page header renders a site clock reading 2026/09/30 04:18:18am (GMT8), which is a page element and not the capture timestamp.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6109e58d79a6f27cd0a9e5551fabf1255ff43a9164ce1e49fffef1658b1c1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evidence/48a66acd-ae7e-4a58-885c-6533c4cfb6a7/05886f62-226d-457e-8864-c8e857e591f5/homepage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2026-09-30T11:18:37.761429+07:00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646109e58d79a6f27cd0a9e5551fabf1255ff43a9164ce1e49fffef1658b1c15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คาสิโน; คาสิโนสด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646109e58d79a6f27cd0a9e5551fabf1255ff43a9164ce1e49fffef1658b1c15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2026-09-30T11:18:37.761429+07:00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jun8891.com: Casino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(Variant: jun8888.info)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https://jun8891.com/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Casino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คาสิโน; คาสิโนสด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four ace playing cards, casino chips, gold coins and sports ambassadors in branded kit.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sign-in button, a registration button, a deposit and withdrawal notice, a referral bonus offer, game category links and messaging contact buttons.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คาสิโน; คาสิโนสด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jun8891.com extends the operator wordmark Jun88 with a numeric suffix, and the record names jun8888.info as the seed domain.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A full-width announcement overlay covers the centre of the page at capture time.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df44a9afa46e55f018d4633dbef451dddb49f61e3b595dee94b05639b0cf2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evidence/272c6cb1-e857-468a-964d-35427dc6ec90/8ef27ae3-f3d5-40bf-a5ca-a37ad0c7e18a/homepage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2026-09-26T00:22:26.688453+07:00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d4df44a9afa46e55f018d4633dbef451dddb49f61e3b595dee94b05639b0cf22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คาสิโน; คาสิโนสด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d4df44a9afa46e55f018d4633dbef451dddb49f61e3b595dee94b05639b0cf22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2026-09-26T00:22:26.688453+07:00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meetang.cc: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https://meetang.cc/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neon cityscape backdrop, illustrated game characters, a slot machine icon and cashback tiers of 30, 8, 5 and 3 percent.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sign-in button, a registration button, game category tabs, a provider filter and a game search field.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13f6595bdf0a78ddf324766ff3e80fe905c079b73b17b7636a3d3105805a4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evidence/0e5deef0-fd32-42ac-90af-3f9192db13a6/15495707-e275-4a6b-ae7a-483a6dfb32e1/homepage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2026-10-03T11:13:23.534502+07:00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ef13f6595bdf0a78ddf324766ff3e80fe905c079b73b17b7636a3d3105805a40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ef13f6595bdf0a78ddf324766ff3e80fe905c079b73b17b7636a3d3105805a40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2026-10-03T11:13:23.534502+07:00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mun8.com: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(Variant: mun89.com)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https://mun8.com/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gold wordmark, a daily check-in reward banner, a live grand jackpot counter reading THB 1,858,725 and a winner ticker.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combined sign-in and registration button, deposit and withdrawal links, a promotions link, a rewards exchange link, a commission link and game category links.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mun8.com matches the banner wordmark MUN8, and the record names mun89.com as the seed domain.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Capture integrity: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An application install prompt covers the top of the page at capture time.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e8d9f1e1d2ba93f2ab786afc43b8a799c2c45e64f34b5ad39255392b408a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evidence/1915f2f6-34d7-4e3a-9a0a-396cb3a0c654/5c331864-caf6-4bb7-926f-7b66a6dfa9eb/homepage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2026-09-24T21:56:07.775865+07:00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649e8d9f1e1d2ba93f2ab786afc43b8a799c2c45e64f34b5ad39255392b408a1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649e8d9f1e1d2ba93f2ab786afc43b8a799c2c45e64f34b5ad39255392b408a1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2026-09-24T21:56:07.775865+07:00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mst88.work: Slots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SICPADetect (Redirect: mst88.site)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https://mst88.work/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Confirmed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FFFFFF"/>
                <w:sz w:val="17"/>
                <w:szCs w:val="17"/>
                <w:bCs w:val="1"/>
                <w:shd w:val="clear" w:fill="2E7D32"/>
              </w:rPr>
              <w:t xml:space="preserve">  High  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Visual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shows a gold and black theme with cobweb artwork, hosts holding banknotes, referral tiers of 5, 3 and 2 percent, and game tiles carrying win-rate percentages from 85 to 93.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Functional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page presents a sign-in button, a registration button, a referral programme, game category links and messaging contact buttons.</w:t>
            </w:r>
          </w:p>
          <w:p>
            <w:pPr>
              <w:spacing w:before="0" w:after="6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Keyword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สล็อต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/>
                <w:color w:val="111417"/>
                <w:sz w:val="18"/>
                <w:szCs w:val="18"/>
                <w:bCs w:val="1"/>
              </w:rPr>
              <w:t xml:space="preserve">Domain / URL evidence: </w:t>
            </w:r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The domain mst88.work matches the wordmark MST88 on a different top level domain from the seed domain mst88.site named in the record.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726" cy="273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09881f40bf1a1d98cd2ca48cd41008fccd4c40a7bedd74a6d5dc75c1ac993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6" cy="27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5B6670"/>
                <w:sz w:val="16"/>
                <w:szCs w:val="16"/>
              </w:rPr>
              <w:t>evidence/83300782-d181-473c-9c73-545743887641/4e1f1dc3-5bfb-4b7a-afa7-39b1b0b188e1/homepage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8"/>
                <w:szCs w:val="18"/>
              </w:rPr>
              <w:t>2026-10-04T10:37:28.372771+07:00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Consolas" w:hAnsi="Consolas" w:cs="Noto Sans Thai"/>
                <w:b w:val="0"/>
                <w:color w:val="111417"/>
                <w:sz w:val="17"/>
                <w:szCs w:val="17"/>
              </w:rPr>
              <w:t>8d09881f40bf1a1d98cd2ca48cd41008fccd4c40a7bedd74a6d5dc75c1ac9939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60" w:line="312" w:lineRule="auto"/>
            </w:pPr>
            <w:r/>
            <w:r>
              <w:rPr>
                <w:rFonts w:ascii="Arial" w:hAnsi="Arial" w:cs="Noto Sans Thai"/>
                <w:b/>
                <w:color w:val="2C5015"/>
                <w:sz w:val="18"/>
                <w:szCs w:val="18"/>
                <w:bCs w:val="1"/>
                <w:shd w:val="clear" w:fill="D3E7BD"/>
              </w:rPr>
              <w:t xml:space="preserve"> Yes 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Keywords captured: </w:t>
            </w: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สล็อต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SHA-256 evidence hash: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8d09881f40bf1a1d98cd2ca48cd41008fccd4c40a7bedd74a6d5dc75c1ac9939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 xml:space="preserve">Timestamp (full UTC offset): </w:t>
            </w: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2026-10-04T10:37:28.372771+07:00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111417"/>
                <w:sz w:val="17"/>
                <w:szCs w:val="17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  <w:keepNext/>
        <w:spacing w:before="0" w:after="140"/>
      </w:pPr>
      <w:r>
        <w:rPr>
          <w:rFonts w:ascii="Arial" w:hAnsi="Arial" w:cs="Noto Sans Thai"/>
          <w:b/>
          <w:color w:val="7A3A12"/>
          <w:sz w:val="23"/>
          <w:szCs w:val="23"/>
          <w:bCs w:val="1"/>
        </w:rPr>
        <w:t>[NEW RECORD REQUIRED]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Source where URL was found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URL of classified site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Confidence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Subcategory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Keywords detected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Rationale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Screenshot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(date / time / TZ)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SHA-256 evidence hash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Capture valid</w:t>
            </w:r>
          </w:p>
        </w:tc>
        <w:tc>
          <w:tcPr>
            <w:tcW w:type="dxa" w:w="6463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 w:val="0"/>
                <w:color w:val="7A3A12"/>
                <w:sz w:val="18"/>
                <w:szCs w:val="18"/>
              </w:rPr>
              <w:t>[NEW RECORD REQUIRED]</w:t>
            </w:r>
          </w:p>
        </w:tc>
      </w:tr>
    </w:tbl>
    <w:p>
      <w:r>
        <w:br w:type="page"/>
      </w:r>
    </w:p>
    <w:p>
      <w:pPr>
        <w:pStyle w:val="Heading2"/>
        <w:spacing w:before="0" w:after="80"/>
      </w:pPr>
      <w:r>
        <w:rPr>
          <w:rFonts w:ascii="Arial" w:hAnsi="Arial" w:cs="Noto Sans Thai"/>
          <w:b/>
          <w:color w:val="111417"/>
          <w:sz w:val="28"/>
          <w:szCs w:val="28"/>
          <w:bCs w:val="1"/>
        </w:rPr>
        <w:t>Appendix A: Subcategory data model</w:t>
      </w:r>
    </w:p>
    <w:p>
      <w:pPr>
        <w:spacing w:before="0" w:after="240" w:line="324" w:lineRule="auto"/>
      </w:pPr>
      <w:r>
        <w:rPr>
          <w:rFonts w:ascii="Arial" w:hAnsi="Arial" w:cs="Noto Sans Thai"/>
          <w:b w:val="0"/>
          <w:color w:val="5B6670"/>
          <w:sz w:val="18"/>
          <w:szCs w:val="18"/>
        </w:rPr>
        <w:t>Reference only. Not part of any record. Source: Gambling_Keywords_Full_English_Categories_V1.xlsx · 14 categories · 286 distinct keywords</w:t>
      </w:r>
    </w:p>
    <w:p>
      <w:pPr>
        <w:pStyle w:val="Heading3"/>
        <w:keepNext/>
        <w:spacing w:before="200" w:after="8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A.1 Product subcategories</w:t>
      </w:r>
    </w:p>
    <w:p>
      <w:pPr>
        <w:spacing w:before="0" w:after="160" w:line="324" w:lineRule="auto"/>
      </w:pPr>
      <w:r>
        <w:rPr>
          <w:rFonts w:ascii="Arial" w:hAnsi="Arial" w:cs="Noto Sans Thai"/>
          <w:b w:val="0"/>
          <w:color w:val="5B6670"/>
          <w:sz w:val="16"/>
          <w:szCs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Football Betting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football_betting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Slots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slots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32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Casino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casino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14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Lottery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lottery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Playing card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playing_card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12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Baccarat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baccarat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11 keywords</w:t>
            </w:r>
          </w:p>
        </w:tc>
        <w:tc>
          <w:tcPr>
            <w:tcW w:type="dxa" w:w="612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General Gambling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general_gambling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catch-all, lowest priority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pStyle w:val="Heading3"/>
        <w:keepNext/>
        <w:spacing w:before="200" w:after="8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A.2 Signal tags</w:t>
      </w:r>
    </w:p>
    <w:p>
      <w:pPr>
        <w:spacing w:before="0" w:after="160" w:line="324" w:lineRule="auto"/>
      </w:pPr>
      <w:r>
        <w:rPr>
          <w:rFonts w:ascii="Arial" w:hAnsi="Arial" w:cs="Noto Sans Thai"/>
          <w:b w:val="0"/>
          <w:color w:val="5B6670"/>
          <w:sz w:val="16"/>
          <w:szCs w:val="16"/>
        </w:rPr>
        <w:t>Zero or more are assigned per gambling record, in the Signal tags field. A signal tag is never a subcategory. It records how a site operates or markets itself, not what it sells.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Deposit &amp; Withdrawal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deposit_withdrawal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24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Payment and cash-out mechanics advertised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Promotions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promotions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27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Free-credit and bonus acquisition offers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Marketing &amp; Acquisition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marketing_acquisition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25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Win-rate and payout claims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Affiliate &amp; Agent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affiliate_agent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Affiliate, agent or referral structure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Vague-Evasion Terms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vague_evasion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Deliberate avoidance of explicit gambling vocabulary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Abbreviations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abbreviations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Provider or network branding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94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Hashtags</w:t>
            </w:r>
          </w:p>
          <w:p>
            <w:pPr>
              <w:spacing w:before="0" w:after="0" w:line="312" w:lineRule="auto"/>
            </w:pPr>
            <w:r>
              <w:rPr>
                <w:rFonts w:ascii="Consolas" w:hAnsi="Consolas" w:cs="Noto Sans Thai"/>
                <w:b w:val="0"/>
                <w:color w:val="111417"/>
                <w:sz w:val="16"/>
                <w:szCs w:val="16"/>
              </w:rPr>
              <w:t>hashtags</w:t>
            </w:r>
          </w:p>
          <w:p>
            <w:pPr>
              <w:spacing w:before="0" w:after="0" w:line="312" w:lineRule="auto"/>
            </w:pPr>
            <w:r>
              <w:rPr>
                <w:rFonts w:ascii="Arial" w:hAnsi="Arial" w:cs="Noto Sans Thai"/>
                <w:b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123"/>
          </w:tcPr>
          <w:p>
            <w:pPr>
              <w:spacing w:before="0" w:after="40" w:line="312" w:lineRule="auto"/>
            </w:pPr>
            <w:r/>
            <w:r>
              <w:rPr>
                <w:rFonts w:ascii="Arial" w:hAnsi="Arial" w:cs="Noto Sans Thai"/>
                <w:b w:val="0"/>
                <w:color w:val="5B6670"/>
                <w:sz w:val="16"/>
                <w:szCs w:val="16"/>
              </w:rPr>
              <w:t>Promoted through hashtag campaigns</w:t>
            </w:r>
          </w:p>
          <w:p>
            <w:pPr>
              <w:spacing w:before="0" w:after="0" w:line="384" w:lineRule="auto"/>
            </w:pPr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pStyle w:val="Heading3"/>
        <w:keepNext/>
        <w:spacing w:before="200" w:after="8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A.3 Matching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Thai keyword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Latin keyword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Case-insensitive, must sit on a token boundary ([^a-z0-9] or string edge both sides) so BET does not match betterment.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Mixed keyword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Substring match, e.g. สล็อต pg.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Hashtag keyword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Two-letter abbreviations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Cross-category collisions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pStyle w:val="Heading3"/>
        <w:keepNext/>
        <w:spacing w:before="200" w:after="80"/>
      </w:pPr>
      <w:r>
        <w:rPr>
          <w:rFonts w:ascii="Arial" w:hAnsi="Arial" w:cs="Noto Sans Thai"/>
          <w:b/>
          <w:color w:val="111417"/>
          <w:sz w:val="23"/>
          <w:szCs w:val="23"/>
          <w:bCs w:val="1"/>
        </w:rPr>
        <w:t>A.4 Heat map axes</w:t>
      </w:r>
    </w:p>
    <w:p>
      <w:pPr>
        <w:spacing w:before="0" w:after="160" w:line="324" w:lineRule="auto"/>
      </w:pPr>
      <w:r>
        <w:rPr>
          <w:rFonts w:ascii="Arial" w:hAnsi="Arial" w:cs="Noto Sans Thai"/>
          <w:b w:val="0"/>
          <w:color w:val="5B6670"/>
          <w:sz w:val="16"/>
          <w:szCs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072" w:type="dxa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Keyword × subcategory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Signal tag × subcategory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Brand cluster × subcategory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Label orientation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2608"/>
            <w:shd w:val="clear" w:fill="F4F7F9"/>
          </w:tcPr>
          <w:p>
            <w:pPr>
              <w:spacing w:before="0" w:after="0" w:line="312" w:lineRule="auto"/>
            </w:pPr>
            <w:r/>
            <w:r>
              <w:rPr>
                <w:rFonts w:ascii="Arial" w:hAnsi="Arial" w:cs="Noto Sans Thai"/>
                <w:b/>
                <w:color w:val="111417"/>
                <w:sz w:val="17"/>
                <w:szCs w:val="17"/>
                <w:bCs w:val="1"/>
              </w:rPr>
              <w:t>Row / column order</w:t>
            </w:r>
          </w:p>
        </w:tc>
        <w:tc>
          <w:tcPr>
            <w:tcW w:type="dxa" w:w="6463"/>
          </w:tcPr>
          <w:p>
            <w:pPr>
              <w:spacing w:before="0" w:after="0" w:line="384" w:lineRule="auto"/>
            </w:pPr>
            <w:r/>
            <w:r>
              <w:rPr>
                <w:rFonts w:ascii="Arial" w:hAnsi="Arial" w:cs="Noto Sans Thai"/>
                <w:b w:val="0"/>
                <w:color w:val="111417"/>
                <w:sz w:val="16"/>
                <w:szCs w:val="16"/>
              </w:rPr>
              <w:t>Descending total on each axis.</w:t>
            </w:r>
          </w:p>
        </w:tc>
      </w:tr>
    </w:tbl>
    <w:p>
      <w:pPr>
        <w:spacing w:before="320" w:after="200"/>
        <w:pBdr>
          <w:bottom w:val="single" w:sz="6" w:space="1" w:color="C9D2DB"/>
        </w:pBdr>
      </w:pPr>
    </w:p>
    <w:p>
      <w:pPr>
        <w:spacing w:after="200" w:line="360" w:lineRule="auto"/>
      </w:pPr>
      <w:r>
        <w:rPr>
          <w:rFonts w:ascii="Arial" w:hAnsi="Arial" w:cs="Noto Sans Thai"/>
          <w:b/>
          <w:color w:val="5B6670"/>
          <w:sz w:val="16"/>
          <w:szCs w:val="16"/>
          <w:bCs w:val="1"/>
        </w:rPr>
        <w:t xml:space="preserve">Fill guide. </w:t>
      </w:r>
      <w:r>
        <w:rPr>
          <w:rFonts w:ascii="Arial" w:hAnsi="Arial" w:cs="Noto Sans Thai"/>
          <w:b w:val="0"/>
          <w:color w:val="5B6670"/>
          <w:sz w:val="16"/>
          <w:szCs w:val="16"/>
        </w:rPr>
        <w:t>Status cell: Confirmed · Pending · Dismissed: swap the class to ok, warn or off. Confidence cell: High Medium Low: swap the badge class to g-a, g-c or g-f. No numeric score is ever shown. The report holds ten record blocks; the heading of each carries its title of classification.</w:t>
      </w:r>
    </w:p>
    <w:p>
      <w:pPr>
        <w:pBdr>
          <w:top w:val="single" w:sz="6" w:space="6" w:color="C9D2DB"/>
        </w:pBdr>
        <w:spacing w:before="400"/>
      </w:pPr>
      <w:r>
        <w:rPr>
          <w:rFonts w:ascii="Arial" w:hAnsi="Arial" w:cs="Noto Sans Thai"/>
          <w:b w:val="0"/>
          <w:color w:val="5B6670"/>
          <w:sz w:val="15"/>
          <w:szCs w:val="15"/>
        </w:rPr>
        <w:t>SICPADetect · Ministry of Digital Economy and Society, Thailand</w:t>
      </w:r>
    </w:p>
    <w:sectPr w:rsidR="00FC693F" w:rsidRPr="0006063C" w:rsidSect="00034616"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Arial" w:hAnsi="Arial" w:cs="Noto Sans Tha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