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 w:before="0"/>
      </w:pPr>
      <w:r>
        <w:rPr>
          <w:rFonts w:ascii="Arial" w:hAnsi="Arial" w:cs="Tahoma"/>
          <w:b/>
          <w:i w:val="0"/>
          <w:color w:val="1F3F63"/>
          <w:sz w:val="52"/>
        </w:rPr>
        <w:t>Data Insights &amp; Patterns</w:t>
      </w:r>
    </w:p>
    <w:p>
      <w:pPr>
        <w:spacing w:after="600" w:before="0"/>
      </w:pPr>
      <w:r>
        <w:rPr>
          <w:rFonts w:ascii="Arial" w:hAnsi="Arial" w:cs="Tahoma"/>
          <w:b w:val="0"/>
          <w:i w:val="0"/>
          <w:color w:val="5C6B7F"/>
          <w:sz w:val="24"/>
        </w:rPr>
        <w:t>12,435 URLs · 31 Aug 2026 – 24 Sep 2026</w:t>
      </w:r>
    </w:p>
    <w:p>
      <w:pPr>
        <w:spacing w:after="40"/>
      </w:pPr>
      <w:r>
        <w:rPr>
          <w:color w:val="8A97A8"/>
          <w:sz w:val="18"/>
        </w:rPr>
        <w:t xml:space="preserve">Issued to  </w:t>
      </w:r>
      <w:r>
        <w:rPr>
          <w:b/>
          <w:sz w:val="20"/>
        </w:rPr>
        <w:t>Ministry of Digital Economy and Society, Thailand</w:t>
      </w:r>
    </w:p>
    <w:p>
      <w:pPr>
        <w:spacing w:after="40"/>
      </w:pPr>
      <w:r>
        <w:rPr>
          <w:color w:val="8A97A8"/>
          <w:sz w:val="18"/>
        </w:rPr>
        <w:t xml:space="preserve">Prepared by  </w:t>
      </w:r>
      <w:r>
        <w:rPr>
          <w:b/>
          <w:sz w:val="20"/>
        </w:rPr>
        <w:t>SICPA SA</w:t>
      </w:r>
    </w:p>
    <w:p>
      <w:pPr>
        <w:spacing w:after="40"/>
      </w:pPr>
      <w:r>
        <w:rPr>
          <w:color w:val="8A97A8"/>
          <w:sz w:val="18"/>
        </w:rPr>
        <w:t xml:space="preserve">Date of issue  </w:t>
      </w:r>
      <w:r>
        <w:rPr>
          <w:b/>
          <w:sz w:val="20"/>
        </w:rPr>
        <w:t>25/09/2026</w:t>
      </w:r>
    </w:p>
    <w:p>
      <w:pPr>
        <w:spacing w:after="40"/>
      </w:pPr>
      <w:r>
        <w:rPr>
          <w:color w:val="8A97A8"/>
          <w:sz w:val="18"/>
        </w:rPr>
        <w:t xml:space="preserve">Source system  </w:t>
      </w:r>
      <w:r>
        <w:rPr>
          <w:b/>
          <w:sz w:val="20"/>
        </w:rPr>
        <w:t>SICPADetect · lexicon Appendix A (V1)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" w:name="toc"/>
            <w:r/>
            <w:r>
              <w:rPr>
                <w:b/>
                <w:color w:val="1F3F63"/>
                <w:sz w:val="22"/>
              </w:rPr>
              <w:t>Contents</w:t>
            </w:r>
            <w:bookmarkEnd w:id="1"/>
          </w:p>
          <w:p>
            <w:pPr>
              <w:spacing w:after="0"/>
              <w:ind w:left="0"/>
            </w:pPr>
            <w:hyperlink w:anchor="c_exec">
              <w:r>
                <w:rPr>
                  <w:color w:val="1F3F63"/>
                  <w:u w:val="single"/>
                  <w:sz w:val="19"/>
                </w:rPr>
                <w:t xml:space="preserve">Executive summary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A — Model Insights</w:t>
            </w:r>
          </w:p>
          <w:p>
            <w:pPr>
              <w:spacing w:after="0"/>
              <w:ind w:left="340"/>
            </w:pPr>
            <w:hyperlink w:anchor="a1">
              <w:r>
                <w:rPr>
                  <w:color w:val="1F3F63"/>
                  <w:u w:val="single"/>
                  <w:sz w:val="19"/>
                </w:rPr>
                <w:t xml:space="preserve">Introduction</w:t>
              </w:r>
            </w:hyperlink>
          </w:p>
          <w:p>
            <w:pPr>
              <w:spacing w:after="0"/>
              <w:ind w:left="340"/>
            </w:pPr>
            <w:hyperlink w:anchor="a2">
              <w:r>
                <w:rPr>
                  <w:color w:val="1F3F63"/>
                  <w:u w:val="single"/>
                  <w:sz w:val="19"/>
                </w:rPr>
                <w:t xml:space="preserve">Insights</w:t>
              </w:r>
            </w:hyperlink>
          </w:p>
          <w:p>
            <w:pPr>
              <w:spacing w:after="0"/>
              <w:ind w:left="340"/>
            </w:pPr>
            <w:hyperlink w:anchor="a3">
              <w:r>
                <w:rPr>
                  <w:color w:val="1F3F63"/>
                  <w:u w:val="single"/>
                  <w:sz w:val="19"/>
                </w:rPr>
                <w:t xml:space="preserve">Performance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B — 10 most prominent gambling sites in Thailand</w:t>
            </w:r>
          </w:p>
          <w:p>
            <w:pPr>
              <w:spacing w:after="0"/>
              <w:ind w:left="340"/>
            </w:pPr>
            <w:hyperlink w:anchor="b1">
              <w:r>
                <w:rPr>
                  <w:color w:val="1F3F63"/>
                  <w:u w:val="single"/>
                  <w:sz w:val="19"/>
                </w:rPr>
                <w:t xml:space="preserve">10 most prominent gambling sites in Thailand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C — The numbers</w:t>
            </w:r>
          </w:p>
          <w:p>
            <w:pPr>
              <w:spacing w:after="0"/>
              <w:ind w:left="340"/>
            </w:pPr>
            <w:hyperlink w:anchor="c1">
              <w:r>
                <w:rPr>
                  <w:color w:val="1F3F63"/>
                  <w:u w:val="single"/>
                  <w:sz w:val="19"/>
                </w:rPr>
                <w:t xml:space="preserve">The estate at a glance</w:t>
              </w:r>
            </w:hyperlink>
          </w:p>
          <w:p>
            <w:pPr>
              <w:spacing w:after="0"/>
              <w:ind w:left="340"/>
            </w:pPr>
            <w:hyperlink w:anchor="c2">
              <w:r>
                <w:rPr>
                  <w:color w:val="1F3F63"/>
                  <w:u w:val="single"/>
                  <w:sz w:val="19"/>
                </w:rPr>
                <w:t xml:space="preserve">URLs analyzed per day</w:t>
              </w:r>
            </w:hyperlink>
          </w:p>
          <w:p>
            <w:pPr>
              <w:spacing w:after="0"/>
              <w:ind w:left="340"/>
            </w:pPr>
            <w:hyperlink w:anchor="c3">
              <w:r>
                <w:rPr>
                  <w:color w:val="1F3F63"/>
                  <w:u w:val="single"/>
                  <w:sz w:val="19"/>
                </w:rPr>
                <w:t xml:space="preserve">Status distribution</w:t>
              </w:r>
            </w:hyperlink>
          </w:p>
          <w:p>
            <w:pPr>
              <w:spacing w:after="0"/>
              <w:ind w:left="340"/>
            </w:pPr>
            <w:hyperlink w:anchor="c4">
              <w:r>
                <w:rPr>
                  <w:color w:val="1F3F63"/>
                  <w:u w:val="single"/>
                  <w:sz w:val="19"/>
                </w:rPr>
                <w:t xml:space="preserve">Top 10 URL suffixes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D — Subcategories</w:t>
            </w:r>
          </w:p>
          <w:p>
            <w:pPr>
              <w:spacing w:after="0"/>
              <w:ind w:left="340"/>
            </w:pPr>
            <w:hyperlink w:anchor="d1">
              <w:r>
                <w:rPr>
                  <w:color w:val="1F3F63"/>
                  <w:u w:val="single"/>
                  <w:sz w:val="19"/>
                </w:rPr>
                <w:t xml:space="preserve">Gambling sites by product subcategory</w:t>
              </w:r>
            </w:hyperlink>
          </w:p>
          <w:p>
            <w:pPr>
              <w:spacing w:after="0"/>
              <w:ind w:left="340"/>
            </w:pPr>
            <w:hyperlink w:anchor="d2">
              <w:r>
                <w:rPr>
                  <w:color w:val="1F3F63"/>
                  <w:u w:val="single"/>
                  <w:sz w:val="19"/>
                </w:rPr>
                <w:t xml:space="preserve">Assignment method by subcategory</w:t>
              </w:r>
            </w:hyperlink>
          </w:p>
          <w:p>
            <w:pPr>
              <w:spacing w:after="0"/>
              <w:ind w:left="340"/>
            </w:pPr>
            <w:hyperlink w:anchor="d3">
              <w:r>
                <w:rPr>
                  <w:color w:val="1F3F63"/>
                  <w:u w:val="single"/>
                  <w:sz w:val="19"/>
                </w:rPr>
                <w:t xml:space="preserve">Subcategory table</w:t>
              </w:r>
            </w:hyperlink>
          </w:p>
          <w:p>
            <w:pPr>
              <w:spacing w:after="0"/>
              <w:ind w:left="340"/>
            </w:pPr>
            <w:hyperlink w:anchor="d4">
              <w:r>
                <w:rPr>
                  <w:color w:val="1F3F63"/>
                  <w:u w:val="single"/>
                  <w:sz w:val="19"/>
                </w:rPr>
                <w:t xml:space="preserve">Heat map — Keyword by subcategory</w:t>
              </w:r>
            </w:hyperlink>
          </w:p>
          <w:p>
            <w:pPr>
              <w:spacing w:after="0"/>
              <w:ind w:left="340"/>
            </w:pPr>
            <w:hyperlink w:anchor="d5">
              <w:r>
                <w:rPr>
                  <w:color w:val="1F3F63"/>
                  <w:u w:val="single"/>
                  <w:sz w:val="19"/>
                </w:rPr>
                <w:t xml:space="preserve">Heat map — Signal tag by subcategory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E — Brands and clustering</w:t>
            </w:r>
          </w:p>
          <w:p>
            <w:pPr>
              <w:spacing w:after="0"/>
              <w:ind w:left="340"/>
            </w:pPr>
            <w:hyperlink w:anchor="e1">
              <w:r>
                <w:rPr>
                  <w:color w:val="1F3F63"/>
                  <w:u w:val="single"/>
                  <w:sz w:val="19"/>
                </w:rPr>
                <w:t xml:space="preserve">Clustering at a glance</w:t>
              </w:r>
            </w:hyperlink>
          </w:p>
          <w:p>
            <w:pPr>
              <w:spacing w:after="0"/>
              <w:ind w:left="340"/>
            </w:pPr>
            <w:hyperlink w:anchor="e2">
              <w:r>
                <w:rPr>
                  <w:color w:val="1F3F63"/>
                  <w:u w:val="single"/>
                  <w:sz w:val="19"/>
                </w:rPr>
                <w:t xml:space="preserve">Top 15 brand clusters by URL count</w:t>
              </w:r>
            </w:hyperlink>
          </w:p>
          <w:p>
            <w:pPr>
              <w:spacing w:after="0"/>
              <w:ind w:left="340"/>
            </w:pPr>
            <w:hyperlink w:anchor="e3">
              <w:r>
                <w:rPr>
                  <w:color w:val="1F3F63"/>
                  <w:u w:val="single"/>
                  <w:sz w:val="19"/>
                </w:rPr>
                <w:t xml:space="preserve">Heat map — Brand cluster by subcategory</w:t>
              </w:r>
            </w:hyperlink>
          </w:p>
          <w:p>
            <w:pPr>
              <w:spacing w:after="0"/>
              <w:ind w:left="340"/>
            </w:pPr>
            <w:hyperlink w:anchor="e4">
              <w:r>
                <w:rPr>
                  <w:color w:val="1F3F63"/>
                  <w:u w:val="single"/>
                  <w:sz w:val="19"/>
                </w:rPr>
                <w:t xml:space="preserve">Cluster expansion — 02j</w:t>
              </w:r>
            </w:hyperlink>
          </w:p>
          <w:p>
            <w:pPr>
              <w:spacing w:after="0"/>
              <w:ind w:left="340"/>
            </w:pPr>
            <w:hyperlink w:anchor="e5">
              <w:r>
                <w:rPr>
                  <w:color w:val="1F3F63"/>
                  <w:u w:val="single"/>
                  <w:sz w:val="19"/>
                </w:rPr>
                <w:t xml:space="preserve">Clusters spanning multiple subcategories</w:t>
              </w:r>
            </w:hyperlink>
          </w:p>
          <w:p>
            <w:pPr>
              <w:spacing w:after="0"/>
              <w:ind w:left="340"/>
            </w:pPr>
            <w:hyperlink w:anchor="e6">
              <w:r>
                <w:rPr>
                  <w:color w:val="1F3F63"/>
                  <w:u w:val="single"/>
                  <w:sz w:val="19"/>
                </w:rPr>
                <w:t xml:space="preserve">Clusters rotating top-level domains</w:t>
              </w:r>
            </w:hyperlink>
          </w:p>
          <w:p>
            <w:pPr>
              <w:spacing w:after="0"/>
              <w:ind w:left="340"/>
            </w:pPr>
            <w:hyperlink w:anchor="e7">
              <w:r>
                <w:rPr>
                  <w:color w:val="1F3F63"/>
                  <w:u w:val="single"/>
                  <w:sz w:val="19"/>
                </w:rPr>
                <w:t xml:space="preserve">Possible operator linkage</w:t>
              </w:r>
            </w:hyperlink>
          </w:p>
          <w:p>
            <w:pPr>
              <w:spacing w:after="0"/>
              <w:ind w:left="340"/>
            </w:pPr>
            <w:hyperlink w:anchor="e8">
              <w:r>
                <w:rPr>
                  <w:color w:val="1F3F63"/>
                  <w:u w:val="single"/>
                  <w:sz w:val="19"/>
                </w:rPr>
                <w:t xml:space="preserve">Naming conventions</w:t>
              </w:r>
            </w:hyperlink>
          </w:p>
          <w:p>
            <w:pPr>
              <w:spacing w:after="0"/>
              <w:ind w:left="340"/>
            </w:pPr>
            <w:hyperlink w:anchor="e9">
              <w:r>
                <w:rPr>
                  <w:color w:val="1F3F63"/>
                  <w:u w:val="single"/>
                  <w:sz w:val="19"/>
                </w:rPr>
                <w:t xml:space="preserve">Structure: direct, redirect, variant</w:t>
              </w:r>
            </w:hyperlink>
          </w:p>
          <w:p>
            <w:pPr>
              <w:spacing w:after="0"/>
              <w:ind w:left="340"/>
            </w:pPr>
            <w:hyperlink w:anchor="e10">
              <w:r>
                <w:rPr>
                  <w:color w:val="1F3F63"/>
                  <w:u w:val="single"/>
                  <w:sz w:val="19"/>
                </w:rPr>
                <w:t xml:space="preserve">Redirect propagation — lotto432e.com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F — Ranking</w:t>
            </w:r>
          </w:p>
          <w:p>
            <w:pPr>
              <w:spacing w:after="0"/>
              <w:ind w:left="340"/>
            </w:pPr>
            <w:hyperlink w:anchor="f1">
              <w:r>
                <w:rPr>
                  <w:color w:val="1F3F63"/>
                  <w:u w:val="single"/>
                  <w:sz w:val="19"/>
                </w:rPr>
                <w:t xml:space="preserve">Gambling ranking</w:t>
              </w:r>
            </w:hyperlink>
          </w:p>
          <w:p>
            <w:pPr>
              <w:spacing w:after="2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Group G — Key insights</w:t>
            </w:r>
          </w:p>
          <w:p>
            <w:pPr>
              <w:spacing w:after="0"/>
              <w:ind w:left="340"/>
            </w:pPr>
            <w:hyperlink w:anchor="g1">
              <w:r>
                <w:rPr>
                  <w:color w:val="1F3F63"/>
                  <w:u w:val="single"/>
                  <w:sz w:val="19"/>
                </w:rPr>
                <w:t xml:space="preserve">Scale of the analysis</w:t>
              </w:r>
            </w:hyperlink>
          </w:p>
          <w:p>
            <w:pPr>
              <w:spacing w:after="0"/>
              <w:ind w:left="340"/>
            </w:pPr>
            <w:hyperlink w:anchor="g2">
              <w:r>
                <w:rPr>
                  <w:color w:val="1F3F63"/>
                  <w:u w:val="single"/>
                  <w:sz w:val="19"/>
                </w:rPr>
                <w:t xml:space="preserve">What is being offered</w:t>
              </w:r>
            </w:hyperlink>
          </w:p>
          <w:p>
            <w:pPr>
              <w:spacing w:after="0"/>
              <w:ind w:left="340"/>
            </w:pPr>
            <w:hyperlink w:anchor="g3">
              <w:r>
                <w:rPr>
                  <w:color w:val="1F3F63"/>
                  <w:u w:val="single"/>
                  <w:sz w:val="19"/>
                </w:rPr>
                <w:t xml:space="preserve">Brand clustering</w:t>
              </w:r>
            </w:hyperlink>
          </w:p>
          <w:p>
            <w:pPr>
              <w:spacing w:after="0"/>
              <w:ind w:left="340"/>
            </w:pPr>
            <w:hyperlink w:anchor="g4">
              <w:r>
                <w:rPr>
                  <w:color w:val="1F3F63"/>
                  <w:u w:val="single"/>
                  <w:sz w:val="19"/>
                </w:rPr>
                <w:t xml:space="preserve">How the estate is grown and marketed</w:t>
              </w:r>
            </w:hyperlink>
          </w:p>
          <w:p>
            <w:pPr>
              <w:spacing w:after="0"/>
              <w:ind w:left="340"/>
            </w:pPr>
            <w:hyperlink w:anchor="g5">
              <w:r>
                <w:rPr>
                  <w:color w:val="1F3F63"/>
                  <w:u w:val="single"/>
                  <w:sz w:val="19"/>
                </w:rPr>
                <w:t xml:space="preserve">Enforcement position</w:t>
              </w:r>
            </w:hyperlink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" w:name="c_exec"/>
            <w:r/>
            <w:r>
              <w:rPr>
                <w:b/>
                <w:color w:val="1F3F63"/>
                <w:sz w:val="22"/>
              </w:rPr>
              <w:t>Executive summary</w:t>
            </w:r>
            <w:bookmarkEnd w:id="2"/>
          </w:p>
          <w:p>
            <w:pPr>
              <w:spacing w:after="40" w:before="0"/>
            </w:pPr>
            <w:r>
              <w:rPr>
                <w:rFonts w:ascii="Arial" w:hAnsi="Arial" w:cs="Tahoma"/>
                <w:b/>
                <w:i w:val="0"/>
                <w:color w:val="1B2430"/>
                <w:sz w:val="19"/>
              </w:rPr>
              <w:t>Part 1a. Insights and trends.</w:t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The estate analysed holds 12,435 distinct URLs, of which 37.0% are gambling sites. The remainder are not gambling. Product mix is led by Slots, followed by Football Betting, General Gambling.</w:t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Operator concentration is the strongest structural finding. 2 brand clusters cover half of all gambling URLs, and the largest single cluster holds 36.0% of them. Most clusters hold more than one domain, so the estate is built from a small number of operators replicating domains rather than from many independent sites.</w:t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The estate is grown almost entirely through crawler-identified variants rather than through direct discovery, with a smaller redirect layer in front of it. Clusters rotate across multiple top-level domains, so a domain-by-domain response is overtaken as fast as it is applied.</w:t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Subcategory figures rest on reasoning inference rather than lexicon keyword matches for 97.0% of gambling rows. The lexicon is Thai and this estate is largely Latin script, so product type is indicative only and should not be read as a measured distribution.</w:t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The evaluation period spans 25 days, which is too short to carry a trend, so no direction is stated.</w:t>
            </w:r>
          </w:p>
          <w:p>
            <w:pPr>
              <w:spacing w:after="12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Enforcement indicators are effectively absent from the captured text.</w:t>
            </w:r>
          </w:p>
          <w:p>
            <w:pPr>
              <w:spacing w:after="40" w:before="0"/>
            </w:pPr>
            <w:r>
              <w:rPr>
                <w:rFonts w:ascii="Arial" w:hAnsi="Arial" w:cs="Tahoma"/>
                <w:b/>
                <w:i w:val="0"/>
                <w:color w:val="1B2430"/>
                <w:sz w:val="19"/>
              </w:rPr>
              <w:t>Part 1b. Key figures.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535"/>
              <w:gridCol w:w="4535"/>
            </w:tblGrid>
            <w:tr>
              <w:tc>
                <w:tcPr>
                  <w:tcW w:type="dxa" w:w="5216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Reporting figure</w:t>
                  </w:r>
                </w:p>
              </w:tc>
              <w:tc>
                <w:tcPr>
                  <w:tcW w:type="dxa" w:w="3402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Value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URLs analysed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12,435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Gambling sites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4,597 (37.0%)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Not gambling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7,838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Unreachable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0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Brand clusters identified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63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Clusters holding more than one domain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32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Clusters covering half the estate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Largest cluster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02j — 1,654 URLs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Dominant product subcategory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Slots — 35.7%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Most common signal tag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Abbreviations — 30.2%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Sites showing blocking indicators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5216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Keyword-assigned vs inferred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3.0% vs 97.0%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A — Model Insights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3" w:name="a1"/>
            <w:r/>
            <w:r>
              <w:rPr>
                <w:b/>
                <w:color w:val="1F3F63"/>
                <w:sz w:val="22"/>
              </w:rPr>
              <w:t>Introduction</w:t>
            </w:r>
            <w:bookmarkEnd w:id="3"/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4" w:name="a2"/>
            <w:r/>
            <w:r>
              <w:rPr>
                <w:b/>
                <w:color w:val="1F3F63"/>
                <w:sz w:val="22"/>
              </w:rPr>
              <w:t>Insights</w:t>
            </w:r>
            <w:bookmarkEnd w:id="4"/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5" w:name="a3"/>
            <w:r/>
            <w:r>
              <w:rPr>
                <w:b/>
                <w:color w:val="1F3F63"/>
                <w:sz w:val="22"/>
              </w:rPr>
              <w:t>Performance</w:t>
            </w:r>
            <w:bookmarkEnd w:id="5"/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  <w:p>
            <w:pPr>
              <w:spacing w:after="80" w:before="0"/>
            </w:pP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B — 10 most prominent gambling sites in Thailand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6" w:name="b1"/>
            <w:r/>
            <w:r>
              <w:rPr>
                <w:b/>
                <w:color w:val="1F3F63"/>
                <w:sz w:val="22"/>
              </w:rPr>
              <w:t>10 most prominent gambling sites in Thailand</w:t>
            </w:r>
            <w:bookmarkEnd w:id="6"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96"/>
              <w:gridCol w:w="1296"/>
              <w:gridCol w:w="1296"/>
              <w:gridCol w:w="1296"/>
              <w:gridCol w:w="1296"/>
              <w:gridCol w:w="1296"/>
              <w:gridCol w:w="1296"/>
            </w:tblGrid>
            <w:tr>
              <w:tc>
                <w:tcPr>
                  <w:tcW w:type="dxa" w:w="680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Rank</w:t>
                  </w:r>
                </w:p>
              </w:tc>
              <w:tc>
                <w:tcPr>
                  <w:tcW w:type="dxa" w:w="215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URL (defanged)</w:t>
                  </w:r>
                </w:p>
              </w:tc>
              <w:tc>
                <w:tcPr>
                  <w:tcW w:type="dxa" w:w="136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Domain</w:t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Brand cluster</w:t>
                  </w:r>
                </w:p>
              </w:tc>
              <w:tc>
                <w:tcPr>
                  <w:tcW w:type="dxa" w:w="1020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Subcategory</w:t>
                  </w:r>
                </w:p>
              </w:tc>
              <w:tc>
                <w:tcPr>
                  <w:tcW w:type="dxa" w:w="147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Thai-targeting evidence</w:t>
                  </w:r>
                </w:p>
              </w:tc>
              <w:tc>
                <w:tcPr>
                  <w:tcW w:type="dxa" w:w="1020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5"/>
                    </w:rPr>
                    <w:t>Source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78,229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hxxps://www[.]lottovip[.]com/register/af/21832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lottovip.com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loto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Lottery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 currency: “Baht”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Youtube (lotto432)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90,304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hxxps://lottovip[.]bet/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lottovip.bet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loto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Lottery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“BET”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(lottovip.com)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184,475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hxxps://fun88thf[.]com/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fun88thf.com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fun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Football Betting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“VIP”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(fun88tht.com)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216,041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hxxps://lottovipp[.]com/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lottovipp.com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loto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Lottery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“WIN”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(lottovip.com)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517,141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hxxps://slavinaslot[.]top/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slavinaslot.top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hub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Slots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“VIP”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Redirect (jun88.info)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517,141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hxxps://jun88[.]info/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jun88.info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hub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Slots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“VIP”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(jun88.mobile)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547,370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hxxps://99ok[.]vip/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99ok.vip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02j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Lottery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“VIP”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(99ok.bet)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558,790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hxxps://gg8830[.]com/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gg8830.com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02j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Slots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“SEXY”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(gg8825.app)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706,458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hxxps://lotto432ad[.]com/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lotto432ad.com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loto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Lottery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 script: “สมัครสมาชิก”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(lotto432ae.com)</w:t>
                  </w:r>
                </w:p>
              </w:tc>
            </w:tr>
            <w:tr>
              <w:tc>
                <w:tcPr>
                  <w:tcW w:type="dxa" w:w="68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715,861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hxxps://k7[.]game/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k7.game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007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General Gambling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Thai-market product or brand term: “BET”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5"/>
                    </w:rPr>
                    <w:t>Variant (k6.game)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Drawn from 56 ranked gambling rows that carry Thai-audience evidence, collapsed to one row per registrable domain. Rank reflects search visibility in the source feed, not harm, reach or revenue.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C — The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7" w:name="c1"/>
            <w:r/>
            <w:r>
              <w:rPr>
                <w:b/>
                <w:color w:val="1F3F63"/>
                <w:sz w:val="22"/>
              </w:rPr>
              <w:t>The estate at a glance</w:t>
            </w:r>
            <w:bookmarkEnd w:id="7"/>
          </w:p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12,435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Total URLs analyzed</w:t>
            </w:r>
          </w:p>
        </w:tc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4,597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Gambling sites</w:t>
            </w:r>
          </w:p>
        </w:tc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63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Brand clusters identified</w:t>
            </w:r>
          </w:p>
        </w:tc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25 days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Evaluation period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hAnsi="Arial" w:cs="Tahoma"/>
          <w:b w:val="0"/>
          <w:i/>
          <w:color w:val="5C6B7F"/>
          <w:sz w:val="16"/>
        </w:rPr>
        <w:t>Evaluation period 2026-08-31 to 2026-09-24.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8" w:name="c2"/>
            <w:r/>
            <w:r>
              <w:rPr>
                <w:b/>
                <w:color w:val="1F3F63"/>
                <w:sz w:val="22"/>
              </w:rPr>
              <w:t>URLs analyzed per day</w:t>
            </w:r>
            <w:bookmarkEnd w:id="8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Daily count of URLs analysed across the evaluation period. Each point is one calendar day.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23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2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9" w:name="c3"/>
            <w:r/>
            <w:r>
              <w:rPr>
                <w:b/>
                <w:color w:val="1F3F63"/>
                <w:sz w:val="22"/>
              </w:rPr>
              <w:t>Status distribution</w:t>
            </w:r>
            <w:bookmarkEnd w:id="9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Share of the estate by classification status. Each segment is one status and the table below carries the counts.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9541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954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024"/>
              <w:gridCol w:w="3024"/>
              <w:gridCol w:w="3024"/>
            </w:tblGrid>
            <w:tr>
              <w:tc>
                <w:tcPr>
                  <w:tcW w:type="dxa" w:w="3969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Status</w:t>
                  </w:r>
                </w:p>
              </w:tc>
              <w:tc>
                <w:tcPr>
                  <w:tcW w:type="dxa" w:w="2268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Count</w:t>
                  </w:r>
                </w:p>
              </w:tc>
              <w:tc>
                <w:tcPr>
                  <w:tcW w:type="dxa" w:w="238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% of URLs</w:t>
                  </w:r>
                </w:p>
              </w:tc>
            </w:tr>
            <w:tr>
              <w:tc>
                <w:tcPr>
                  <w:tcW w:type="dxa" w:w="3969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Not gambling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7,838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63.0%</w:t>
                  </w:r>
                </w:p>
              </w:tc>
            </w:tr>
            <w:tr>
              <w:tc>
                <w:tcPr>
                  <w:tcW w:type="dxa" w:w="3969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Gambling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4,597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37.0%</w:t>
                  </w:r>
                </w:p>
              </w:tc>
            </w:tr>
            <w:tr>
              <w:tc>
                <w:tcPr>
                  <w:tcW w:type="dxa" w:w="3969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Total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12,435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100.0%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0" w:name="c4"/>
            <w:r/>
            <w:r>
              <w:rPr>
                <w:b/>
                <w:color w:val="1F3F63"/>
                <w:sz w:val="22"/>
              </w:rPr>
              <w:t>Top 10 URL suffixes</w:t>
            </w:r>
            <w:bookmarkEnd w:id="10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The ten most common URL suffixes in the estate. Bar length is the total count and the table separates the gambling share.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4231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423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c>
                <w:tcPr>
                  <w:tcW w:type="dxa" w:w="1928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Suffix</w:t>
                  </w:r>
                </w:p>
              </w:tc>
              <w:tc>
                <w:tcPr>
                  <w:tcW w:type="dxa" w:w="158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Total</w:t>
                  </w:r>
                </w:p>
              </w:tc>
              <w:tc>
                <w:tcPr>
                  <w:tcW w:type="dxa" w:w="170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% of all</w:t>
                  </w:r>
                </w:p>
              </w:tc>
              <w:tc>
                <w:tcPr>
                  <w:tcW w:type="dxa" w:w="158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Gambling</w:t>
                  </w:r>
                </w:p>
              </w:tc>
              <w:tc>
                <w:tcPr>
                  <w:tcW w:type="dxa" w:w="181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% gambling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.org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3,557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28.6%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0.1%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.com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1,826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14.7%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688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37.7%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.net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1,092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8.8%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662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60.6%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.cc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613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4.9%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394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64.3%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.app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571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4.6%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401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70.2%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.bet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393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3.2%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379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96.4%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.pro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337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2.7%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285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84.6%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.co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264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2.1%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60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22.7%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.me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258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2.1%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111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43.0%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.vip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238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1.9%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198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83.2%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D — Subcategories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1" w:name="d1"/>
            <w:r/>
            <w:r>
              <w:rPr>
                <w:b/>
                <w:color w:val="1F3F63"/>
                <w:sz w:val="22"/>
              </w:rPr>
              <w:t>Gambling sites by product subcategory</w:t>
            </w:r>
            <w:bookmarkEnd w:id="11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Gambling sites by product subcategory. Bar length is the site count and each label carries the count and the share of gambling rows.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59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59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2" w:name="d2"/>
            <w:r/>
            <w:r>
              <w:rPr>
                <w:b/>
                <w:color w:val="1F3F63"/>
                <w:sz w:val="22"/>
              </w:rPr>
              <w:t>Assignment method by subcategory</w:t>
            </w:r>
            <w:bookmarkEnd w:id="12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How each subcategory was assigned. Solid fill is a lexicon keyword match and the lighter fill is reasoning inference.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2355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35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inferredShare 97.0% · generalShare 17.4%.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3" w:name="d3"/>
            <w:r/>
            <w:r>
              <w:rPr>
                <w:b/>
                <w:color w:val="1F3F63"/>
                <w:sz w:val="22"/>
              </w:rPr>
              <w:t>Subcategory table</w:t>
            </w:r>
            <w:bookmarkEnd w:id="13"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2268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Subcategory</w:t>
                  </w:r>
                </w:p>
              </w:tc>
              <w:tc>
                <w:tcPr>
                  <w:tcW w:type="dxa" w:w="124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Count</w:t>
                  </w:r>
                </w:p>
              </w:tc>
              <w:tc>
                <w:tcPr>
                  <w:tcW w:type="dxa" w:w="158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% of gambling</w:t>
                  </w:r>
                </w:p>
              </w:tc>
              <w:tc>
                <w:tcPr>
                  <w:tcW w:type="dxa" w:w="170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Keyword-assigned</w:t>
                  </w:r>
                </w:p>
              </w:tc>
              <w:tc>
                <w:tcPr>
                  <w:tcW w:type="dxa" w:w="113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Inferred</w:t>
                  </w:r>
                </w:p>
              </w:tc>
              <w:tc>
                <w:tcPr>
                  <w:tcW w:type="dxa" w:w="147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7"/>
                    </w:rPr>
                    <w:t>Distinct clusters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Slots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1,642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35.7%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54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1,588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46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Football Betting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834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18.1%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828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16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General Gambling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799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17.4%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791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22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Casino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721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15.7%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39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682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20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Baccarat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229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5.0%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10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219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9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Lottery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221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4.8%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21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200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14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Playing card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151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3.3%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2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149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8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Total</w:t>
                  </w:r>
                </w:p>
              </w:tc>
              <w:tc>
                <w:tcPr>
                  <w:tcW w:type="dxa" w:w="124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4,597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100.0%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140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  <w:t>4,457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7"/>
                    </w:rPr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C0392B"/>
                <w:sz w:val="17"/>
              </w:rPr>
              <w:t>The lexicon has poor coverage of this dataset: 97.0% of gambling rows were assigned by reasoning inference and 17.4% carry no evidenced product type. Subcategory figures are indicative only.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4" w:name="d4"/>
            <w:r/>
            <w:r>
              <w:rPr>
                <w:b/>
                <w:color w:val="1F3F63"/>
                <w:sz w:val="22"/>
              </w:rPr>
              <w:t>Heat map — Keyword by subcategory</w:t>
            </w:r>
            <w:bookmarkEnd w:id="14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Matched keywords against product subcategory. Each cell is the number of gambling sites carrying that keyword in that subcategory.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>
              <w:tc>
                <w:tcPr>
                  <w:tcW w:type="dxa" w:w="2494"/>
                  <w:shd w:val="clear" w:color="auto" w:fill="1F3F63"/>
                </w:tcPr>
                <w:p>
                  <w:r/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Football</w:t>
                    <w:br/>
                    <w:t>Betting</w:t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Slots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Casino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Lottery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Playing</w:t>
                    <w:br/>
                    <w:t>card</w:t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Baccarat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General</w:t>
                    <w:br/>
                    <w:t>Gambling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BET</w:t>
                  </w:r>
                </w:p>
              </w:tc>
              <w:tc>
                <w:tcPr>
                  <w:tcW w:type="dxa" w:w="875"/>
                  <w:shd w:val="clear" w:color="auto" w:fill="93A2B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69</w:t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245</w:t>
                  </w:r>
                </w:p>
              </w:tc>
              <w:tc>
                <w:tcPr>
                  <w:tcW w:type="dxa" w:w="875"/>
                  <w:shd w:val="clear" w:color="auto" w:fill="8294A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90</w:t>
                  </w:r>
                </w:p>
              </w:tc>
              <w:tc>
                <w:tcPr>
                  <w:tcW w:type="dxa" w:w="875"/>
                  <w:shd w:val="clear" w:color="auto" w:fill="BBC5C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28</w:t>
                  </w:r>
                </w:p>
              </w:tc>
              <w:tc>
                <w:tcPr>
                  <w:tcW w:type="dxa" w:w="875"/>
                  <w:shd w:val="clear" w:color="auto" w:fill="C6CED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19</w:t>
                  </w:r>
                </w:p>
              </w:tc>
              <w:tc>
                <w:tcPr>
                  <w:tcW w:type="dxa" w:w="875"/>
                  <w:shd w:val="clear" w:color="auto" w:fill="B1BCC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37</w:t>
                  </w:r>
                </w:p>
              </w:tc>
              <w:tc>
                <w:tcPr>
                  <w:tcW w:type="dxa" w:w="875"/>
                  <w:shd w:val="clear" w:color="auto" w:fill="768AA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105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VIP</w:t>
                  </w:r>
                </w:p>
              </w:tc>
              <w:tc>
                <w:tcPr>
                  <w:tcW w:type="dxa" w:w="875"/>
                  <w:shd w:val="clear" w:color="auto" w:fill="7F91A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94</w:t>
                  </w:r>
                </w:p>
              </w:tc>
              <w:tc>
                <w:tcPr>
                  <w:tcW w:type="dxa" w:w="875"/>
                  <w:shd w:val="clear" w:color="auto" w:fill="61779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136</w:t>
                  </w:r>
                </w:p>
              </w:tc>
              <w:tc>
                <w:tcPr>
                  <w:tcW w:type="dxa" w:w="875"/>
                  <w:shd w:val="clear" w:color="auto" w:fill="788BA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103</w:t>
                  </w:r>
                </w:p>
              </w:tc>
              <w:tc>
                <w:tcPr>
                  <w:tcW w:type="dxa" w:w="875"/>
                  <w:shd w:val="clear" w:color="auto" w:fill="CC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15</w:t>
                  </w:r>
                </w:p>
              </w:tc>
              <w:tc>
                <w:tcPr>
                  <w:tcW w:type="dxa" w:w="875"/>
                  <w:shd w:val="clear" w:color="auto" w:fill="CC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15</w:t>
                  </w:r>
                </w:p>
              </w:tc>
              <w:tc>
                <w:tcPr>
                  <w:tcW w:type="dxa" w:w="875"/>
                  <w:shd w:val="clear" w:color="auto" w:fill="CFD5D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875"/>
                  <w:shd w:val="clear" w:color="auto" w:fill="6A7F9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122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WIN</w:t>
                  </w:r>
                </w:p>
              </w:tc>
              <w:tc>
                <w:tcPr>
                  <w:tcW w:type="dxa" w:w="875"/>
                  <w:shd w:val="clear" w:color="auto" w:fill="CFD5D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875"/>
                  <w:shd w:val="clear" w:color="auto" w:fill="687E9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125</w:t>
                  </w:r>
                </w:p>
              </w:tc>
              <w:tc>
                <w:tcPr>
                  <w:tcW w:type="dxa" w:w="875"/>
                  <w:shd w:val="clear" w:color="auto" w:fill="C2CBD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22</w:t>
                  </w:r>
                </w:p>
              </w:tc>
              <w:tc>
                <w:tcPr>
                  <w:tcW w:type="dxa" w:w="875"/>
                  <w:shd w:val="clear" w:color="auto" w:fill="C0C9D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24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BE0E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</w:t>
                  </w:r>
                </w:p>
              </w:tc>
              <w:tc>
                <w:tcPr>
                  <w:tcW w:type="dxa" w:w="875"/>
                  <w:shd w:val="clear" w:color="auto" w:fill="8C9CA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77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7AE60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สมัครสมาชิก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B3BEC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35</w:t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  <w:shd w:val="clear" w:color="auto" w:fill="93A2B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69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1E6E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875"/>
                  <w:shd w:val="clear" w:color="auto" w:fill="C5CDD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20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C0392B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สล็อต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A0AEB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54</w:t>
                  </w:r>
                </w:p>
              </w:tc>
              <w:tc>
                <w:tcPr>
                  <w:tcW w:type="dxa" w:w="875"/>
                  <w:shd w:val="clear" w:color="auto" w:fill="CC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15</w:t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DBE0E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7AE60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คาสิโน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CC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15</w:t>
                  </w:r>
                </w:p>
              </w:tc>
              <w:tc>
                <w:tcPr>
                  <w:tcW w:type="dxa" w:w="875"/>
                  <w:shd w:val="clear" w:color="auto" w:fill="AFBAC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39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E67E22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คาสิโน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CC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15</w:t>
                  </w:r>
                </w:p>
              </w:tc>
              <w:tc>
                <w:tcPr>
                  <w:tcW w:type="dxa" w:w="875"/>
                  <w:shd w:val="clear" w:color="auto" w:fill="AFBAC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39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PG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B8C3C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30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  <w:shd w:val="clear" w:color="auto" w:fill="CC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15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1F3F63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Wallet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C0C9D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24</w:t>
                  </w:r>
                </w:p>
              </w:tc>
              <w:tc>
                <w:tcPr>
                  <w:tcW w:type="dxa" w:w="875"/>
                  <w:shd w:val="clear" w:color="auto" w:fill="D3DAE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7DDE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WALLET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C0C9D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24</w:t>
                  </w:r>
                </w:p>
              </w:tc>
              <w:tc>
                <w:tcPr>
                  <w:tcW w:type="dxa" w:w="875"/>
                  <w:shd w:val="clear" w:color="auto" w:fill="D3DAE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7DDE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PRAGMATIC</w:t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  <w:shd w:val="clear" w:color="auto" w:fill="CAD2D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16</w:t>
                  </w:r>
                </w:p>
              </w:tc>
              <w:tc>
                <w:tcPr>
                  <w:tcW w:type="dxa" w:w="875"/>
                  <w:shd w:val="clear" w:color="auto" w:fill="D7DDE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0D7D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12</w:t>
                  </w:r>
                </w:p>
              </w:tc>
              <w:tc>
                <w:tcPr>
                  <w:tcW w:type="dxa" w:w="875"/>
                  <w:shd w:val="clear" w:color="auto" w:fill="D3DAE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7AE60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คาสิโนออนไลน์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B5C0C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33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E67E22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คาสิโนออนไลน์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B5C0C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33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บาคาร่า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  <w:shd w:val="clear" w:color="auto" w:fill="E1E6E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D3DAE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E67E22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พนัน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7DDE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875"/>
                  <w:shd w:val="clear" w:color="auto" w:fill="D2D8D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11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E67E22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การพนัน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7DDE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875"/>
                  <w:shd w:val="clear" w:color="auto" w:fill="D2D8D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C0392B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เกมสล็อต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C7CFD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18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SEXY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2D8D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11</w:t>
                  </w:r>
                </w:p>
              </w:tc>
              <w:tc>
                <w:tcPr>
                  <w:tcW w:type="dxa" w:w="875"/>
                  <w:shd w:val="clear" w:color="auto" w:fill="DFE3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1F3F63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พนันกีฬา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E67E22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พนันกีฬา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7D3C98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หวยออนไลน์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CFD5D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2F5C8F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SA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CFD5D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7D3C98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Affiliate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E1E6E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C0392B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สล็อตออนไลน์</w:t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CFD5D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color w:val="C0392B"/>
                      <w:sz w:val="16"/>
                    </w:rPr>
                    <w:t xml:space="preserve">█ </w:t>
                  </w:r>
                  <w:r>
                    <w:rPr>
                      <w:rFonts w:ascii="Arial" w:hAnsi="Arial" w:cs="Tahoma"/>
                      <w:sz w:val="16"/>
                    </w:rPr>
                    <w:t>เล่นสล็อต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D2D8D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spacing w:after="2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Scale: 1 site (lightest fill) to 245 sites (darkest fill). An empty cell is zero sites.</w:t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The coloured strip beside each keyword is its Appendix A category, so cross-category bleed is visible.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5" w:name="d5"/>
            <w:r/>
            <w:r>
              <w:rPr>
                <w:b/>
                <w:color w:val="1F3F63"/>
                <w:sz w:val="22"/>
              </w:rPr>
              <w:t>Heat map — Signal tag by subcategory</w:t>
            </w:r>
            <w:bookmarkEnd w:id="15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Signal tags against product subcategory. Each cell is the number of gambling sites carrying that tag in that subcategory.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>
              <w:tc>
                <w:tcPr>
                  <w:tcW w:type="dxa" w:w="2494"/>
                  <w:shd w:val="clear" w:color="auto" w:fill="1F3F63"/>
                </w:tcPr>
                <w:p>
                  <w:r/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Football</w:t>
                    <w:br/>
                    <w:t>Betting</w:t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Slots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Casino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Lottery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Playing</w:t>
                    <w:br/>
                    <w:t>card</w:t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Baccarat</w:t>
                    <w:br/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General</w:t>
                    <w:br/>
                    <w:t>Gambling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Deposit &amp; Withdrawal</w:t>
                  </w:r>
                </w:p>
              </w:tc>
              <w:tc>
                <w:tcPr>
                  <w:tcW w:type="dxa" w:w="875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D1D7D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24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DFE4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875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Promotions</w:t>
                  </w:r>
                </w:p>
              </w:tc>
              <w:tc>
                <w:tcPr>
                  <w:tcW w:type="dxa" w:w="875"/>
                  <w:shd w:val="clear" w:color="auto" w:fill="E6E9E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875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Marketing &amp; Acquisition</w:t>
                  </w:r>
                </w:p>
              </w:tc>
              <w:tc>
                <w:tcPr>
                  <w:tcW w:type="dxa" w:w="875"/>
                  <w:shd w:val="clear" w:color="auto" w:fill="E6E9E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875"/>
                  <w:shd w:val="clear" w:color="auto" w:fill="C6CED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39</w:t>
                  </w:r>
                </w:p>
              </w:tc>
              <w:tc>
                <w:tcPr>
                  <w:tcW w:type="dxa" w:w="875"/>
                  <w:shd w:val="clear" w:color="auto" w:fill="DEE3E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9</w:t>
                  </w:r>
                </w:p>
              </w:tc>
              <w:tc>
                <w:tcPr>
                  <w:tcW w:type="dxa" w:w="875"/>
                  <w:shd w:val="clear" w:color="auto" w:fill="B4BFC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70</w:t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875"/>
                  <w:shd w:val="clear" w:color="auto" w:fill="D3D9E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21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Affiliate &amp; Agent</w:t>
                  </w:r>
                </w:p>
              </w:tc>
              <w:tc>
                <w:tcPr>
                  <w:tcW w:type="dxa" w:w="875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875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875"/>
                  <w:shd w:val="clear" w:color="auto" w:fill="E9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  <w:shd w:val="clear" w:color="auto" w:fill="E7EB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875"/>
                  <w:shd w:val="clear" w:color="auto" w:fill="CAD2D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33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Vague-Evasion Terms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Abbreviations</w:t>
                  </w:r>
                </w:p>
              </w:tc>
              <w:tc>
                <w:tcPr>
                  <w:tcW w:type="dxa" w:w="875"/>
                  <w:shd w:val="clear" w:color="auto" w:fill="8294A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186</w:t>
                  </w:r>
                </w:p>
              </w:tc>
              <w:tc>
                <w:tcPr>
                  <w:tcW w:type="dxa" w:w="875"/>
                  <w:shd w:val="clear" w:color="auto" w:fill="1F3F6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507</w:t>
                  </w:r>
                </w:p>
              </w:tc>
              <w:tc>
                <w:tcPr>
                  <w:tcW w:type="dxa" w:w="875"/>
                  <w:shd w:val="clear" w:color="auto" w:fill="72879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228</w:t>
                  </w:r>
                </w:p>
              </w:tc>
              <w:tc>
                <w:tcPr>
                  <w:tcW w:type="dxa" w:w="875"/>
                  <w:shd w:val="clear" w:color="auto" w:fill="BBC4C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58</w:t>
                  </w:r>
                </w:p>
              </w:tc>
              <w:tc>
                <w:tcPr>
                  <w:tcW w:type="dxa" w:w="875"/>
                  <w:shd w:val="clear" w:color="auto" w:fill="C9D1D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35</w:t>
                  </w:r>
                </w:p>
              </w:tc>
              <w:tc>
                <w:tcPr>
                  <w:tcW w:type="dxa" w:w="875"/>
                  <w:shd w:val="clear" w:color="auto" w:fill="B1BCC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77</w:t>
                  </w:r>
                </w:p>
              </w:tc>
              <w:tc>
                <w:tcPr>
                  <w:tcW w:type="dxa" w:w="875"/>
                  <w:shd w:val="clear" w:color="auto" w:fill="5C738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296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Hashtags</w:t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87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spacing w:after="2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Scale: 1 site (lightest fill) to 507 sites (darkest fill). An empty cell is zero sites.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E — Brands and clustering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6" w:name="e1"/>
            <w:r/>
            <w:r>
              <w:rPr>
                <w:b/>
                <w:color w:val="1F3F63"/>
                <w:sz w:val="22"/>
              </w:rPr>
              <w:t>Clustering at a glance</w:t>
            </w:r>
            <w:bookmarkEnd w:id="16"/>
          </w:p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63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Distinct clusters</w:t>
            </w:r>
          </w:p>
        </w:tc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32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Clusters with 2 or more URLs</w:t>
            </w:r>
          </w:p>
        </w:tc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31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Singletons</w:t>
            </w:r>
          </w:p>
        </w:tc>
        <w:tc>
          <w:tcPr>
            <w:tcW w:type="dxa" w:w="2268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2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Clusters covering half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7" w:name="e2"/>
            <w:r/>
            <w:r>
              <w:rPr>
                <w:b/>
                <w:color w:val="1F3F63"/>
                <w:sz w:val="22"/>
              </w:rPr>
              <w:t>Top 15 brand clusters by URL count</w:t>
            </w:r>
            <w:bookmarkEnd w:id="17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The fifteen largest brand clusters by URL count. Bar length is the number of domains in the cluster.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423393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4233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8" w:name="e3"/>
            <w:r/>
            <w:r>
              <w:rPr>
                <w:b/>
                <w:color w:val="1F3F63"/>
                <w:sz w:val="22"/>
              </w:rPr>
              <w:t>Heat map — Brand cluster by subcategory</w:t>
            </w:r>
            <w:bookmarkEnd w:id="18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Brand clusters against product subcategory. Each cell is the number of URLs a cluster holds in that subcategory.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  <w:gridCol w:w="1134"/>
            </w:tblGrid>
            <w:tr>
              <w:tc>
                <w:tcPr>
                  <w:tcW w:type="dxa" w:w="2268"/>
                  <w:shd w:val="clear" w:color="auto" w:fill="1F3F63"/>
                </w:tcPr>
                <w:p>
                  <w:r/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Football</w:t>
                    <w:br/>
                    <w:t>Betting</w:t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Slots</w:t>
                    <w:br/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Casino</w:t>
                    <w:br/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Lottery</w:t>
                    <w:br/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Playing</w:t>
                    <w:br/>
                    <w:t>card</w:t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Baccarat</w:t>
                    <w:br/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General</w:t>
                    <w:br/>
                    <w:t>Gambling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907"/>
                  <w:shd w:val="clear" w:color="auto" w:fill="A2AFB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148</w:t>
                  </w:r>
                </w:p>
              </w:tc>
              <w:tc>
                <w:tcPr>
                  <w:tcW w:type="dxa" w:w="907"/>
                  <w:shd w:val="clear" w:color="auto" w:fill="1F3F6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698</w:t>
                  </w:r>
                </w:p>
              </w:tc>
              <w:tc>
                <w:tcPr>
                  <w:tcW w:type="dxa" w:w="907"/>
                  <w:shd w:val="clear" w:color="auto" w:fill="7C8FA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277</w:t>
                  </w:r>
                </w:p>
              </w:tc>
              <w:tc>
                <w:tcPr>
                  <w:tcW w:type="dxa" w:w="907"/>
                  <w:shd w:val="clear" w:color="auto" w:fill="C8D0D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50</w:t>
                  </w:r>
                </w:p>
              </w:tc>
              <w:tc>
                <w:tcPr>
                  <w:tcW w:type="dxa" w:w="907"/>
                  <w:shd w:val="clear" w:color="auto" w:fill="BBC5D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78</w:t>
                  </w:r>
                </w:p>
              </w:tc>
              <w:tc>
                <w:tcPr>
                  <w:tcW w:type="dxa" w:w="907"/>
                  <w:shd w:val="clear" w:color="auto" w:fill="B4BEC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98</w:t>
                  </w:r>
                </w:p>
              </w:tc>
              <w:tc>
                <w:tcPr>
                  <w:tcW w:type="dxa" w:w="907"/>
                  <w:shd w:val="clear" w:color="auto" w:fill="75899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305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007</w:t>
                  </w:r>
                </w:p>
              </w:tc>
              <w:tc>
                <w:tcPr>
                  <w:tcW w:type="dxa" w:w="907"/>
                  <w:shd w:val="clear" w:color="auto" w:fill="697E9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354</w:t>
                  </w:r>
                </w:p>
              </w:tc>
              <w:tc>
                <w:tcPr>
                  <w:tcW w:type="dxa" w:w="907"/>
                  <w:shd w:val="clear" w:color="auto" w:fill="556D8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438</w:t>
                  </w:r>
                </w:p>
              </w:tc>
              <w:tc>
                <w:tcPr>
                  <w:tcW w:type="dxa" w:w="907"/>
                  <w:shd w:val="clear" w:color="auto" w:fill="B5C0C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94</w:t>
                  </w:r>
                </w:p>
              </w:tc>
              <w:tc>
                <w:tcPr>
                  <w:tcW w:type="dxa" w:w="907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</w:t>
                  </w:r>
                </w:p>
              </w:tc>
              <w:tc>
                <w:tcPr>
                  <w:tcW w:type="dxa" w:w="907"/>
                  <w:shd w:val="clear" w:color="auto" w:fill="CB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43</w:t>
                  </w:r>
                </w:p>
              </w:tc>
              <w:tc>
                <w:tcPr>
                  <w:tcW w:type="dxa" w:w="907"/>
                  <w:shd w:val="clear" w:color="auto" w:fill="C1CAD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66</w:t>
                  </w:r>
                </w:p>
              </w:tc>
              <w:tc>
                <w:tcPr>
                  <w:tcW w:type="dxa" w:w="907"/>
                  <w:shd w:val="clear" w:color="auto" w:fill="7F91A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FFFFFF"/>
                      <w:sz w:val="16"/>
                    </w:rPr>
                    <w:t>266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agy</w:t>
                  </w:r>
                </w:p>
              </w:tc>
              <w:tc>
                <w:tcPr>
                  <w:tcW w:type="dxa" w:w="907"/>
                  <w:shd w:val="clear" w:color="auto" w:fill="8F9FB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210</w:t>
                  </w:r>
                </w:p>
              </w:tc>
              <w:tc>
                <w:tcPr>
                  <w:tcW w:type="dxa" w:w="907"/>
                  <w:shd w:val="clear" w:color="auto" w:fill="C0C9D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68</w:t>
                  </w:r>
                </w:p>
              </w:tc>
              <w:tc>
                <w:tcPr>
                  <w:tcW w:type="dxa" w:w="907"/>
                  <w:shd w:val="clear" w:color="auto" w:fill="99A8B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175</w:t>
                  </w:r>
                </w:p>
              </w:tc>
              <w:tc>
                <w:tcPr>
                  <w:tcW w:type="dxa" w:w="907"/>
                  <w:shd w:val="clear" w:color="auto" w:fill="E0E4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907"/>
                  <w:shd w:val="clear" w:color="auto" w:fill="E7EB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D0D6D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35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hub</w:t>
                  </w:r>
                </w:p>
              </w:tc>
              <w:tc>
                <w:tcPr>
                  <w:tcW w:type="dxa" w:w="907"/>
                  <w:shd w:val="clear" w:color="auto" w:fill="D5DBE2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26</w:t>
                  </w:r>
                </w:p>
              </w:tc>
              <w:tc>
                <w:tcPr>
                  <w:tcW w:type="dxa" w:w="907"/>
                  <w:shd w:val="clear" w:color="auto" w:fill="9CAABA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165</w:t>
                  </w:r>
                </w:p>
              </w:tc>
              <w:tc>
                <w:tcPr>
                  <w:tcW w:type="dxa" w:w="907"/>
                  <w:shd w:val="clear" w:color="auto" w:fill="C0C9D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68</w:t>
                  </w:r>
                </w:p>
              </w:tc>
              <w:tc>
                <w:tcPr>
                  <w:tcW w:type="dxa" w:w="907"/>
                  <w:shd w:val="clear" w:color="auto" w:fill="E0E4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907"/>
                  <w:shd w:val="clear" w:color="auto" w:fill="DEE2E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907"/>
                  <w:shd w:val="clear" w:color="auto" w:fill="D0D6D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35</w:t>
                  </w:r>
                </w:p>
              </w:tc>
              <w:tc>
                <w:tcPr>
                  <w:tcW w:type="dxa" w:w="907"/>
                  <w:shd w:val="clear" w:color="auto" w:fill="CCD4D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aame</w:t>
                  </w:r>
                </w:p>
              </w:tc>
              <w:tc>
                <w:tcPr>
                  <w:tcW w:type="dxa" w:w="907"/>
                  <w:shd w:val="clear" w:color="auto" w:fill="CBD3D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43</w:t>
                  </w:r>
                </w:p>
              </w:tc>
              <w:tc>
                <w:tcPr>
                  <w:tcW w:type="dxa" w:w="907"/>
                  <w:shd w:val="clear" w:color="auto" w:fill="BFC8D3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69</w:t>
                  </w:r>
                </w:p>
              </w:tc>
              <w:tc>
                <w:tcPr>
                  <w:tcW w:type="dxa" w:w="907"/>
                  <w:shd w:val="clear" w:color="auto" w:fill="D2D8E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31</w:t>
                  </w:r>
                </w:p>
              </w:tc>
              <w:tc>
                <w:tcPr>
                  <w:tcW w:type="dxa" w:w="907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</w:t>
                  </w:r>
                </w:p>
              </w:tc>
              <w:tc>
                <w:tcPr>
                  <w:tcW w:type="dxa" w:w="907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907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14</w:t>
                  </w:r>
                </w:p>
              </w:tc>
              <w:tc>
                <w:tcPr>
                  <w:tcW w:type="dxa" w:w="907"/>
                  <w:shd w:val="clear" w:color="auto" w:fill="CED5D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38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D5DBE2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25</w:t>
                  </w:r>
                </w:p>
              </w:tc>
              <w:tc>
                <w:tcPr>
                  <w:tcW w:type="dxa" w:w="907"/>
                  <w:shd w:val="clear" w:color="auto" w:fill="E5E9E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907"/>
                  <w:shd w:val="clear" w:color="auto" w:fill="ABB7C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122</w:t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D5DBE2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26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s8s</w:t>
                  </w:r>
                </w:p>
              </w:tc>
              <w:tc>
                <w:tcPr>
                  <w:tcW w:type="dxa" w:w="907"/>
                  <w:shd w:val="clear" w:color="auto" w:fill="E2E6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8</w:t>
                  </w:r>
                </w:p>
              </w:tc>
              <w:tc>
                <w:tcPr>
                  <w:tcW w:type="dxa" w:w="907"/>
                  <w:shd w:val="clear" w:color="auto" w:fill="DFE4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11</w:t>
                  </w:r>
                </w:p>
              </w:tc>
              <w:tc>
                <w:tcPr>
                  <w:tcW w:type="dxa" w:w="907"/>
                  <w:shd w:val="clear" w:color="auto" w:fill="DADFE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18</w:t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C7CFD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eu2</w:t>
                  </w:r>
                </w:p>
              </w:tc>
              <w:tc>
                <w:tcPr>
                  <w:tcW w:type="dxa" w:w="907"/>
                  <w:shd w:val="clear" w:color="auto" w:fill="DDE2E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14</w:t>
                  </w:r>
                </w:p>
              </w:tc>
              <w:tc>
                <w:tcPr>
                  <w:tcW w:type="dxa" w:w="907"/>
                  <w:shd w:val="clear" w:color="auto" w:fill="D5DBE2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26</w:t>
                  </w:r>
                </w:p>
              </w:tc>
              <w:tc>
                <w:tcPr>
                  <w:tcW w:type="dxa" w:w="907"/>
                  <w:shd w:val="clear" w:color="auto" w:fill="D9DFE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19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dkn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D4DAE1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28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5E9E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m88thcasino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D9DEE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20</w:t>
                  </w:r>
                </w:p>
              </w:tc>
              <w:tc>
                <w:tcPr>
                  <w:tcW w:type="dxa" w:w="907"/>
                  <w:shd w:val="clear" w:color="auto" w:fill="DEE2E8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13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fun</w:t>
                  </w:r>
                </w:p>
              </w:tc>
              <w:tc>
                <w:tcPr>
                  <w:tcW w:type="dxa" w:w="907"/>
                  <w:shd w:val="clear" w:color="auto" w:fill="DBE0E6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16</w:t>
                  </w:r>
                </w:p>
              </w:tc>
              <w:tc>
                <w:tcPr>
                  <w:tcW w:type="dxa" w:w="907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907"/>
                  <w:shd w:val="clear" w:color="auto" w:fill="E5E9E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7EB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jun88e</w:t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E0E4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betflixbr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D9DFE5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19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jun88s</w:t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E5E9ED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5</w:t>
                  </w:r>
                </w:p>
              </w:tc>
              <w:tc>
                <w:tcPr>
                  <w:tcW w:type="dxa" w:w="907"/>
                  <w:shd w:val="clear" w:color="auto" w:fill="E7EB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bgk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0E4E9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10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8ra</w:t>
                  </w:r>
                </w:p>
              </w:tc>
              <w:tc>
                <w:tcPr>
                  <w:tcW w:type="dxa" w:w="907"/>
                  <w:shd w:val="clear" w:color="auto" w:fill="E7EB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E4E8EC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6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rsagroup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3E7EB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7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fa99ae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8ECEF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2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m88thaibet</w:t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907"/>
                  <w:shd w:val="clear" w:color="auto" w:fill="EAEDF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1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7EB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3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com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</w:r>
                </w:p>
              </w:tc>
              <w:tc>
                <w:tcPr>
                  <w:tcW w:type="dxa" w:w="907"/>
                  <w:shd w:val="clear" w:color="auto" w:fill="E6E9EE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color w:val="1B2430"/>
                      <w:sz w:val="16"/>
                    </w:rPr>
                    <w:t>4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spacing w:after="2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Scale: 1 site (lightest fill) to 698 sites (darkest fill). An empty cell is zero sites.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19" w:name="e4"/>
            <w:r/>
            <w:r>
              <w:rPr>
                <w:b/>
                <w:color w:val="1F3F63"/>
                <w:sz w:val="22"/>
              </w:rPr>
              <w:t>Cluster expansion — 02j</w:t>
            </w:r>
            <w:bookmarkEnd w:id="19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The largest brand cluster and its member domains. Edge style records why each domain joined the cluster.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89586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895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1B2430"/>
                <w:sz w:val="18"/>
              </w:rPr>
              <w:t>02j holds 1,654 URLs across 39 top-level domains. Member domains shown: 000ok.net, 005p.com, 008n.vip, 008oo.cc, 008op.cc, 008p.vip, 008u.vip, 00ok.app, 00ok.bet, 00ok.club, 00ok.fun, 00ok.io, 00ok.pro, 00ok.vip, 00ok.xyz, 00oo.app.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0" w:name="e5"/>
            <w:r/>
            <w:r>
              <w:rPr>
                <w:b/>
                <w:color w:val="1F3F63"/>
                <w:sz w:val="22"/>
              </w:rPr>
              <w:t>Clusters spanning multiple subcategories</w:t>
            </w:r>
            <w:bookmarkEnd w:id="20"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68"/>
              <w:gridCol w:w="2268"/>
              <w:gridCol w:w="2268"/>
              <w:gridCol w:w="2268"/>
            </w:tblGrid>
            <w:tr>
              <w:tc>
                <w:tcPr>
                  <w:tcW w:type="dxa" w:w="136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Cluster</w:t>
                  </w:r>
                </w:p>
              </w:tc>
              <w:tc>
                <w:tcPr>
                  <w:tcW w:type="dxa" w:w="113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URL count</w:t>
                  </w:r>
                </w:p>
              </w:tc>
              <w:tc>
                <w:tcPr>
                  <w:tcW w:type="dxa" w:w="3742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Subcategories</w:t>
                  </w:r>
                </w:p>
              </w:tc>
              <w:tc>
                <w:tcPr>
                  <w:tcW w:type="dxa" w:w="238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Suffixes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1,654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698, General Gambling 305, Casino 277, Football Betting 148, Baccarat 98, Playing card 78, Lottery 50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.bet 249, .app 235, .pro 156, .net 131, .com 131, .vip 119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007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1,267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438, Football Betting 354, General Gambling 266, Casino 94, Baccarat 66, Playing card 43, Lottery 6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.cc 326, .game 194, .app 109, .pro 78, .click 69, .bet 61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agy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505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Football Betting 210, Casino 175, Slots 68, General Gambling 35, Lottery 10, Baccarat 4, Playing card 3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.net 415, .bet 18, .cc 16, .vip 10, .com 9, .pro 9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hub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358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165, Casino 68, General Gambling 41, Baccarat 35, Football Betting 26, Playing card 13, Lottery 10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41, .net 37, .pro 32, .bet 30, .co 24, .app 20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aame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208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69, Football Betting 43, General Gambling 38, Casino 31, Baccarat 14, Playing card 7, Lottery 6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105, .vip 19, .net 13, .app 11, .click 10, .live 7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186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Lottery 122, General Gambling 26, Slots 25, Casino 5, Baccarat 4, Football Betting 2, Playing card 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102, .net 15, .live 8, .info 7, .bet 7, .cc 6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s8s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89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General Gambling 51, Casino 18, Slots 11, Football Betting 8, Lottery 1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79, .vip 4, .net 2, .live 2, .top 1, .xyz 1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eu2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71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26, Casino 19, Football Betting 14, Playing card 4, Lottery 4, Baccarat 2, General Gambling 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42, .club 4, .net 4, .bet 3, .co 3, .app 2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dkn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35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28, Baccarat 5, Lottery 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.app 9, .net 7, .co 4, .online 3, .info 3, .com 2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m88thcasino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34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20, Casino 13, General Gambling 1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2, .club 2, .co 2, .live 2, .net 2, .online 2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fun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33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Football Betting 16, Slots 7, Casino 5, General Gambling 3, Lottery 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32, .tours 1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jun88e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21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10, Casino 4, Lottery 4, Football Betting 2, General Gambling 1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19, .buzz 2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jun88s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14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5, Football Betting 4, Casino 3, General Gambling 1, Lottery 1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14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bgk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12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General Gambling 10, Casino 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.in 2, .com 2, .tv 1, .live 1, .vip 1, .cc 1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8ra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11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 6, Football Betting 3, General Gambling 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4, .live 2, .bet 2, .app 1, .vip 1, .bf 1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1" w:name="e6"/>
            <w:r/>
            <w:r>
              <w:rPr>
                <w:b/>
                <w:color w:val="1F3F63"/>
                <w:sz w:val="22"/>
              </w:rPr>
              <w:t>Clusters rotating top-level domains</w:t>
            </w:r>
            <w:bookmarkEnd w:id="21"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535"/>
              <w:gridCol w:w="4535"/>
            </w:tblGrid>
            <w:tr>
              <w:tc>
                <w:tcPr>
                  <w:tcW w:type="dxa" w:w="158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Cluster</w:t>
                  </w:r>
                </w:p>
              </w:tc>
              <w:tc>
                <w:tcPr>
                  <w:tcW w:type="dxa" w:w="7030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Suffixes and counts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.bet 249, .app 235, .pro 156, .net 131, .com 131, .vip 119, .club 93, .click 56, .shop 51, .me 46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007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.cc 326, .game 194, .app 109, .pro 78, .click 69, .bet 61, .club 61, .fun 50, .me 43, .casino 39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agy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.net 415, .bet 18, .cc 16, .vip 10, .com 9, .pro 9, .app 9, .fun 5, .club 5, .io 2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hub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41, .net 37, .pro 32, .bet 30, .co 24, .app 20, .site 18, .casino 15, .top 14, .me 14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aame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105, .vip 19, .net 13, .app 11, .click 10, .live 7, .bet 6, .info 4, .pro 4, .me 4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102, .net 15, .live 8, .info 7, .bet 7, .cc 6, .online 5, .click 5, .co 5, .app 4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s8s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79, .vip 4, .net 2, .live 2, .top 1, .xyz 1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eu2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42, .club 4, .net 4, .bet 3, .co 3, .app 2, .click 2, .land 2, .life 2, .fun 2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dkn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.app 9, .net 7, .co 4, .online 3, .info 3, .com 2, .vip 2, .bet 2, .nl 1, .in 1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m88thcasino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2, .club 2, .co 2, .live 2, .net 2, .online 2, .site 2, .vip 2, .shop 2, .pro 2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fun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32, .tours 1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jun88e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19, .buzz 2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bgk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.in 2, .com 2, .tv 1, .live 1, .vip 1, .cc 1, .app 1, .net 1, .me 1, .bet 1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8ra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4, .live 2, .bet 2, .app 1, .vip 1, .bf 1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fa99ae</w:t>
                  </w:r>
                </w:p>
              </w:tc>
              <w:tc>
                <w:tcPr>
                  <w:tcW w:type="dxa" w:w="703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.com 5, .in 1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2" w:name="e7"/>
            <w:r/>
            <w:r>
              <w:rPr>
                <w:b/>
                <w:color w:val="1F3F63"/>
                <w:sz w:val="22"/>
              </w:rPr>
              <w:t>Possible operator linkage</w:t>
            </w:r>
            <w:bookmarkEnd w:id="22"/>
          </w:p>
          <w:p>
            <w:pPr>
              <w:spacing w:after="4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7"/>
              </w:rPr>
              <w:t>Indicative — not a clustering decision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68"/>
              <w:gridCol w:w="2268"/>
              <w:gridCol w:w="2268"/>
              <w:gridCol w:w="2268"/>
            </w:tblGrid>
            <w:tr>
              <w:tc>
                <w:tcPr>
                  <w:tcW w:type="dxa" w:w="170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Cluster A</w:t>
                  </w:r>
                </w:p>
              </w:tc>
              <w:tc>
                <w:tcPr>
                  <w:tcW w:type="dxa" w:w="170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Cluster B</w:t>
                  </w:r>
                </w:p>
              </w:tc>
              <w:tc>
                <w:tcPr>
                  <w:tcW w:type="dxa" w:w="4082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Shared keywords</w:t>
                  </w:r>
                </w:p>
              </w:tc>
              <w:tc>
                <w:tcPr>
                  <w:tcW w:type="dxa" w:w="113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Jaccard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m88thcasino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betflixbr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VIP, WALLET, Wallet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0.75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agy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betflixbr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BET, VIP, WALLET, Wallet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0.67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007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Affiliate, Agent, BET, JILI, PG, PRAGMATIC, RTP, VIP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0.60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3" w:name="e8"/>
            <w:r/>
            <w:r>
              <w:rPr>
                <w:b/>
                <w:color w:val="1F3F63"/>
                <w:sz w:val="22"/>
              </w:rPr>
              <w:t>Naming conventions</w:t>
            </w:r>
            <w:bookmarkEnd w:id="23"/>
          </w:p>
          <w:p>
            <w:pPr>
              <w:pStyle w:val="ListBullet"/>
              <w:spacing w:after="40"/>
            </w:pPr>
            <w:r>
              <w:rPr>
                <w:sz w:val="18"/>
              </w:rPr>
              <w:t>Recurring tokens: “bet” (412), “app” (405), “m.” (376) — evidence of a templated naming scheme.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TLD switching: .net (659), .com (649), .app (401), .cc (394) — the operators rotate top level domains.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4,540 distinct domains across 20 brand clusters.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4" w:name="e9"/>
            <w:r/>
            <w:r>
              <w:rPr>
                <w:b/>
                <w:color w:val="1F3F63"/>
                <w:sz w:val="22"/>
              </w:rPr>
              <w:t>Structure: direct, redirect, variant</w:t>
            </w:r>
            <w:bookmarkEnd w:id="24"/>
          </w:p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56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Direct</w:t>
            </w:r>
          </w:p>
        </w:tc>
        <w:tc>
          <w:tcPr>
            <w:tcW w:type="dxa" w:w="3024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247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Redirect</w:t>
            </w:r>
          </w:p>
        </w:tc>
        <w:tc>
          <w:tcPr>
            <w:tcW w:type="dxa" w:w="3024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b/>
                <w:color w:val="1F3F63"/>
                <w:sz w:val="30"/>
              </w:rPr>
              <w:t>4,294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 w:val="0"/>
                <w:i w:val="0"/>
                <w:color w:val="5C6B7F"/>
                <w:sz w:val="16"/>
              </w:rPr>
              <w:t>Variant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hAnsi="Arial" w:cs="Tahoma"/>
          <w:b w:val="0"/>
          <w:i/>
          <w:color w:val="5C6B7F"/>
          <w:sz w:val="16"/>
        </w:rPr>
        <w:t>Shares of gambling URLs: direct 1.2%, redirect 5.4%, variant 93.4%.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5" w:name="e10"/>
            <w:r/>
            <w:r>
              <w:rPr>
                <w:b/>
                <w:color w:val="1F3F63"/>
                <w:sz w:val="22"/>
              </w:rPr>
              <w:t>Redirect propagation — lotto432e.com</w:t>
            </w:r>
            <w:bookmarkEnd w:id="25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31414F"/>
                <w:sz w:val="18"/>
              </w:rPr>
              <w:t>The busiest redirect source and the destinations reached from it. Each node is one domain.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8958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895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1B2430"/>
                <w:sz w:val="18"/>
              </w:rPr>
              <w:t>lotto432e.com reaches 5 destinations. Destinations shown: 432lottoa.com, lotto432ab.com, lotto432ac.com, lotto432w.com, lotto432u.com.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F — Ranking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6" w:name="f1"/>
            <w:r/>
            <w:r>
              <w:rPr>
                <w:b/>
                <w:color w:val="1F3F63"/>
                <w:sz w:val="22"/>
              </w:rPr>
              <w:t>Gambling ranking</w:t>
            </w:r>
            <w:bookmarkEnd w:id="26"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>
              <w:tc>
                <w:tcPr>
                  <w:tcW w:type="dxa" w:w="1020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Rank</w:t>
                  </w:r>
                </w:p>
              </w:tc>
              <w:tc>
                <w:tcPr>
                  <w:tcW w:type="dxa" w:w="249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Domain</w:t>
                  </w:r>
                </w:p>
              </w:tc>
              <w:tc>
                <w:tcPr>
                  <w:tcW w:type="dxa" w:w="1361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Brand cluster</w:t>
                  </w:r>
                </w:p>
              </w:tc>
              <w:tc>
                <w:tcPr>
                  <w:tcW w:type="dxa" w:w="1587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Subcategory</w:t>
                  </w:r>
                </w:p>
              </w:tc>
              <w:tc>
                <w:tcPr>
                  <w:tcW w:type="dxa" w:w="2154"/>
                  <w:shd w:val="clear" w:color="auto" w:fill="1F3F63"/>
                </w:tcPr>
                <w:p>
                  <w:pPr>
                    <w:spacing w:after="20"/>
                  </w:pPr>
                  <w:r/>
                  <w:r>
                    <w:rPr>
                      <w:b/>
                      <w:color w:val="FFFFFF"/>
                      <w:sz w:val="16"/>
                    </w:rPr>
                    <w:t>Source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78,229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lottovip.com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Lottery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Youtube (lotto432)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90,304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lottovip.bet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Lottery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(lottovip.com)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93,266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lottovip.info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(lottovip.com)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184,475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fun88thf.com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fun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Football Betting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(fun88tht.com)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216,041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lottovipp.com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Lottery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(lottovip.com)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397,330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jun88wa.com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jun88e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(jun88ea.com)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402,382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ruay.com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eu2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General Gambling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Youtube (หวยออนไลน์)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517,141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slavinaslot.top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hub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Redirect (jun88.info)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517,141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jun88.info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hub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(jun88.mobile)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547,370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99ok.vip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Lottery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(99ok.bet)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558,790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gg8830.com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(gg8825.app)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595,712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ruayy.com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eu2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Casino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(ruay.com)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706,458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lotto432ad.com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loto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Lottery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(lotto432ae.com)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715,861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k7.game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007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General Gambling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(k6.game)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727,399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gg8832.com</w:t>
                  </w:r>
                </w:p>
              </w:tc>
              <w:tc>
                <w:tcPr>
                  <w:tcW w:type="dxa" w:w="1361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02j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Slots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after="20"/>
                  </w:pPr>
                  <w:r/>
                  <w:r>
                    <w:rPr>
                      <w:rFonts w:ascii="Arial" w:hAnsi="Arial" w:cs="Tahoma"/>
                      <w:sz w:val="16"/>
                    </w:rPr>
                    <w:t>Variant (gg8835.com)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 w:before="0"/>
            </w:pPr>
            <w:r>
              <w:rPr>
                <w:rFonts w:ascii="Arial" w:hAnsi="Arial" w:cs="Tahoma"/>
                <w:b w:val="0"/>
                <w:i/>
                <w:color w:val="5C6B7F"/>
                <w:sz w:val="16"/>
              </w:rPr>
              <w:t>123 gambling rows carry a numeric rank.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cs="Tahoma"/>
          <w:b/>
          <w:i w:val="0"/>
          <w:color w:val="1F3F63"/>
          <w:sz w:val="24"/>
        </w:rPr>
        <w:t>Group G — Key insights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7" w:name="g1"/>
            <w:r/>
            <w:r>
              <w:rPr>
                <w:b/>
                <w:color w:val="1F3F63"/>
                <w:sz w:val="22"/>
              </w:rPr>
              <w:t>Scale of the analysis</w:t>
            </w:r>
            <w:bookmarkEnd w:id="27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The standard working set holds 12,435 distinct URLs gathered over an evaluation period of 25 days (2026-08-31 to 2026-09-24). Of these, 4,597 are gambling sites, 7,838 are not gambling and 0 were unreachable. 11,499 rows awaiting adjudication and 9 duplicate URLs were removed before any figure was computed.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The sample is large enough to reason about patterns, not isolated cases.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8" w:name="g2"/>
            <w:r/>
            <w:r>
              <w:rPr>
                <w:b/>
                <w:color w:val="1F3F63"/>
                <w:sz w:val="22"/>
              </w:rPr>
              <w:t>What is being offered</w:t>
            </w:r>
            <w:bookmarkEnd w:id="28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The three largest product subcategories are Slots 1,642 (35.7%); Football Betting 834 (18.1%); General Gambling 799 (17.4%). 17.4% of gambling rows are confirmed as gambling without an evidenced product type, and 97.0% of subcategory assignments come from reasoning inference rather than a lexicon keyword match. 220 of the 291 lexicon entries never matched a single row.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Slots leads at 35.7% of gambling rows, but the estate is spread across product types rather than concentrated in one.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29" w:name="g3"/>
            <w:r/>
            <w:r>
              <w:rPr>
                <w:b/>
                <w:color w:val="1F3F63"/>
                <w:sz w:val="22"/>
              </w:rPr>
              <w:t>Brand clustering</w:t>
            </w:r>
            <w:bookmarkEnd w:id="29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63 brand clusters were formed across 4,597 gambling URLs. 32 hold more than one domain and 31 are singletons. 2 clusters cover half the estate. The largest, 02j, holds 1,654 domains across 7 product subcategories.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A small number of operators account for most of the estate, and enforcement against clusters is far more efficient than against individual URLs.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30" w:name="g4"/>
            <w:r/>
            <w:r>
              <w:rPr>
                <w:b/>
                <w:color w:val="1F3F63"/>
                <w:sz w:val="22"/>
              </w:rPr>
              <w:t>How the estate is grown and marketed</w:t>
            </w:r>
            <w:bookmarkEnd w:id="30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4,294 gambling URLs are crawler-identified variants, 247 sit behind redirect chains and 56 were reached directly. The busiest redirect source is lotto432e.com with 5 destinations. 17 clusters rotate across more than one top-level domain. The two most common signal tags are Abbreviations 30.2%, Marketing &amp; Acquisition 3.2%.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Redirects and TLD rotation keep a stable entry point while the sites behind it are replaced.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tcBorders>
              <w:top w:val="single" w:sz="4" w:space="0" w:color="C9D2DB"/>
              <w:left w:val="single" w:sz="4" w:space="0" w:color="C9D2DB"/>
              <w:bottom w:val="single" w:sz="4" w:space="0" w:color="C9D2DB"/>
              <w:right w:val="single" w:sz="4" w:space="0" w:color="C9D2DB"/>
            </w:tcBorders>
            <w:tcMar>
              <w:top w:w="226" w:type="dxa"/>
              <w:start w:w="226" w:type="dxa"/>
              <w:bottom w:w="226" w:type="dxa"/>
              <w:end w:w="226" w:type="dxa"/>
            </w:tcMar>
          </w:tcPr>
          <w:p>
            <w:pPr>
              <w:spacing w:after="40"/>
            </w:pPr>
            <w:bookmarkStart w:id="31" w:name="g5"/>
            <w:r/>
            <w:r>
              <w:rPr>
                <w:b/>
                <w:color w:val="1F3F63"/>
                <w:sz w:val="22"/>
              </w:rPr>
              <w:t>Enforcement position</w:t>
            </w:r>
            <w:bookmarkEnd w:id="31"/>
          </w:p>
          <w:p>
            <w:pPr>
              <w:spacing w:after="80" w:before="0"/>
            </w:pPr>
            <w:r>
              <w:rPr>
                <w:rFonts w:ascii="Arial" w:hAnsi="Arial" w:cs="Tahoma"/>
                <w:b w:val="0"/>
                <w:i w:val="0"/>
                <w:color w:val="1B2430"/>
                <w:sz w:val="19"/>
              </w:rPr>
              <w:t>1 page carries a regulatory-blocking indicator in its captured text. The single match is the phrase “regulatory authority” inside a third-party government domain rather than a block notice served against a gambling site, so no row in this sample evidences enforcement against it.</w:t>
            </w:r>
          </w:p>
          <w:p>
            <w:pPr>
              <w:spacing w:after="0" w:before="0"/>
            </w:pPr>
            <w:r>
              <w:rPr>
                <w:rFonts w:ascii="Arial" w:hAnsi="Arial" w:cs="Tahoma"/>
                <w:b/>
                <w:i w:val="0"/>
                <w:color w:val="1F3F63"/>
                <w:sz w:val="19"/>
              </w:rPr>
              <w:t>This set is a candidate for a first enforcement pass, prioritised by cluster rather than by URL.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spacing w:after="0" w:before="0"/>
      </w:pPr>
      <w:r>
        <w:rPr>
          <w:rFonts w:ascii="Arial" w:hAnsi="Arial" w:cs="Tahoma"/>
          <w:b w:val="0"/>
          <w:i w:val="0"/>
          <w:color w:val="5C6B7F"/>
          <w:sz w:val="15"/>
        </w:rPr>
        <w:t>lexiconSource Gambling_Keywords_Full_English_Categories_V1.xlsx · lexiconVersion Appendix A (V1) · keywords per tab Football Betting 21, Slots 32, Casino 14, Lottery 20, Playing card 12, Baccarat 11, General Gambling 22, Deposit &amp; Withdrawal 24, Promotions 27, Marketing &amp; Acquisition 25, Affiliate &amp; Agent 20, Vague-Evasion Terms 20, Abbreviations 22, Hashtags 21 · inferredShare 97.0% · generalShare 17.4% · rows normalised from Licensed gambling 0 · abbreviations flagged as probable false-positive sources: VIP (498 of 1,597 Abbreviations matches), BET (593 of 1,597 Abbreviations matches) · clustering thresholds: Jaro-Winkler 0.90 with a prefix or suffix constraint, seed linkage resolved to the root of the chain, cluster named from its shortest member stem of at least three characters.</w:t>
      </w:r>
    </w:p>
    <w:sectPr w:rsidR="00FC693F" w:rsidRPr="0006063C" w:rsidSect="00034616">
      <w:footerReference w:type="default" r:id="rId17"/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97A8"/>
        <w:sz w:val="15"/>
      </w:rPr>
      <w:t>SICPADetect · Data Insights &amp; Patterns · Ministry of Digital Economy and Society, Thailand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Tahoma" w:cs="Tahom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