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7" w:lineRule="auto"/>
      </w:pPr>
    </w:p>
    <w:p>
      <w:pPr>
        <w:spacing w:before="1080" w:after="0" w:line="307" w:lineRule="auto"/>
      </w:pPr>
    </w:p>
    <w:p>
      <w:pPr>
        <w:spacing w:before="0" w:after="800" w:line="307" w:lineRule="auto"/>
        <w:jc w:val="right"/>
      </w:pPr>
      <w:r>
        <w:rPr>
          <w:rFonts w:ascii="Calibri" w:hAnsi="Calibri" w:cs="Calibri"/>
          <w:b w:val="0"/>
          <w:i w:val="0"/>
          <w:color w:val="5A6B7A"/>
          <w:sz w:val="20"/>
        </w:rPr>
        <w:t>Ministry of Digital Economy and Society, Thailand</w:t>
      </w:r>
    </w:p>
    <w:p>
      <w:pPr>
        <w:spacing w:before="0" w:after="160" w:line="252" w:lineRule="auto"/>
      </w:pPr>
      <w:r>
        <w:rPr>
          <w:rFonts w:ascii="Calibri" w:hAnsi="Calibri" w:cs="Calibri"/>
          <w:b/>
          <w:i w:val="0"/>
          <w:color w:val="1F3F63"/>
          <w:sz w:val="68"/>
        </w:rPr>
        <w:t>Data Insights &amp; Patterns</w:t>
      </w:r>
    </w:p>
    <w:p>
      <w:pPr>
        <w:spacing w:before="0" w:after="520" w:line="307" w:lineRule="auto"/>
      </w:pPr>
      <w:r>
        <w:rPr>
          <w:rFonts w:ascii="Calibri" w:hAnsi="Calibri" w:cs="Calibri"/>
          <w:b w:val="0"/>
          <w:i w:val="0"/>
          <w:color w:val="5A6B7A"/>
          <w:sz w:val="25"/>
        </w:rPr>
        <w:t>Pilot reporting period · 4 Sep 2026 to 30 Sep 2026</w:t>
      </w:r>
    </w:p>
    <w:tbl>
      <w:tblPr>
        <w:tblW w:type="auto" w:w="0"/>
        <w:tblLayout w:type="fixed"/>
        <w:tblLook w:firstColumn="1" w:firstRow="1" w:lastColumn="0" w:lastRow="0" w:noHBand="0" w:noVBand="1" w:val="04A0"/>
      </w:tblPr>
      <w:tblGrid>
        <w:gridCol w:w="4536"/>
        <w:gridCol w:w="4536"/>
      </w:tblGrid>
      <w:tr>
        <w:trPr>
          <w:cantSplit/>
        </w:trPr>
        <w:tc>
          <w:tcPr>
            <w:tcW w:w="2494" w:type="dxa"/>
            <w:tcBorders>
              <w:top w:val="nil"/>
              <w:left w:val="nil"/>
              <w:bottom w:val="nil"/>
              <w:right w:val="nil"/>
              <w:insideH w:val="nil"/>
              <w:insideV w:val="nil"/>
            </w:tcBorders>
            <w:tcMar>
              <w:top w:w="113" w:type="dxa"/>
              <w:start w:w="0" w:type="dxa"/>
              <w:bottom w:w="113" w:type="dxa"/>
              <w:end w:w="113" w:type="dxa"/>
            </w:tcMar>
          </w:tcPr>
          <w:p>
            <w:pPr>
              <w:spacing w:before="0" w:after="0" w:line="288" w:lineRule="auto"/>
            </w:pPr>
            <w:r>
              <w:rPr>
                <w:rFonts w:ascii="Calibri" w:hAnsi="Calibri" w:cs="Calibri"/>
                <w:b w:val="0"/>
                <w:i w:val="0"/>
                <w:color w:val="5A6B7A"/>
                <w:sz w:val="21"/>
              </w:rPr>
              <w:t>Issued to</w:t>
            </w:r>
          </w:p>
        </w:tc>
        <w:tc>
          <w:tcPr>
            <w:tcW w:w="6577" w:type="dxa"/>
            <w:tcBorders>
              <w:top w:val="nil"/>
              <w:left w:val="nil"/>
              <w:bottom w:val="nil"/>
              <w:right w:val="nil"/>
              <w:insideH w:val="nil"/>
              <w:insideV w:val="nil"/>
            </w:tcBorders>
            <w:tcMar>
              <w:top w:w="113" w:type="dxa"/>
              <w:start w:w="113" w:type="dxa"/>
              <w:bottom w:w="113" w:type="dxa"/>
              <w:end w:w="113" w:type="dxa"/>
            </w:tcMar>
          </w:tcPr>
          <w:p>
            <w:pPr>
              <w:spacing w:before="0" w:after="0" w:line="288" w:lineRule="auto"/>
            </w:pPr>
            <w:r>
              <w:rPr>
                <w:rFonts w:ascii="Calibri" w:hAnsi="Calibri" w:cs="Calibri"/>
                <w:b/>
                <w:i w:val="0"/>
                <w:color w:val="22303C"/>
                <w:sz w:val="21"/>
              </w:rPr>
              <w:t>Ministry of Digital Economy and Society, Thailand</w:t>
            </w:r>
          </w:p>
        </w:tc>
      </w:tr>
      <w:tr>
        <w:trPr>
          <w:cantSplit/>
        </w:trPr>
        <w:tc>
          <w:tcPr>
            <w:tcW w:w="2494" w:type="dxa"/>
            <w:tcBorders>
              <w:top w:val="nil"/>
              <w:left w:val="nil"/>
              <w:bottom w:val="nil"/>
              <w:right w:val="nil"/>
              <w:insideH w:val="nil"/>
              <w:insideV w:val="nil"/>
            </w:tcBorders>
            <w:tcMar>
              <w:top w:w="113" w:type="dxa"/>
              <w:start w:w="0" w:type="dxa"/>
              <w:bottom w:w="113" w:type="dxa"/>
              <w:end w:w="113" w:type="dxa"/>
            </w:tcMar>
          </w:tcPr>
          <w:p>
            <w:pPr>
              <w:spacing w:before="0" w:after="0" w:line="288" w:lineRule="auto"/>
            </w:pPr>
            <w:r>
              <w:rPr>
                <w:rFonts w:ascii="Calibri" w:hAnsi="Calibri" w:cs="Calibri"/>
                <w:b w:val="0"/>
                <w:i w:val="0"/>
                <w:color w:val="5A6B7A"/>
                <w:sz w:val="21"/>
              </w:rPr>
              <w:t>Prepared by</w:t>
            </w:r>
          </w:p>
        </w:tc>
        <w:tc>
          <w:tcPr>
            <w:tcW w:w="6577" w:type="dxa"/>
            <w:tcBorders>
              <w:top w:val="nil"/>
              <w:left w:val="nil"/>
              <w:bottom w:val="nil"/>
              <w:right w:val="nil"/>
              <w:insideH w:val="nil"/>
              <w:insideV w:val="nil"/>
            </w:tcBorders>
            <w:tcMar>
              <w:top w:w="113" w:type="dxa"/>
              <w:start w:w="113" w:type="dxa"/>
              <w:bottom w:w="113" w:type="dxa"/>
              <w:end w:w="113" w:type="dxa"/>
            </w:tcMar>
          </w:tcPr>
          <w:p>
            <w:pPr>
              <w:spacing w:before="0" w:after="0" w:line="288" w:lineRule="auto"/>
            </w:pPr>
            <w:r>
              <w:rPr>
                <w:rFonts w:ascii="Calibri" w:hAnsi="Calibri" w:cs="Calibri"/>
                <w:b/>
                <w:i w:val="0"/>
                <w:color w:val="22303C"/>
                <w:sz w:val="21"/>
              </w:rPr>
              <w:t>SICPA SA</w:t>
            </w:r>
          </w:p>
        </w:tc>
      </w:tr>
      <w:tr>
        <w:trPr>
          <w:cantSplit/>
        </w:trPr>
        <w:tc>
          <w:tcPr>
            <w:tcW w:w="2494" w:type="dxa"/>
            <w:tcBorders>
              <w:top w:val="nil"/>
              <w:left w:val="nil"/>
              <w:bottom w:val="nil"/>
              <w:right w:val="nil"/>
              <w:insideH w:val="nil"/>
              <w:insideV w:val="nil"/>
            </w:tcBorders>
            <w:tcMar>
              <w:top w:w="113" w:type="dxa"/>
              <w:start w:w="0" w:type="dxa"/>
              <w:bottom w:w="113" w:type="dxa"/>
              <w:end w:w="113" w:type="dxa"/>
            </w:tcMar>
          </w:tcPr>
          <w:p>
            <w:pPr>
              <w:spacing w:before="0" w:after="0" w:line="288" w:lineRule="auto"/>
            </w:pPr>
            <w:r>
              <w:rPr>
                <w:rFonts w:ascii="Calibri" w:hAnsi="Calibri" w:cs="Calibri"/>
                <w:b w:val="0"/>
                <w:i w:val="0"/>
                <w:color w:val="5A6B7A"/>
                <w:sz w:val="21"/>
              </w:rPr>
              <w:t>Date of issue</w:t>
            </w:r>
          </w:p>
        </w:tc>
        <w:tc>
          <w:tcPr>
            <w:tcW w:w="6577" w:type="dxa"/>
            <w:tcBorders>
              <w:top w:val="nil"/>
              <w:left w:val="nil"/>
              <w:bottom w:val="nil"/>
              <w:right w:val="nil"/>
              <w:insideH w:val="nil"/>
              <w:insideV w:val="nil"/>
            </w:tcBorders>
            <w:tcMar>
              <w:top w:w="113" w:type="dxa"/>
              <w:start w:w="113" w:type="dxa"/>
              <w:bottom w:w="113" w:type="dxa"/>
              <w:end w:w="113" w:type="dxa"/>
            </w:tcMar>
          </w:tcPr>
          <w:p>
            <w:pPr>
              <w:spacing w:before="0" w:after="0" w:line="288" w:lineRule="auto"/>
            </w:pPr>
            <w:r>
              <w:rPr>
                <w:rFonts w:ascii="Calibri" w:hAnsi="Calibri" w:cs="Calibri"/>
                <w:b/>
                <w:i w:val="0"/>
                <w:color w:val="22303C"/>
                <w:sz w:val="21"/>
              </w:rPr>
              <w:t>30/09/2026</w:t>
            </w:r>
          </w:p>
        </w:tc>
      </w:tr>
      <w:tr>
        <w:trPr>
          <w:cantSplit/>
        </w:trPr>
        <w:tc>
          <w:tcPr>
            <w:tcW w:w="2494" w:type="dxa"/>
            <w:tcBorders>
              <w:top w:val="nil"/>
              <w:left w:val="nil"/>
              <w:bottom w:val="nil"/>
              <w:right w:val="nil"/>
              <w:insideH w:val="nil"/>
              <w:insideV w:val="nil"/>
            </w:tcBorders>
            <w:tcMar>
              <w:top w:w="113" w:type="dxa"/>
              <w:start w:w="0" w:type="dxa"/>
              <w:bottom w:w="113" w:type="dxa"/>
              <w:end w:w="113" w:type="dxa"/>
            </w:tcMar>
          </w:tcPr>
          <w:p>
            <w:pPr>
              <w:spacing w:before="0" w:after="0" w:line="288" w:lineRule="auto"/>
            </w:pPr>
            <w:r>
              <w:rPr>
                <w:rFonts w:ascii="Calibri" w:hAnsi="Calibri" w:cs="Calibri"/>
                <w:b w:val="0"/>
                <w:i w:val="0"/>
                <w:color w:val="5A6B7A"/>
                <w:sz w:val="21"/>
              </w:rPr>
              <w:t>Source system</w:t>
            </w:r>
          </w:p>
        </w:tc>
        <w:tc>
          <w:tcPr>
            <w:tcW w:w="6577" w:type="dxa"/>
            <w:tcBorders>
              <w:top w:val="nil"/>
              <w:left w:val="nil"/>
              <w:bottom w:val="nil"/>
              <w:right w:val="nil"/>
              <w:insideH w:val="nil"/>
              <w:insideV w:val="nil"/>
            </w:tcBorders>
            <w:tcMar>
              <w:top w:w="113" w:type="dxa"/>
              <w:start w:w="113" w:type="dxa"/>
              <w:bottom w:w="113" w:type="dxa"/>
              <w:end w:w="113" w:type="dxa"/>
            </w:tcMar>
          </w:tcPr>
          <w:p>
            <w:pPr>
              <w:spacing w:before="0" w:after="0" w:line="288" w:lineRule="auto"/>
            </w:pPr>
            <w:r>
              <w:rPr>
                <w:rFonts w:ascii="Calibri" w:hAnsi="Calibri" w:cs="Calibri"/>
                <w:b/>
                <w:i w:val="0"/>
                <w:color w:val="22303C"/>
                <w:sz w:val="21"/>
              </w:rPr>
              <w:t>SICPADetect</w:t>
            </w:r>
          </w:p>
        </w:tc>
      </w:tr>
    </w:tbl>
    <w:p>
      <w:r>
        <w:br w:type="page"/>
      </w:r>
    </w:p>
    <w:tbl>
      <w:tblPr>
        <w:tblW w:type="auto" w:w="0"/>
        <w:jc w:val="left"/>
        <w:tblLayout w:type="fixed"/>
        <w:tblLook w:firstColumn="1" w:firstRow="1" w:lastColumn="0" w:lastRow="0" w:noHBand="0" w:noVBand="1" w:val="04A0"/>
      </w:tblPr>
      <w:tblGrid>
        <w:gridCol w:w="9072"/>
      </w:tblGrid>
      <w:t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01" w:name="Contents"/>
            <w:pPr>
              <w:pStyle w:val="Heading2"/>
              <w:spacing w:before="0" w:after="100"/>
            </w:pPr>
            <w:bookmarkEnd w:id="1001"/>
            <w:r>
              <w:rPr>
                <w:rFonts w:ascii="Calibri" w:hAnsi="Calibri" w:cs="Calibri"/>
                <w:b/>
                <w:i w:val="0"/>
                <w:color w:val="1F3F63"/>
                <w:sz w:val="23"/>
              </w:rPr>
              <w:t>Contents</w:t>
            </w:r>
          </w:p>
          <w:p>
            <w:pPr>
              <w:spacing w:before="100" w:after="20" w:line="288" w:lineRule="auto"/>
            </w:pPr>
            <w:hyperlink w:anchor="Executivesummary">
              <w:r>
                <w:rPr>
                  <w:color w:val="1F3F63"/>
                  <w:u w:val="none"/>
                  <w:sz w:val="20"/>
                  <w:b/>
                </w:rPr>
                <w:t xml:space="preserve">Executive summary</w:t>
              </w:r>
            </w:hyperlink>
          </w:p>
          <w:p>
            <w:pPr>
              <w:spacing w:before="100" w:after="20" w:line="288" w:lineRule="auto"/>
            </w:pPr>
            <w:hyperlink w:anchor="ModelInsights">
              <w:r>
                <w:rPr>
                  <w:color w:val="1F3F63"/>
                  <w:u w:val="none"/>
                  <w:sz w:val="20"/>
                  <w:b/>
                </w:rPr>
                <w:t xml:space="preserve">Model Insights</w:t>
              </w:r>
            </w:hyperlink>
          </w:p>
          <w:p>
            <w:pPr>
              <w:spacing w:before="0" w:after="20" w:line="288" w:lineRule="auto"/>
              <w:ind w:left="340"/>
            </w:pPr>
            <w:hyperlink w:anchor="Introduction">
              <w:r>
                <w:rPr>
                  <w:color w:val="1F3F63"/>
                  <w:u w:val="none"/>
                  <w:sz w:val="18"/>
                </w:rPr>
                <w:t xml:space="preserve">Introduction</w:t>
              </w:r>
            </w:hyperlink>
          </w:p>
          <w:p>
            <w:pPr>
              <w:spacing w:before="0" w:after="20" w:line="288" w:lineRule="auto"/>
              <w:ind w:left="340"/>
            </w:pPr>
            <w:hyperlink w:anchor="Insights">
              <w:r>
                <w:rPr>
                  <w:color w:val="1F3F63"/>
                  <w:u w:val="none"/>
                  <w:sz w:val="18"/>
                </w:rPr>
                <w:t xml:space="preserve">Insights</w:t>
              </w:r>
            </w:hyperlink>
          </w:p>
          <w:p>
            <w:pPr>
              <w:spacing w:before="0" w:after="20" w:line="288" w:lineRule="auto"/>
              <w:ind w:left="340"/>
            </w:pPr>
            <w:hyperlink w:anchor="Performance">
              <w:r>
                <w:rPr>
                  <w:color w:val="1F3F63"/>
                  <w:u w:val="none"/>
                  <w:sz w:val="18"/>
                </w:rPr>
                <w:t xml:space="preserve">Performance</w:t>
              </w:r>
            </w:hyperlink>
          </w:p>
          <w:p>
            <w:pPr>
              <w:spacing w:before="100" w:after="20" w:line="288" w:lineRule="auto"/>
            </w:pPr>
            <w:hyperlink w:anchor="10mostprominentgamblingsitesinThaila">
              <w:r>
                <w:rPr>
                  <w:color w:val="1F3F63"/>
                  <w:u w:val="none"/>
                  <w:sz w:val="20"/>
                  <w:b/>
                </w:rPr>
                <w:t xml:space="preserve">10 most prominent gambling sites in Thailand</w:t>
              </w:r>
            </w:hyperlink>
          </w:p>
          <w:p>
            <w:pPr>
              <w:spacing w:before="0" w:after="20" w:line="288" w:lineRule="auto"/>
              <w:ind w:left="340"/>
            </w:pPr>
            <w:hyperlink w:anchor="10mostprominentgamblingsitesinThaila2">
              <w:r>
                <w:rPr>
                  <w:color w:val="1F3F63"/>
                  <w:u w:val="none"/>
                  <w:sz w:val="18"/>
                </w:rPr>
                <w:t xml:space="preserve">10 most prominent gambling sites in Thailand</w:t>
              </w:r>
            </w:hyperlink>
          </w:p>
          <w:p>
            <w:pPr>
              <w:spacing w:before="100" w:after="20" w:line="288" w:lineRule="auto"/>
            </w:pPr>
            <w:hyperlink w:anchor="Thenumbers">
              <w:r>
                <w:rPr>
                  <w:color w:val="1F3F63"/>
                  <w:u w:val="none"/>
                  <w:sz w:val="20"/>
                  <w:b/>
                </w:rPr>
                <w:t xml:space="preserve">The numbers</w:t>
              </w:r>
            </w:hyperlink>
          </w:p>
          <w:p>
            <w:pPr>
              <w:spacing w:before="0" w:after="20" w:line="288" w:lineRule="auto"/>
              <w:ind w:left="340"/>
            </w:pPr>
            <w:hyperlink w:anchor="URLsanalysedperday">
              <w:r>
                <w:rPr>
                  <w:color w:val="1F3F63"/>
                  <w:u w:val="none"/>
                  <w:sz w:val="18"/>
                </w:rPr>
                <w:t xml:space="preserve">URLs analysed per day</w:t>
              </w:r>
            </w:hyperlink>
          </w:p>
          <w:p>
            <w:pPr>
              <w:spacing w:before="0" w:after="20" w:line="288" w:lineRule="auto"/>
              <w:ind w:left="340"/>
            </w:pPr>
            <w:hyperlink w:anchor="Statusdistribution">
              <w:r>
                <w:rPr>
                  <w:color w:val="1F3F63"/>
                  <w:u w:val="none"/>
                  <w:sz w:val="18"/>
                </w:rPr>
                <w:t xml:space="preserve">Status distribution</w:t>
              </w:r>
            </w:hyperlink>
          </w:p>
          <w:p>
            <w:pPr>
              <w:spacing w:before="0" w:after="20" w:line="288" w:lineRule="auto"/>
              <w:ind w:left="340"/>
            </w:pPr>
            <w:hyperlink w:anchor="Top10URLsuffixes">
              <w:r>
                <w:rPr>
                  <w:color w:val="1F3F63"/>
                  <w:u w:val="none"/>
                  <w:sz w:val="18"/>
                </w:rPr>
                <w:t xml:space="preserve">Top 10 URL suffixes</w:t>
              </w:r>
            </w:hyperlink>
          </w:p>
          <w:p>
            <w:pPr>
              <w:spacing w:before="100" w:after="20" w:line="288" w:lineRule="auto"/>
            </w:pPr>
            <w:hyperlink w:anchor="Subcategories">
              <w:r>
                <w:rPr>
                  <w:color w:val="1F3F63"/>
                  <w:u w:val="none"/>
                  <w:sz w:val="20"/>
                  <w:b/>
                </w:rPr>
                <w:t xml:space="preserve">Subcategories</w:t>
              </w:r>
            </w:hyperlink>
          </w:p>
          <w:p>
            <w:pPr>
              <w:spacing w:before="0" w:after="20" w:line="288" w:lineRule="auto"/>
              <w:ind w:left="340"/>
            </w:pPr>
            <w:hyperlink w:anchor="Gamblingsitesbyproductsubcategory">
              <w:r>
                <w:rPr>
                  <w:color w:val="1F3F63"/>
                  <w:u w:val="none"/>
                  <w:sz w:val="18"/>
                </w:rPr>
                <w:t xml:space="preserve">Gambling sites by product subcategory</w:t>
              </w:r>
            </w:hyperlink>
          </w:p>
          <w:p>
            <w:pPr>
              <w:spacing w:before="0" w:after="20" w:line="288" w:lineRule="auto"/>
              <w:ind w:left="340"/>
            </w:pPr>
            <w:hyperlink w:anchor="Assignmentmethodbysubcategory">
              <w:r>
                <w:rPr>
                  <w:color w:val="1F3F63"/>
                  <w:u w:val="none"/>
                  <w:sz w:val="18"/>
                </w:rPr>
                <w:t xml:space="preserve">Assignment method by subcategory</w:t>
              </w:r>
            </w:hyperlink>
          </w:p>
          <w:p>
            <w:pPr>
              <w:spacing w:before="0" w:after="20" w:line="288" w:lineRule="auto"/>
              <w:ind w:left="340"/>
            </w:pPr>
            <w:hyperlink w:anchor="Subcategorytable">
              <w:r>
                <w:rPr>
                  <w:color w:val="1F3F63"/>
                  <w:u w:val="none"/>
                  <w:sz w:val="18"/>
                </w:rPr>
                <w:t xml:space="preserve">Subcategory table</w:t>
              </w:r>
            </w:hyperlink>
          </w:p>
          <w:p>
            <w:pPr>
              <w:spacing w:before="0" w:after="20" w:line="288" w:lineRule="auto"/>
              <w:ind w:left="340"/>
            </w:pPr>
            <w:hyperlink w:anchor="HeatmapKeywordsubcategory">
              <w:r>
                <w:rPr>
                  <w:color w:val="1F3F63"/>
                  <w:u w:val="none"/>
                  <w:sz w:val="18"/>
                </w:rPr>
                <w:t xml:space="preserve">Heat map – Keyword × subcategory</w:t>
              </w:r>
            </w:hyperlink>
          </w:p>
          <w:p>
            <w:pPr>
              <w:spacing w:before="0" w:after="20" w:line="288" w:lineRule="auto"/>
              <w:ind w:left="340"/>
            </w:pPr>
            <w:hyperlink w:anchor="HeatmapSignaltagsubcategory">
              <w:r>
                <w:rPr>
                  <w:color w:val="1F3F63"/>
                  <w:u w:val="none"/>
                  <w:sz w:val="18"/>
                </w:rPr>
                <w:t xml:space="preserve">Heat map – Signal tag × subcategory</w:t>
              </w:r>
            </w:hyperlink>
          </w:p>
          <w:p>
            <w:pPr>
              <w:spacing w:before="100" w:after="20" w:line="288" w:lineRule="auto"/>
            </w:pPr>
            <w:hyperlink w:anchor="Brandsandclustering">
              <w:r>
                <w:rPr>
                  <w:color w:val="1F3F63"/>
                  <w:u w:val="none"/>
                  <w:sz w:val="20"/>
                  <w:b/>
                </w:rPr>
                <w:t xml:space="preserve">Brands and clustering</w:t>
              </w:r>
            </w:hyperlink>
          </w:p>
          <w:p>
            <w:pPr>
              <w:spacing w:before="0" w:after="20" w:line="288" w:lineRule="auto"/>
              <w:ind w:left="340"/>
            </w:pPr>
            <w:hyperlink w:anchor="Whatbrandclustersare">
              <w:r>
                <w:rPr>
                  <w:color w:val="1F3F63"/>
                  <w:u w:val="none"/>
                  <w:sz w:val="18"/>
                </w:rPr>
                <w:t xml:space="preserve">What brand clusters are</w:t>
              </w:r>
            </w:hyperlink>
          </w:p>
          <w:p>
            <w:pPr>
              <w:spacing w:before="0" w:after="20" w:line="288" w:lineRule="auto"/>
              <w:ind w:left="340"/>
            </w:pPr>
            <w:hyperlink w:anchor="Top15brandclustersbyURLcount">
              <w:r>
                <w:rPr>
                  <w:color w:val="1F3F63"/>
                  <w:u w:val="none"/>
                  <w:sz w:val="18"/>
                </w:rPr>
                <w:t xml:space="preserve">Top 15 brand clusters by URL count</w:t>
              </w:r>
            </w:hyperlink>
          </w:p>
          <w:p>
            <w:pPr>
              <w:spacing w:before="0" w:after="20" w:line="288" w:lineRule="auto"/>
              <w:ind w:left="340"/>
            </w:pPr>
            <w:hyperlink w:anchor="HeatmapBrandclustersubcategory">
              <w:r>
                <w:rPr>
                  <w:color w:val="1F3F63"/>
                  <w:u w:val="none"/>
                  <w:sz w:val="18"/>
                </w:rPr>
                <w:t xml:space="preserve">Heat map – Brand cluster × subcategory</w:t>
              </w:r>
            </w:hyperlink>
          </w:p>
          <w:p>
            <w:pPr>
              <w:spacing w:before="0" w:after="20" w:line="288" w:lineRule="auto"/>
              <w:ind w:left="340"/>
            </w:pPr>
            <w:hyperlink w:anchor="Clusterexpansion8">
              <w:r>
                <w:rPr>
                  <w:color w:val="1F3F63"/>
                  <w:u w:val="none"/>
                  <w:sz w:val="18"/>
                </w:rPr>
                <w:t xml:space="preserve">Cluster expansion – 8</w:t>
              </w:r>
            </w:hyperlink>
          </w:p>
          <w:p>
            <w:pPr>
              <w:spacing w:before="0" w:after="20" w:line="288" w:lineRule="auto"/>
              <w:ind w:left="340"/>
            </w:pPr>
            <w:hyperlink w:anchor="Clustersspanningmultiplesubcategorie">
              <w:r>
                <w:rPr>
                  <w:color w:val="1F3F63"/>
                  <w:u w:val="none"/>
                  <w:sz w:val="18"/>
                </w:rPr>
                <w:t xml:space="preserve">Clusters spanning multiple subcategories</w:t>
              </w:r>
            </w:hyperlink>
          </w:p>
          <w:p>
            <w:pPr>
              <w:spacing w:before="0" w:after="20" w:line="288" w:lineRule="auto"/>
              <w:ind w:left="340"/>
            </w:pPr>
            <w:hyperlink w:anchor="Clustersrotatingtopleveldomains">
              <w:r>
                <w:rPr>
                  <w:color w:val="1F3F63"/>
                  <w:u w:val="none"/>
                  <w:sz w:val="18"/>
                </w:rPr>
                <w:t xml:space="preserve">Clusters rotating top-level domains</w:t>
              </w:r>
            </w:hyperlink>
          </w:p>
          <w:p>
            <w:pPr>
              <w:spacing w:before="0" w:after="20" w:line="288" w:lineRule="auto"/>
              <w:ind w:left="340"/>
            </w:pPr>
            <w:hyperlink w:anchor="Possibleoperatorlinkage">
              <w:r>
                <w:rPr>
                  <w:color w:val="1F3F63"/>
                  <w:u w:val="none"/>
                  <w:sz w:val="18"/>
                </w:rPr>
                <w:t xml:space="preserve">Possible operator linkage</w:t>
              </w:r>
            </w:hyperlink>
          </w:p>
          <w:p>
            <w:pPr>
              <w:spacing w:before="0" w:after="20" w:line="288" w:lineRule="auto"/>
              <w:ind w:left="340"/>
            </w:pPr>
            <w:hyperlink w:anchor="Namingconventions">
              <w:r>
                <w:rPr>
                  <w:color w:val="1F3F63"/>
                  <w:u w:val="none"/>
                  <w:sz w:val="18"/>
                </w:rPr>
                <w:t xml:space="preserve">Naming conventions</w:t>
              </w:r>
            </w:hyperlink>
          </w:p>
          <w:p>
            <w:pPr>
              <w:spacing w:before="0" w:after="20" w:line="288" w:lineRule="auto"/>
              <w:ind w:left="340"/>
            </w:pPr>
            <w:hyperlink w:anchor="Redirectpropagationmin88top">
              <w:r>
                <w:rPr>
                  <w:color w:val="1F3F63"/>
                  <w:u w:val="none"/>
                  <w:sz w:val="18"/>
                </w:rPr>
                <w:t xml:space="preserve">Redirect propagation – min88.top</w:t>
              </w:r>
            </w:hyperlink>
          </w:p>
          <w:p>
            <w:pPr>
              <w:spacing w:before="100" w:after="20" w:line="288" w:lineRule="auto"/>
            </w:pPr>
            <w:hyperlink w:anchor="Ranking">
              <w:r>
                <w:rPr>
                  <w:color w:val="1F3F63"/>
                  <w:u w:val="none"/>
                  <w:sz w:val="20"/>
                  <w:b/>
                </w:rPr>
                <w:t xml:space="preserve">Ranking</w:t>
              </w:r>
            </w:hyperlink>
          </w:p>
          <w:p>
            <w:pPr>
              <w:spacing w:before="0" w:after="20" w:line="288" w:lineRule="auto"/>
              <w:ind w:left="340"/>
            </w:pPr>
            <w:hyperlink w:anchor="Gamblingranking">
              <w:r>
                <w:rPr>
                  <w:color w:val="1F3F63"/>
                  <w:u w:val="none"/>
                  <w:sz w:val="18"/>
                </w:rPr>
                <w:t xml:space="preserve">Gambling ranking</w:t>
              </w:r>
            </w:hyperlink>
          </w:p>
          <w:p>
            <w:pPr>
              <w:spacing w:before="100" w:after="20" w:line="288" w:lineRule="auto"/>
            </w:pPr>
            <w:hyperlink w:anchor="Keyinsights">
              <w:r>
                <w:rPr>
                  <w:color w:val="1F3F63"/>
                  <w:u w:val="none"/>
                  <w:sz w:val="20"/>
                  <w:b/>
                </w:rPr>
                <w:t xml:space="preserve">Key insights</w:t>
              </w:r>
            </w:hyperlink>
          </w:p>
          <w:p>
            <w:pPr>
              <w:spacing w:before="0" w:after="20" w:line="288" w:lineRule="auto"/>
              <w:ind w:left="340"/>
            </w:pPr>
            <w:hyperlink w:anchor="Scaleoftheanalysis">
              <w:r>
                <w:rPr>
                  <w:color w:val="1F3F63"/>
                  <w:u w:val="none"/>
                  <w:sz w:val="18"/>
                </w:rPr>
                <w:t xml:space="preserve">Scale of the analysis</w:t>
              </w:r>
            </w:hyperlink>
          </w:p>
          <w:p>
            <w:pPr>
              <w:spacing w:before="0" w:after="20" w:line="288" w:lineRule="auto"/>
              <w:ind w:left="340"/>
            </w:pPr>
            <w:hyperlink w:anchor="Whatisbeingoffered">
              <w:r>
                <w:rPr>
                  <w:color w:val="1F3F63"/>
                  <w:u w:val="none"/>
                  <w:sz w:val="18"/>
                </w:rPr>
                <w:t xml:space="preserve">What is being offered</w:t>
              </w:r>
            </w:hyperlink>
          </w:p>
          <w:p>
            <w:pPr>
              <w:spacing w:before="0" w:after="20" w:line="288" w:lineRule="auto"/>
              <w:ind w:left="340"/>
            </w:pPr>
            <w:hyperlink w:anchor="Brandclustering">
              <w:r>
                <w:rPr>
                  <w:color w:val="1F3F63"/>
                  <w:u w:val="none"/>
                  <w:sz w:val="18"/>
                </w:rPr>
                <w:t xml:space="preserve">Brand clustering</w:t>
              </w:r>
            </w:hyperlink>
          </w:p>
          <w:p>
            <w:pPr>
              <w:spacing w:before="0" w:after="20" w:line="288" w:lineRule="auto"/>
              <w:ind w:left="340"/>
            </w:pPr>
            <w:hyperlink w:anchor="Howoperatorsexpandandpromotetheirdom">
              <w:r>
                <w:rPr>
                  <w:color w:val="1F3F63"/>
                  <w:u w:val="none"/>
                  <w:sz w:val="18"/>
                </w:rPr>
                <w:t xml:space="preserve">How operators expand and promote their domains</w:t>
              </w:r>
            </w:hyperlink>
          </w:p>
          <w:p>
            <w:pPr>
              <w:spacing w:before="0" w:after="20" w:line="288" w:lineRule="auto"/>
              <w:ind w:left="340"/>
            </w:pPr>
            <w:hyperlink w:anchor="Enforcementposition">
              <w:r>
                <w:rPr>
                  <w:color w:val="1F3F63"/>
                  <w:u w:val="none"/>
                  <w:sz w:val="18"/>
                </w:rPr>
                <w:t xml:space="preserve">Enforcement position</w:t>
              </w:r>
            </w:hyperlink>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02" w:name="Executivesummary"/>
            <w:pPr>
              <w:pStyle w:val="Heading2"/>
              <w:spacing w:before="0" w:after="100"/>
            </w:pPr>
            <w:bookmarkEnd w:id="1002"/>
            <w:r>
              <w:rPr>
                <w:rFonts w:ascii="Calibri" w:hAnsi="Calibri" w:cs="Calibri"/>
                <w:b/>
                <w:i w:val="0"/>
                <w:color w:val="1F3F63"/>
                <w:sz w:val="23"/>
              </w:rPr>
              <w:t>Executive summary</w:t>
            </w:r>
          </w:p>
          <w:p>
            <w:pPr>
              <w:spacing w:before="0" w:after="60" w:line="307" w:lineRule="auto"/>
            </w:pPr>
            <w:r>
              <w:rPr>
                <w:rFonts w:ascii="Calibri" w:hAnsi="Calibri" w:cs="Calibri"/>
                <w:b/>
                <w:i w:val="0"/>
                <w:color w:val="1F3F63"/>
                <w:sz w:val="21"/>
              </w:rPr>
              <w:t>Insights and trends</w:t>
            </w:r>
          </w:p>
          <w:p>
            <w:pPr>
              <w:spacing w:before="0" w:after="100" w:line="307" w:lineRule="auto"/>
            </w:pPr>
            <w:r>
              <w:rPr>
                <w:rFonts w:ascii="Calibri" w:hAnsi="Calibri" w:cs="Calibri"/>
                <w:b w:val="0"/>
                <w:i w:val="0"/>
                <w:color w:val="22303C"/>
                <w:sz w:val="19"/>
              </w:rPr>
              <w:t>SICPADetect analysed 20,215 distinct URLs during the pilot reporting period, which runs from 4 Sep 2026 to 30 Sep 2026. It classified 8,833 of them, 43.7% of the set, as gambling. It classified the remaining URLs as not gambling or unreachable.</w:t>
            </w:r>
          </w:p>
          <w:p>
            <w:pPr>
              <w:spacing w:before="0" w:after="100" w:line="307" w:lineRule="auto"/>
            </w:pPr>
            <w:r>
              <w:rPr>
                <w:rFonts w:ascii="Calibri" w:hAnsi="Calibri" w:cs="Calibri"/>
                <w:b w:val="0"/>
                <w:i w:val="0"/>
                <w:color w:val="22303C"/>
                <w:sz w:val="19"/>
              </w:rPr>
              <w:t>The two largest product subcategories are Casino, at 36.4% of gambling rows, and Slots, at 29.9%. No single category accounts for a majority of the gambling set. SICPADetect assigned most gambling rows by model inference rather than by a lexicon match, so subcategory figures based on model inference are indicative.</w:t>
            </w:r>
          </w:p>
          <w:p>
            <w:pPr>
              <w:spacing w:before="0" w:after="100" w:line="307" w:lineRule="auto"/>
            </w:pPr>
            <w:r>
              <w:rPr>
                <w:rFonts w:ascii="Calibri" w:hAnsi="Calibri" w:cs="Calibri"/>
                <w:b w:val="0"/>
                <w:i w:val="0"/>
                <w:color w:val="22303C"/>
                <w:sz w:val="19"/>
              </w:rPr>
              <w:t>A brand cluster is a group of domains that appear linked by naming pattern, redirect behaviour, crawler relationship or shared brand stem. SICPADetect identified 91 clusters, of which 42 hold more than one domain. The largest holds 8,344 of the identified gambling URLs. Acting on one cluster can therefore cover many related domains in a single step. These links are indicative and do not establish common ownership.</w:t>
            </w:r>
          </w:p>
          <w:p>
            <w:pPr>
              <w:spacing w:before="0" w:after="100" w:line="307" w:lineRule="auto"/>
            </w:pPr>
            <w:r>
              <w:rPr>
                <w:rFonts w:ascii="Calibri" w:hAnsi="Calibri" w:cs="Calibri"/>
                <w:b w:val="0"/>
                <w:i w:val="0"/>
                <w:color w:val="22303C"/>
                <w:sz w:val="19"/>
              </w:rPr>
              <w:t>The identified gambling URLs show the domain proliferation patterns SICPADetect looks for. Operators register related domains under one brand stem, they rotate top-level domains, and they redirect users from one domain to another. Prioritising by cluster covers more of this activity than acting on one URL at a time.</w:t>
            </w:r>
          </w:p>
          <w:p>
            <w:pPr>
              <w:spacing w:before="0" w:after="160" w:line="307" w:lineRule="auto"/>
            </w:pPr>
            <w:r>
              <w:rPr>
                <w:rFonts w:ascii="Calibri" w:hAnsi="Calibri" w:cs="Calibri"/>
                <w:b w:val="0"/>
                <w:i w:val="0"/>
                <w:color w:val="22303C"/>
                <w:sz w:val="19"/>
              </w:rPr>
              <w:t>Only 7 URLs in the analysed set already carried blocking or enforcement indicators. MDES can therefore include most identified gambling URLs in a first prioritised enforcement pass.</w:t>
            </w:r>
          </w:p>
          <w:p>
            <w:pPr>
              <w:spacing w:before="40" w:after="60" w:line="307" w:lineRule="auto"/>
            </w:pPr>
            <w:r>
              <w:rPr>
                <w:rFonts w:ascii="Calibri" w:hAnsi="Calibri" w:cs="Calibri"/>
                <w:b/>
                <w:i w:val="0"/>
                <w:color w:val="1F3F63"/>
                <w:sz w:val="21"/>
              </w:rPr>
              <w:t>Key figures</w:t>
            </w:r>
          </w:p>
          <w:tbl>
            <w:tblPr>
              <w:tblW w:type="auto" w:w="0"/>
              <w:jc w:val="left"/>
              <w:tblLayout w:type="fixed"/>
              <w:tblLook w:firstColumn="1" w:firstRow="1" w:lastColumn="0" w:lastRow="0" w:noHBand="0" w:noVBand="1" w:val="04A0"/>
            </w:tblPr>
            <w:tblGrid>
              <w:gridCol w:w="4535"/>
              <w:gridCol w:w="4535"/>
            </w:tblGrid>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Reporting figure</w:t>
                  </w:r>
                </w:p>
              </w:tc>
              <w:tc>
                <w:tcPr>
                  <w:tcW w:w="3061"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Value</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URLs analysed</w:t>
                  </w:r>
                </w:p>
              </w:tc>
              <w:tc>
                <w:tcPr>
                  <w:tcW w:w="306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20,215</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Gambling sites and share</w:t>
                  </w:r>
                </w:p>
              </w:tc>
              <w:tc>
                <w:tcPr>
                  <w:tcW w:w="306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8,833 (43.7%)</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Not gambling</w:t>
                  </w:r>
                </w:p>
              </w:tc>
              <w:tc>
                <w:tcPr>
                  <w:tcW w:w="306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11,338 (56.1%)</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Unreachable</w:t>
                  </w:r>
                </w:p>
              </w:tc>
              <w:tc>
                <w:tcPr>
                  <w:tcW w:w="306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44 (0.2%)</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Status not yet resolved</w:t>
                  </w:r>
                </w:p>
              </w:tc>
              <w:tc>
                <w:tcPr>
                  <w:tcW w:w="306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0 (0.0%)</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Brand clusters identified</w:t>
                  </w:r>
                </w:p>
              </w:tc>
              <w:tc>
                <w:tcPr>
                  <w:tcW w:w="306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91</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Clusters holding more than one domain</w:t>
                  </w:r>
                </w:p>
              </w:tc>
              <w:tc>
                <w:tcPr>
                  <w:tcW w:w="306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42</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Clusters covering half of identified gambling URLs</w:t>
                  </w:r>
                </w:p>
              </w:tc>
              <w:tc>
                <w:tcPr>
                  <w:tcW w:w="306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1</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Largest cluster and its size</w:t>
                  </w:r>
                </w:p>
              </w:tc>
              <w:tc>
                <w:tcPr>
                  <w:tcW w:w="306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8 · 8,344 URLs</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Largest product subcategory and share</w:t>
                  </w:r>
                </w:p>
              </w:tc>
              <w:tc>
                <w:tcPr>
                  <w:tcW w:w="306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 36.4%</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Most common signal tag and share</w:t>
                  </w:r>
                </w:p>
              </w:tc>
              <w:tc>
                <w:tcPr>
                  <w:tcW w:w="306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Abbreviations · 41.0%</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URLs already showing blocking indicators</w:t>
                  </w:r>
                </w:p>
              </w:tc>
              <w:tc>
                <w:tcPr>
                  <w:tcW w:w="306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7</w:t>
                  </w:r>
                </w:p>
              </w:tc>
            </w:tr>
            <w:tr>
              <w:trPr>
                <w:cantSplit/>
              </w:trPr>
              <w:tc>
                <w:tcPr>
                  <w:tcW w:w="4876"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Lexicon match versus model inference</w:t>
                  </w:r>
                </w:p>
              </w:tc>
              <w:tc>
                <w:tcPr>
                  <w:tcW w:w="306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292 (3.3%) versus 8,541 (96.7%)</w:t>
                  </w:r>
                </w:p>
              </w:tc>
            </w:tr>
          </w:tbl>
          <w:p/>
          <w:p>
            <w:pPr>
              <w:spacing w:before="60" w:after="20" w:line="293" w:lineRule="auto"/>
            </w:pPr>
            <w:r>
              <w:rPr>
                <w:rFonts w:ascii="Calibri" w:hAnsi="Calibri" w:cs="Calibri"/>
                <w:b w:val="0"/>
                <w:i/>
                <w:color w:val="5A6B7A"/>
                <w:sz w:val="16"/>
              </w:rPr>
              <w:t>URLs analysed counts distinct URLs kept in the dataset after collection, filtering, deduplication and analysis. It does not count raw crawl attempts.</w:t>
            </w:r>
          </w:p>
        </w:tc>
      </w:tr>
    </w:tbl>
    <w:p>
      <w:pPr>
        <w:spacing w:before="0" w:after="0" w:line="240" w:lineRule="auto"/>
      </w:pPr>
      <w:r>
        <w:rPr>
          <w:rFonts w:ascii="Calibri" w:hAnsi="Calibri" w:cs="Calibri"/>
          <w:b w:val="0"/>
          <w:i w:val="0"/>
          <w:color w:val="22303C"/>
          <w:sz w:val="24"/>
        </w:rPr>
      </w:r>
    </w:p>
    <w:p>
      <w:bookmarkStart w:id="1003" w:name="ModelInsights"/>
      <w:pPr>
        <w:pStyle w:val="Heading1"/>
        <w:spacing w:before="280" w:after="120"/>
      </w:pPr>
      <w:bookmarkEnd w:id="1003"/>
      <w:r>
        <w:rPr>
          <w:rFonts w:ascii="Calibri" w:hAnsi="Calibri" w:cs="Calibri"/>
          <w:b/>
          <w:i w:val="0"/>
          <w:color w:val="1F3F63"/>
          <w:sz w:val="32"/>
        </w:rPr>
        <w:t>Model Insights</w:t>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04" w:name="Introduction"/>
            <w:pPr>
              <w:pStyle w:val="Heading2"/>
              <w:spacing w:before="0" w:after="100"/>
            </w:pPr>
            <w:bookmarkEnd w:id="1004"/>
            <w:r>
              <w:rPr>
                <w:rFonts w:ascii="Calibri" w:hAnsi="Calibri" w:cs="Calibri"/>
                <w:b/>
                <w:i w:val="0"/>
                <w:color w:val="1F3F63"/>
                <w:sz w:val="23"/>
              </w:rPr>
              <w:t>Introduction</w:t>
            </w: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05" w:name="Insights"/>
            <w:pPr>
              <w:pStyle w:val="Heading2"/>
              <w:spacing w:before="0" w:after="100"/>
            </w:pPr>
            <w:bookmarkEnd w:id="1005"/>
            <w:r>
              <w:rPr>
                <w:rFonts w:ascii="Calibri" w:hAnsi="Calibri" w:cs="Calibri"/>
                <w:b/>
                <w:i w:val="0"/>
                <w:color w:val="1F3F63"/>
                <w:sz w:val="23"/>
              </w:rPr>
              <w:t>Insights</w:t>
            </w: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06" w:name="Performance"/>
            <w:pPr>
              <w:pStyle w:val="Heading2"/>
              <w:spacing w:before="0" w:after="100"/>
            </w:pPr>
            <w:bookmarkEnd w:id="1006"/>
            <w:r>
              <w:rPr>
                <w:rFonts w:ascii="Calibri" w:hAnsi="Calibri" w:cs="Calibri"/>
                <w:b/>
                <w:i w:val="0"/>
                <w:color w:val="1F3F63"/>
                <w:sz w:val="23"/>
              </w:rPr>
              <w:t>Performance</w:t>
            </w: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p>
            <w:pPr>
              <w:spacing w:before="0" w:after="40" w:line="348" w:lineRule="auto"/>
            </w:pPr>
          </w:p>
        </w:tc>
      </w:tr>
    </w:tbl>
    <w:p>
      <w:pPr>
        <w:spacing w:before="0" w:after="0" w:line="240" w:lineRule="auto"/>
      </w:pPr>
      <w:r>
        <w:rPr>
          <w:rFonts w:ascii="Calibri" w:hAnsi="Calibri" w:cs="Calibri"/>
          <w:b w:val="0"/>
          <w:i w:val="0"/>
          <w:color w:val="22303C"/>
          <w:sz w:val="24"/>
        </w:rPr>
      </w:r>
    </w:p>
    <w:p>
      <w:bookmarkStart w:id="1007" w:name="10mostprominentgamblingsitesinThaila"/>
      <w:pPr>
        <w:pStyle w:val="Heading1"/>
        <w:spacing w:before="280" w:after="120"/>
      </w:pPr>
      <w:bookmarkEnd w:id="1007"/>
      <w:r>
        <w:rPr>
          <w:rFonts w:ascii="Calibri" w:hAnsi="Calibri" w:cs="Calibri"/>
          <w:b/>
          <w:i w:val="0"/>
          <w:color w:val="1F3F63"/>
          <w:sz w:val="32"/>
        </w:rPr>
        <w:t>10 most prominent gambling sites in Thailand</w:t>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08" w:name="10mostprominentgamblingsitesinThaila2"/>
            <w:pPr>
              <w:pStyle w:val="Heading2"/>
              <w:spacing w:before="0" w:after="100"/>
            </w:pPr>
            <w:bookmarkEnd w:id="1008"/>
            <w:r>
              <w:rPr>
                <w:rFonts w:ascii="Calibri" w:hAnsi="Calibri" w:cs="Calibri"/>
                <w:b/>
                <w:i w:val="0"/>
                <w:color w:val="1F3F63"/>
                <w:sz w:val="23"/>
              </w:rPr>
              <w:t>10 most prominent gambling sites in Thailand</w:t>
            </w:r>
          </w:p>
          <w:tbl>
            <w:tblPr>
              <w:tblW w:type="auto" w:w="0"/>
              <w:jc w:val="left"/>
              <w:tblLayout w:type="fixed"/>
              <w:tblLook w:firstColumn="1" w:firstRow="1" w:lastColumn="0" w:lastRow="0" w:noHBand="0" w:noVBand="1" w:val="04A0"/>
            </w:tblPr>
            <w:tblGrid>
              <w:gridCol w:w="1296"/>
              <w:gridCol w:w="1296"/>
              <w:gridCol w:w="1296"/>
              <w:gridCol w:w="1296"/>
              <w:gridCol w:w="1296"/>
              <w:gridCol w:w="1296"/>
              <w:gridCol w:w="1296"/>
            </w:tblGrid>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4"/>
                    </w:rPr>
                    <w:t>Rank</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4"/>
                    </w:rPr>
                    <w:t>URL</w:t>
                  </w:r>
                </w:p>
              </w:tc>
              <w:tc>
                <w:tcPr>
                  <w:tcW w:w="1190"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4"/>
                    </w:rPr>
                    <w:t>Domain</w:t>
                  </w:r>
                </w:p>
              </w:tc>
              <w:tc>
                <w:tcPr>
                  <w:tcW w:w="907"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4"/>
                    </w:rPr>
                    <w:t>Brand cluster</w:t>
                  </w:r>
                </w:p>
              </w:tc>
              <w:tc>
                <w:tcPr>
                  <w:tcW w:w="1077"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4"/>
                    </w:rPr>
                    <w:t>Subcategory</w:t>
                  </w:r>
                </w:p>
              </w:tc>
              <w:tc>
                <w:tcPr>
                  <w:tcW w:w="1587"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4"/>
                    </w:rPr>
                    <w:t>Thai-targeting evidence</w:t>
                  </w:r>
                </w:p>
              </w:tc>
              <w:tc>
                <w:tcPr>
                  <w:tcW w:w="793"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4"/>
                    </w:rPr>
                    <w:t>Source</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221,001</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https://suriyathai.net/</w:t>
                  </w:r>
                </w:p>
              </w:tc>
              <w:tc>
                <w:tcPr>
                  <w:tcW w:w="119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suriyathai.net</w:t>
                  </w:r>
                </w:p>
              </w:tc>
              <w:tc>
                <w:tcPr>
                  <w:tcW w:w="90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suriya</w:t>
                  </w:r>
                </w:p>
              </w:tc>
              <w:tc>
                <w:tcPr>
                  <w:tcW w:w="107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General Gambling</w:t>
                  </w:r>
                </w:p>
              </w:tc>
              <w:tc>
                <w:tcPr>
                  <w:tcW w:w="158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Tahoma" w:hAnsi="Tahoma" w:cs="Tahoma"/>
                      <w:b w:val="0"/>
                      <w:i w:val="0"/>
                      <w:color w:val="22303C"/>
                      <w:sz w:val="14"/>
                    </w:rPr>
                    <w:t>Thai script: “สมัครสมาชิก”</w:t>
                  </w:r>
                </w:p>
              </w:tc>
              <w:tc>
                <w:tcPr>
                  <w:tcW w:w="793"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Analyst-enriched</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779,601</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https://e699zz.com/</w:t>
                  </w:r>
                </w:p>
              </w:tc>
              <w:tc>
                <w:tcPr>
                  <w:tcW w:w="119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e699zz.com</w:t>
                  </w:r>
                </w:p>
              </w:tc>
              <w:tc>
                <w:tcPr>
                  <w:tcW w:w="90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e699zz</w:t>
                  </w:r>
                </w:p>
              </w:tc>
              <w:tc>
                <w:tcPr>
                  <w:tcW w:w="107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Football Betting</w:t>
                  </w:r>
                </w:p>
              </w:tc>
              <w:tc>
                <w:tcPr>
                  <w:tcW w:w="158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Tahoma" w:hAnsi="Tahoma" w:cs="Tahoma"/>
                      <w:b w:val="0"/>
                      <w:i w:val="0"/>
                      <w:color w:val="22303C"/>
                      <w:sz w:val="14"/>
                    </w:rPr>
                    <w:t>Thai script: “ฝากจันท์”</w:t>
                  </w:r>
                </w:p>
              </w:tc>
              <w:tc>
                <w:tcPr>
                  <w:tcW w:w="793"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Analyst-enriched</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797,918</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https://jun8891.com/</w:t>
                  </w:r>
                </w:p>
              </w:tc>
              <w:tc>
                <w:tcPr>
                  <w:tcW w:w="119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jun8891.com</w:t>
                  </w:r>
                </w:p>
              </w:tc>
              <w:tc>
                <w:tcPr>
                  <w:tcW w:w="90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8</w:t>
                  </w:r>
                </w:p>
              </w:tc>
              <w:tc>
                <w:tcPr>
                  <w:tcW w:w="107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Playing card</w:t>
                  </w:r>
                </w:p>
              </w:tc>
              <w:tc>
                <w:tcPr>
                  <w:tcW w:w="158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Tahoma" w:hAnsi="Tahoma" w:cs="Tahoma"/>
                      <w:b w:val="0"/>
                      <w:i w:val="0"/>
                      <w:color w:val="22303C"/>
                      <w:sz w:val="14"/>
                    </w:rPr>
                    <w:t>Thai script: “สมัครเล่นรับ”</w:t>
                  </w:r>
                </w:p>
              </w:tc>
              <w:tc>
                <w:tcPr>
                  <w:tcW w:w="793"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Crawler variant</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811,629</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https://mun8.com/</w:t>
                  </w:r>
                </w:p>
              </w:tc>
              <w:tc>
                <w:tcPr>
                  <w:tcW w:w="119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mun8.com</w:t>
                  </w:r>
                </w:p>
              </w:tc>
              <w:tc>
                <w:tcPr>
                  <w:tcW w:w="90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8</w:t>
                  </w:r>
                </w:p>
              </w:tc>
              <w:tc>
                <w:tcPr>
                  <w:tcW w:w="107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Slots</w:t>
                  </w:r>
                </w:p>
              </w:tc>
              <w:tc>
                <w:tcPr>
                  <w:tcW w:w="158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Thai currency: “THB”</w:t>
                  </w:r>
                </w:p>
              </w:tc>
              <w:tc>
                <w:tcPr>
                  <w:tcW w:w="793"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Crawler variant</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851,797</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https://y2k168.net/</w:t>
                  </w:r>
                </w:p>
              </w:tc>
              <w:tc>
                <w:tcPr>
                  <w:tcW w:w="119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y2k168.net</w:t>
                  </w:r>
                </w:p>
              </w:tc>
              <w:tc>
                <w:tcPr>
                  <w:tcW w:w="90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y2k</w:t>
                  </w:r>
                </w:p>
              </w:tc>
              <w:tc>
                <w:tcPr>
                  <w:tcW w:w="107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General Gambling</w:t>
                  </w:r>
                </w:p>
              </w:tc>
              <w:tc>
                <w:tcPr>
                  <w:tcW w:w="158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Explicit Thai reference: “Thai language”</w:t>
                  </w:r>
                </w:p>
              </w:tc>
              <w:tc>
                <w:tcPr>
                  <w:tcW w:w="793"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Analyst-enriched</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1,071,656</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https://neko44rf.com/</w:t>
                  </w:r>
                </w:p>
              </w:tc>
              <w:tc>
                <w:tcPr>
                  <w:tcW w:w="119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neko44rf.com</w:t>
                  </w:r>
                </w:p>
              </w:tc>
              <w:tc>
                <w:tcPr>
                  <w:tcW w:w="90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neko44rf</w:t>
                  </w:r>
                </w:p>
              </w:tc>
              <w:tc>
                <w:tcPr>
                  <w:tcW w:w="107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Slots</w:t>
                  </w:r>
                </w:p>
              </w:tc>
              <w:tc>
                <w:tcPr>
                  <w:tcW w:w="158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Tahoma" w:hAnsi="Tahoma" w:cs="Tahoma"/>
                      <w:b w:val="0"/>
                      <w:i w:val="0"/>
                      <w:color w:val="22303C"/>
                      <w:sz w:val="14"/>
                    </w:rPr>
                    <w:t>Thai script: “ย้อนเงินล่าสุด”</w:t>
                  </w:r>
                </w:p>
              </w:tc>
              <w:tc>
                <w:tcPr>
                  <w:tcW w:w="793"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Analyst-enriched</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1,137,614</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https://1x789.app/</w:t>
                  </w:r>
                </w:p>
              </w:tc>
              <w:tc>
                <w:tcPr>
                  <w:tcW w:w="119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1x789.app</w:t>
                  </w:r>
                </w:p>
              </w:tc>
              <w:tc>
                <w:tcPr>
                  <w:tcW w:w="90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8</w:t>
                  </w:r>
                </w:p>
              </w:tc>
              <w:tc>
                <w:tcPr>
                  <w:tcW w:w="107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Slots</w:t>
                  </w:r>
                </w:p>
              </w:tc>
              <w:tc>
                <w:tcPr>
                  <w:tcW w:w="158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Tahoma" w:hAnsi="Tahoma" w:cs="Tahoma"/>
                      <w:b w:val="0"/>
                      <w:i w:val="0"/>
                      <w:color w:val="22303C"/>
                      <w:sz w:val="14"/>
                    </w:rPr>
                    <w:t>Thai script: “สล็อตเว็บสล็อตออนไลน์ รวมจุดค่าย”</w:t>
                  </w:r>
                </w:p>
              </w:tc>
              <w:tc>
                <w:tcPr>
                  <w:tcW w:w="793"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Crawler variant</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1,137,907</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https://fin882.co/</w:t>
                  </w:r>
                </w:p>
              </w:tc>
              <w:tc>
                <w:tcPr>
                  <w:tcW w:w="119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fin882.co</w:t>
                  </w:r>
                </w:p>
              </w:tc>
              <w:tc>
                <w:tcPr>
                  <w:tcW w:w="90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fin</w:t>
                  </w:r>
                </w:p>
              </w:tc>
              <w:tc>
                <w:tcPr>
                  <w:tcW w:w="107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Slots</w:t>
                  </w:r>
                </w:p>
              </w:tc>
              <w:tc>
                <w:tcPr>
                  <w:tcW w:w="158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Tahoma" w:hAnsi="Tahoma" w:cs="Tahoma"/>
                      <w:b w:val="0"/>
                      <w:i w:val="0"/>
                      <w:color w:val="22303C"/>
                      <w:sz w:val="14"/>
                    </w:rPr>
                    <w:t>Thai script: “เกมสล็องค่ายทรช มีลอดคยุส”</w:t>
                  </w:r>
                </w:p>
              </w:tc>
              <w:tc>
                <w:tcPr>
                  <w:tcW w:w="793"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Analyst-enriched</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1,139,176</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https://hengheng-888.xyz/</w:t>
                  </w:r>
                </w:p>
              </w:tc>
              <w:tc>
                <w:tcPr>
                  <w:tcW w:w="119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hengheng-888.xyz</w:t>
                  </w:r>
                </w:p>
              </w:tc>
              <w:tc>
                <w:tcPr>
                  <w:tcW w:w="90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hengheng</w:t>
                  </w:r>
                </w:p>
              </w:tc>
              <w:tc>
                <w:tcPr>
                  <w:tcW w:w="107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General Gambling</w:t>
                  </w:r>
                </w:p>
              </w:tc>
              <w:tc>
                <w:tcPr>
                  <w:tcW w:w="158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Thai currency: “Baht”</w:t>
                  </w:r>
                </w:p>
              </w:tc>
              <w:tc>
                <w:tcPr>
                  <w:tcW w:w="793"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4"/>
                    </w:rPr>
                    <w:t>Analyst-enriched</w:t>
                  </w:r>
                </w:p>
              </w:tc>
            </w:tr>
            <w:tr>
              <w:trPr>
                <w:cantSplit/>
              </w:trPr>
              <w:tc>
                <w:tcPr>
                  <w:tcW w:w="68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4"/>
                    </w:rPr>
                    <w:t>1,644,353</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https://1x789.me/</w:t>
                  </w:r>
                </w:p>
              </w:tc>
              <w:tc>
                <w:tcPr>
                  <w:tcW w:w="119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1x789.me</w:t>
                  </w:r>
                </w:p>
              </w:tc>
              <w:tc>
                <w:tcPr>
                  <w:tcW w:w="90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8</w:t>
                  </w:r>
                </w:p>
              </w:tc>
              <w:tc>
                <w:tcPr>
                  <w:tcW w:w="107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Slots</w:t>
                  </w:r>
                </w:p>
              </w:tc>
              <w:tc>
                <w:tcPr>
                  <w:tcW w:w="158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Tahoma" w:hAnsi="Tahoma" w:cs="Tahoma"/>
                      <w:b w:val="0"/>
                      <w:i w:val="0"/>
                      <w:color w:val="22303C"/>
                      <w:sz w:val="14"/>
                    </w:rPr>
                    <w:t>Thai script: “สล็อตเว็บสล็อตออนไลน์ รวมจูงดกดาย”</w:t>
                  </w:r>
                </w:p>
              </w:tc>
              <w:tc>
                <w:tcPr>
                  <w:tcW w:w="793"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4"/>
                    </w:rPr>
                    <w:t>Crawler variant</w:t>
                  </w:r>
                </w:p>
              </w:tc>
            </w:tr>
          </w:tbl>
          <w:p/>
          <w:p>
            <w:pPr>
              <w:spacing w:before="60" w:after="20" w:line="300" w:lineRule="auto"/>
            </w:pPr>
            <w:r>
              <w:rPr>
                <w:rFonts w:ascii="Calibri" w:hAnsi="Calibri" w:cs="Calibri"/>
                <w:b w:val="0"/>
                <w:i w:val="0"/>
                <w:color w:val="5A6B7A"/>
                <w:sz w:val="16"/>
              </w:rPr>
              <w:t>Rank reflects search visibility or source-feed position. It does not measure harm, revenue, user volume or enforcement priority.</w:t>
            </w:r>
          </w:p>
          <w:p>
            <w:pPr>
              <w:spacing w:before="60" w:after="20" w:line="300" w:lineRule="auto"/>
            </w:pPr>
            <w:r>
              <w:rPr>
                <w:rFonts w:ascii="Calibri" w:hAnsi="Calibri" w:cs="Calibri"/>
                <w:b w:val="0"/>
                <w:i w:val="0"/>
                <w:color w:val="5A6B7A"/>
                <w:sz w:val="16"/>
              </w:rPr>
              <w:t>113 otherwise eligible ranked rows were excluded because their description carried a Vietnamese-audience indicator.</w:t>
            </w:r>
          </w:p>
          <w:p>
            <w:pPr>
              <w:spacing w:before="60" w:after="20" w:line="293" w:lineRule="auto"/>
            </w:pPr>
            <w:r>
              <w:rPr>
                <w:rFonts w:ascii="Calibri" w:hAnsi="Calibri" w:cs="Calibri"/>
                <w:b w:val="0"/>
                <w:i/>
                <w:color w:val="5A6B7A"/>
                <w:sz w:val="16"/>
              </w:rPr>
              <w:t>“Analyst-enriched” means an analyst verified or added details after SICPADetect’s automated detection. SICPADetect’s detection process is automated.</w:t>
            </w:r>
          </w:p>
        </w:tc>
      </w:tr>
    </w:tbl>
    <w:p>
      <w:pPr>
        <w:spacing w:before="0" w:after="0" w:line="240" w:lineRule="auto"/>
      </w:pPr>
      <w:r>
        <w:rPr>
          <w:rFonts w:ascii="Calibri" w:hAnsi="Calibri" w:cs="Calibri"/>
          <w:b w:val="0"/>
          <w:i w:val="0"/>
          <w:color w:val="22303C"/>
          <w:sz w:val="24"/>
        </w:rPr>
      </w:r>
    </w:p>
    <w:p>
      <w:bookmarkStart w:id="1009" w:name="Thenumbers"/>
      <w:pPr>
        <w:pStyle w:val="Heading1"/>
        <w:spacing w:before="280" w:after="120"/>
      </w:pPr>
      <w:bookmarkEnd w:id="1009"/>
      <w:r>
        <w:rPr>
          <w:rFonts w:ascii="Calibri" w:hAnsi="Calibri" w:cs="Calibri"/>
          <w:b/>
          <w:i w:val="0"/>
          <w:color w:val="1F3F63"/>
          <w:sz w:val="32"/>
        </w:rPr>
        <w:t>The numbers</w:t>
      </w:r>
    </w:p>
    <w:tbl>
      <w:tblPr>
        <w:tblW w:type="auto" w:w="0"/>
        <w:jc w:val="left"/>
        <w:tblLayout w:type="fixed"/>
        <w:tblLook w:firstColumn="1" w:firstRow="1" w:lastColumn="0" w:lastRow="0" w:noHBand="0" w:noVBand="1" w:val="04A0"/>
      </w:tblPr>
      <w:tblGrid>
        <w:gridCol w:w="2268"/>
        <w:gridCol w:w="2268"/>
        <w:gridCol w:w="2268"/>
        <w:gridCol w:w="2268"/>
      </w:tblGrid>
      <w:tr>
        <w:trPr>
          <w:cantSplit/>
        </w:trPr>
        <w:tc>
          <w:tcPr>
            <w:tcW w:w="214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20,215</w:t>
            </w:r>
          </w:p>
          <w:p>
            <w:pPr>
              <w:spacing w:before="0" w:after="0" w:line="276" w:lineRule="auto"/>
            </w:pPr>
            <w:r>
              <w:rPr>
                <w:rFonts w:ascii="Calibri" w:hAnsi="Calibri" w:cs="Calibri"/>
                <w:b w:val="0"/>
                <w:i w:val="0"/>
                <w:color w:val="5A6B7A"/>
                <w:sz w:val="16"/>
              </w:rPr>
              <w:t>URLs analysed</w:t>
            </w:r>
          </w:p>
        </w:tc>
        <w:tc>
          <w:tcPr>
            <w:tcW w:w="214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8,833</w:t>
            </w:r>
          </w:p>
          <w:p>
            <w:pPr>
              <w:spacing w:before="0" w:after="0" w:line="276" w:lineRule="auto"/>
            </w:pPr>
            <w:r>
              <w:rPr>
                <w:rFonts w:ascii="Calibri" w:hAnsi="Calibri" w:cs="Calibri"/>
                <w:b w:val="0"/>
                <w:i w:val="0"/>
                <w:color w:val="5A6B7A"/>
                <w:sz w:val="16"/>
              </w:rPr>
              <w:t>Gambling sites</w:t>
            </w:r>
          </w:p>
        </w:tc>
        <w:tc>
          <w:tcPr>
            <w:tcW w:w="214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91</w:t>
            </w:r>
          </w:p>
          <w:p>
            <w:pPr>
              <w:spacing w:before="0" w:after="0" w:line="276" w:lineRule="auto"/>
            </w:pPr>
            <w:r>
              <w:rPr>
                <w:rFonts w:ascii="Calibri" w:hAnsi="Calibri" w:cs="Calibri"/>
                <w:b w:val="0"/>
                <w:i w:val="0"/>
                <w:color w:val="5A6B7A"/>
                <w:sz w:val="16"/>
              </w:rPr>
              <w:t>Brand clusters identified</w:t>
            </w:r>
          </w:p>
        </w:tc>
        <w:tc>
          <w:tcPr>
            <w:tcW w:w="214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27 days</w:t>
            </w:r>
          </w:p>
          <w:p>
            <w:pPr>
              <w:spacing w:before="0" w:after="0" w:line="276" w:lineRule="auto"/>
            </w:pPr>
            <w:r>
              <w:rPr>
                <w:rFonts w:ascii="Calibri" w:hAnsi="Calibri" w:cs="Calibri"/>
                <w:b w:val="0"/>
                <w:i w:val="0"/>
                <w:color w:val="5A6B7A"/>
                <w:sz w:val="16"/>
              </w:rPr>
              <w:t>Pilot reporting period</w:t>
            </w:r>
            <w:r>
              <w:br/>
            </w:r>
            <w:r>
              <w:rPr>
                <w:rFonts w:ascii="Calibri" w:hAnsi="Calibri" w:cs="Calibri"/>
                <w:b w:val="0"/>
                <w:i w:val="0"/>
                <w:color w:val="5A6B7A"/>
                <w:sz w:val="16"/>
              </w:rPr>
              <w:t>4 Sep 2026 to 30 Sep 2026</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10" w:name="URLsanalysedperday"/>
            <w:pPr>
              <w:pStyle w:val="Heading2"/>
              <w:spacing w:before="0" w:after="100"/>
            </w:pPr>
            <w:bookmarkEnd w:id="1010"/>
            <w:r>
              <w:rPr>
                <w:rFonts w:ascii="Calibri" w:hAnsi="Calibri" w:cs="Calibri"/>
                <w:b/>
                <w:i w:val="0"/>
                <w:color w:val="1F3F63"/>
                <w:sz w:val="23"/>
              </w:rPr>
              <w:t>URLs analysed per day</w:t>
            </w:r>
          </w:p>
          <w:p>
            <w:pPr>
              <w:spacing w:before="0" w:after="80" w:line="300" w:lineRule="auto"/>
            </w:pPr>
            <w:r>
              <w:rPr>
                <w:rFonts w:ascii="Calibri" w:hAnsi="Calibri" w:cs="Calibri"/>
                <w:b w:val="0"/>
                <w:i w:val="0"/>
                <w:color w:val="22303C"/>
                <w:sz w:val="18"/>
              </w:rPr>
              <w:t>Daily count of URLs analysed across the pilot reporting period. Each point is one calendar day.</w:t>
            </w:r>
          </w:p>
          <w:p>
            <w:pPr>
              <w:spacing w:before="60" w:after="80"/>
              <w:jc w:val="center"/>
            </w:pPr>
            <w:r>
              <w:drawing>
                <wp:inline xmlns:a="http://schemas.openxmlformats.org/drawingml/2006/main" xmlns:pic="http://schemas.openxmlformats.org/drawingml/2006/picture">
                  <wp:extent cx="5040000" cy="1907570"/>
                  <wp:docPr id="1" name="Picture 1"/>
                  <wp:cNvGraphicFramePr>
                    <a:graphicFrameLocks noChangeAspect="1"/>
                  </wp:cNvGraphicFramePr>
                  <a:graphic>
                    <a:graphicData uri="http://schemas.openxmlformats.org/drawingml/2006/picture">
                      <pic:pic>
                        <pic:nvPicPr>
                          <pic:cNvPr id="0" name="c2.png"/>
                          <pic:cNvPicPr/>
                        </pic:nvPicPr>
                        <pic:blipFill>
                          <a:blip r:embed="rId9"/>
                          <a:stretch>
                            <a:fillRect/>
                          </a:stretch>
                        </pic:blipFill>
                        <pic:spPr>
                          <a:xfrm>
                            <a:off x="0" y="0"/>
                            <a:ext cx="5040000" cy="1907570"/>
                          </a:xfrm>
                          <a:prstGeom prst="rect"/>
                        </pic:spPr>
                      </pic:pic>
                    </a:graphicData>
                  </a:graphic>
                </wp:inline>
              </w:drawing>
            </w:r>
          </w:p>
          <w:p>
            <w:pPr>
              <w:spacing w:before="60" w:after="20" w:line="300" w:lineRule="auto"/>
            </w:pPr>
            <w:r>
              <w:rPr>
                <w:rFonts w:ascii="Calibri" w:hAnsi="Calibri" w:cs="Calibri"/>
                <w:b w:val="0"/>
                <w:i w:val="0"/>
                <w:color w:val="5A6B7A"/>
                <w:sz w:val="16"/>
              </w:rPr>
              <w:t>Daily volumes range from 0 to 3,674 URLs a day. Crawler queue timing, source ingestion batches, deduplication, site availability, validation delays and crawl strategy changes during the pilot all move this figure, and this variation is normal in a pilot. Read daily volumes as operational processing volumes. They do not measure fixed daily crawl capacity.</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11" w:name="Statusdistribution"/>
            <w:pPr>
              <w:pStyle w:val="Heading2"/>
              <w:spacing w:before="0" w:after="100"/>
            </w:pPr>
            <w:bookmarkEnd w:id="1011"/>
            <w:r>
              <w:rPr>
                <w:rFonts w:ascii="Calibri" w:hAnsi="Calibri" w:cs="Calibri"/>
                <w:b/>
                <w:i w:val="0"/>
                <w:color w:val="1F3F63"/>
                <w:sz w:val="23"/>
              </w:rPr>
              <w:t>Status distribution</w:t>
            </w:r>
          </w:p>
          <w:p>
            <w:pPr>
              <w:spacing w:before="0" w:after="80" w:line="300" w:lineRule="auto"/>
            </w:pPr>
            <w:r>
              <w:rPr>
                <w:rFonts w:ascii="Calibri" w:hAnsi="Calibri" w:cs="Calibri"/>
                <w:b w:val="0"/>
                <w:i w:val="0"/>
                <w:color w:val="22303C"/>
                <w:sz w:val="18"/>
              </w:rPr>
              <w:t>Share of URLs analysed by classification status. Each segment is one status and the table beside it carries the counts.</w:t>
            </w:r>
          </w:p>
          <w:p>
            <w:pPr>
              <w:spacing w:before="60" w:after="80"/>
              <w:jc w:val="center"/>
            </w:pPr>
            <w:r>
              <w:drawing>
                <wp:inline xmlns:a="http://schemas.openxmlformats.org/drawingml/2006/main" xmlns:pic="http://schemas.openxmlformats.org/drawingml/2006/picture">
                  <wp:extent cx="3312000" cy="2898708"/>
                  <wp:docPr id="2" name="Picture 2"/>
                  <wp:cNvGraphicFramePr>
                    <a:graphicFrameLocks noChangeAspect="1"/>
                  </wp:cNvGraphicFramePr>
                  <a:graphic>
                    <a:graphicData uri="http://schemas.openxmlformats.org/drawingml/2006/picture">
                      <pic:pic>
                        <pic:nvPicPr>
                          <pic:cNvPr id="0" name="c3.png"/>
                          <pic:cNvPicPr/>
                        </pic:nvPicPr>
                        <pic:blipFill>
                          <a:blip r:embed="rId10"/>
                          <a:stretch>
                            <a:fillRect/>
                          </a:stretch>
                        </pic:blipFill>
                        <pic:spPr>
                          <a:xfrm>
                            <a:off x="0" y="0"/>
                            <a:ext cx="3312000" cy="2898708"/>
                          </a:xfrm>
                          <a:prstGeom prst="rect"/>
                        </pic:spPr>
                      </pic:pic>
                    </a:graphicData>
                  </a:graphic>
                </wp:inline>
              </w:drawing>
            </w:r>
          </w:p>
          <w:tbl>
            <w:tblPr>
              <w:tblW w:type="auto" w:w="0"/>
              <w:jc w:val="left"/>
              <w:tblLayout w:type="fixed"/>
              <w:tblLook w:firstColumn="1" w:firstRow="1" w:lastColumn="0" w:lastRow="0" w:noHBand="0" w:noVBand="1" w:val="04A0"/>
            </w:tblPr>
            <w:tblGrid>
              <w:gridCol w:w="3024"/>
              <w:gridCol w:w="3024"/>
              <w:gridCol w:w="3024"/>
            </w:tblGrid>
            <w:tr>
              <w:trPr>
                <w:cantSplit/>
              </w:trPr>
              <w:tc>
                <w:tcPr>
                  <w:tcW w:w="3969"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Status</w:t>
                  </w:r>
                </w:p>
              </w:tc>
              <w:tc>
                <w:tcPr>
                  <w:tcW w:w="1927"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Count</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 of URLs analysed</w:t>
                  </w:r>
                </w:p>
              </w:tc>
            </w:tr>
            <w:tr>
              <w:trPr>
                <w:cantSplit/>
              </w:trPr>
              <w:tc>
                <w:tcPr>
                  <w:tcW w:w="3969"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Not gambling</w:t>
                  </w:r>
                </w:p>
              </w:tc>
              <w:tc>
                <w:tcPr>
                  <w:tcW w:w="192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11,338</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56.1%</w:t>
                  </w:r>
                </w:p>
              </w:tc>
            </w:tr>
            <w:tr>
              <w:trPr>
                <w:cantSplit/>
              </w:trPr>
              <w:tc>
                <w:tcPr>
                  <w:tcW w:w="3969"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Gambling</w:t>
                  </w:r>
                </w:p>
              </w:tc>
              <w:tc>
                <w:tcPr>
                  <w:tcW w:w="192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8,833</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43.7%</w:t>
                  </w:r>
                </w:p>
              </w:tc>
            </w:tr>
            <w:tr>
              <w:trPr>
                <w:cantSplit/>
              </w:trPr>
              <w:tc>
                <w:tcPr>
                  <w:tcW w:w="3969"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Unreachable</w:t>
                  </w:r>
                </w:p>
              </w:tc>
              <w:tc>
                <w:tcPr>
                  <w:tcW w:w="192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44</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0.2%</w:t>
                  </w:r>
                </w:p>
              </w:tc>
            </w:tr>
          </w:tbl>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12" w:name="Top10URLsuffixes"/>
            <w:pPr>
              <w:pStyle w:val="Heading2"/>
              <w:spacing w:before="0" w:after="100"/>
            </w:pPr>
            <w:bookmarkEnd w:id="1012"/>
            <w:r>
              <w:rPr>
                <w:rFonts w:ascii="Calibri" w:hAnsi="Calibri" w:cs="Calibri"/>
                <w:b/>
                <w:i w:val="0"/>
                <w:color w:val="1F3F63"/>
                <w:sz w:val="23"/>
              </w:rPr>
              <w:t>Top 10 URL suffixes</w:t>
            </w:r>
          </w:p>
          <w:p>
            <w:pPr>
              <w:spacing w:before="0" w:after="80" w:line="300" w:lineRule="auto"/>
            </w:pPr>
            <w:r>
              <w:rPr>
                <w:rFonts w:ascii="Calibri" w:hAnsi="Calibri" w:cs="Calibri"/>
                <w:b w:val="0"/>
                <w:i w:val="0"/>
                <w:color w:val="22303C"/>
                <w:sz w:val="18"/>
              </w:rPr>
              <w:t>The ten most common URL suffixes among URLs analysed. Bar length is the total count and the table separates the gambling share.</w:t>
            </w:r>
          </w:p>
          <w:p>
            <w:pPr>
              <w:spacing w:before="60" w:after="80"/>
              <w:jc w:val="center"/>
            </w:pPr>
            <w:r>
              <w:drawing>
                <wp:inline xmlns:a="http://schemas.openxmlformats.org/drawingml/2006/main" xmlns:pic="http://schemas.openxmlformats.org/drawingml/2006/picture">
                  <wp:extent cx="5040000" cy="3326079"/>
                  <wp:docPr id="3" name="Picture 3"/>
                  <wp:cNvGraphicFramePr>
                    <a:graphicFrameLocks noChangeAspect="1"/>
                  </wp:cNvGraphicFramePr>
                  <a:graphic>
                    <a:graphicData uri="http://schemas.openxmlformats.org/drawingml/2006/picture">
                      <pic:pic>
                        <pic:nvPicPr>
                          <pic:cNvPr id="0" name="c4.png"/>
                          <pic:cNvPicPr/>
                        </pic:nvPicPr>
                        <pic:blipFill>
                          <a:blip r:embed="rId11"/>
                          <a:stretch>
                            <a:fillRect/>
                          </a:stretch>
                        </pic:blipFill>
                        <pic:spPr>
                          <a:xfrm>
                            <a:off x="0" y="0"/>
                            <a:ext cx="5040000" cy="3326079"/>
                          </a:xfrm>
                          <a:prstGeom prst="rect"/>
                        </pic:spPr>
                      </pic:pic>
                    </a:graphicData>
                  </a:graphic>
                </wp:inline>
              </w:drawing>
            </w:r>
          </w:p>
          <w:tbl>
            <w:tblPr>
              <w:tblW w:type="auto" w:w="0"/>
              <w:jc w:val="left"/>
              <w:tblLayout w:type="fixed"/>
              <w:tblLook w:firstColumn="1" w:firstRow="1" w:lastColumn="0" w:lastRow="0" w:noHBand="0" w:noVBand="1" w:val="04A0"/>
            </w:tblPr>
            <w:tblGrid>
              <w:gridCol w:w="1814"/>
              <w:gridCol w:w="1814"/>
              <w:gridCol w:w="1814"/>
              <w:gridCol w:w="1814"/>
              <w:gridCol w:w="1814"/>
            </w:tblGrid>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Suffix</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Total</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 of all</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Gambling</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 gambling</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.org</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5,643</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27.9%</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0.2%</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3,078</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15.2%</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1,277</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41.5%</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.net</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1,453</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7.2%</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964</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66.3%</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.cc</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1,023</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5.1%</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626</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61.2%</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.vip</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940</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4.7%</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859</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91.4%</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.app</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739</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3.7%</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558</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75.5%</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.pro</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671</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3.3%</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593</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88.4%</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.bet</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608</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3.0%</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591</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97.2%</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.top</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527</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2.6%</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279</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52.9%</w:t>
                  </w:r>
                </w:p>
              </w:tc>
            </w:tr>
            <w:tr>
              <w:trPr>
                <w:cantSplit/>
              </w:trPr>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.dev</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503</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2.5%</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451</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89.7%</w:t>
                  </w:r>
                </w:p>
              </w:tc>
            </w:tr>
          </w:tbl>
          <w:p/>
        </w:tc>
      </w:tr>
    </w:tbl>
    <w:p>
      <w:pPr>
        <w:spacing w:before="0" w:after="0" w:line="240" w:lineRule="auto"/>
      </w:pPr>
      <w:r>
        <w:rPr>
          <w:rFonts w:ascii="Calibri" w:hAnsi="Calibri" w:cs="Calibri"/>
          <w:b w:val="0"/>
          <w:i w:val="0"/>
          <w:color w:val="22303C"/>
          <w:sz w:val="24"/>
        </w:rPr>
      </w:r>
    </w:p>
    <w:p>
      <w:bookmarkStart w:id="1013" w:name="Subcategories"/>
      <w:pPr>
        <w:pStyle w:val="Heading1"/>
        <w:spacing w:before="280" w:after="120"/>
      </w:pPr>
      <w:bookmarkEnd w:id="1013"/>
      <w:r>
        <w:rPr>
          <w:rFonts w:ascii="Calibri" w:hAnsi="Calibri" w:cs="Calibri"/>
          <w:b/>
          <w:i w:val="0"/>
          <w:color w:val="1F3F63"/>
          <w:sz w:val="32"/>
        </w:rPr>
        <w:t>Subcategories</w:t>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14" w:name="Gamblingsitesbyproductsubcategory"/>
            <w:pPr>
              <w:pStyle w:val="Heading2"/>
              <w:spacing w:before="0" w:after="100"/>
            </w:pPr>
            <w:bookmarkEnd w:id="1014"/>
            <w:r>
              <w:rPr>
                <w:rFonts w:ascii="Calibri" w:hAnsi="Calibri" w:cs="Calibri"/>
                <w:b/>
                <w:i w:val="0"/>
                <w:color w:val="1F3F63"/>
                <w:sz w:val="23"/>
              </w:rPr>
              <w:t>Gambling sites by product subcategory</w:t>
            </w:r>
          </w:p>
          <w:p>
            <w:pPr>
              <w:spacing w:before="0" w:after="80" w:line="300" w:lineRule="auto"/>
            </w:pPr>
            <w:r>
              <w:rPr>
                <w:rFonts w:ascii="Calibri" w:hAnsi="Calibri" w:cs="Calibri"/>
                <w:b w:val="0"/>
                <w:i w:val="0"/>
                <w:color w:val="22303C"/>
                <w:sz w:val="18"/>
              </w:rPr>
              <w:t>Each bar is one product subcategory. Bar length is the number of gambling sites and each label carries the count and the share of gambling rows.</w:t>
            </w:r>
          </w:p>
          <w:p>
            <w:pPr>
              <w:spacing w:before="60" w:after="80"/>
              <w:jc w:val="center"/>
            </w:pPr>
            <w:r>
              <w:drawing>
                <wp:inline xmlns:a="http://schemas.openxmlformats.org/drawingml/2006/main" xmlns:pic="http://schemas.openxmlformats.org/drawingml/2006/picture">
                  <wp:extent cx="5040000" cy="2271941"/>
                  <wp:docPr id="4" name="Picture 4"/>
                  <wp:cNvGraphicFramePr>
                    <a:graphicFrameLocks noChangeAspect="1"/>
                  </wp:cNvGraphicFramePr>
                  <a:graphic>
                    <a:graphicData uri="http://schemas.openxmlformats.org/drawingml/2006/picture">
                      <pic:pic>
                        <pic:nvPicPr>
                          <pic:cNvPr id="0" name="d1.png"/>
                          <pic:cNvPicPr/>
                        </pic:nvPicPr>
                        <pic:blipFill>
                          <a:blip r:embed="rId12"/>
                          <a:stretch>
                            <a:fillRect/>
                          </a:stretch>
                        </pic:blipFill>
                        <pic:spPr>
                          <a:xfrm>
                            <a:off x="0" y="0"/>
                            <a:ext cx="5040000" cy="2271941"/>
                          </a:xfrm>
                          <a:prstGeom prst="rect"/>
                        </pic:spPr>
                      </pic:pic>
                    </a:graphicData>
                  </a:graphic>
                </wp:inline>
              </w:drawing>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15" w:name="Assignmentmethodbysubcategory"/>
            <w:pPr>
              <w:pStyle w:val="Heading2"/>
              <w:spacing w:before="0" w:after="100"/>
            </w:pPr>
            <w:bookmarkEnd w:id="1015"/>
            <w:r>
              <w:rPr>
                <w:rFonts w:ascii="Calibri" w:hAnsi="Calibri" w:cs="Calibri"/>
                <w:b/>
                <w:i w:val="0"/>
                <w:color w:val="1F3F63"/>
                <w:sz w:val="23"/>
              </w:rPr>
              <w:t>Assignment method by subcategory</w:t>
            </w:r>
          </w:p>
          <w:p>
            <w:pPr>
              <w:spacing w:before="0" w:after="80" w:line="300" w:lineRule="auto"/>
            </w:pPr>
            <w:r>
              <w:rPr>
                <w:rFonts w:ascii="Calibri" w:hAnsi="Calibri" w:cs="Calibri"/>
                <w:b w:val="0"/>
                <w:i w:val="0"/>
                <w:color w:val="22303C"/>
                <w:sz w:val="18"/>
              </w:rPr>
              <w:t>How each subcategory was assigned. Solid fill is a lexicon match and the lighter fill is model inference.</w:t>
            </w:r>
          </w:p>
          <w:p>
            <w:pPr>
              <w:spacing w:before="60" w:after="80"/>
              <w:jc w:val="center"/>
            </w:pPr>
            <w:r>
              <w:drawing>
                <wp:inline xmlns:a="http://schemas.openxmlformats.org/drawingml/2006/main" xmlns:pic="http://schemas.openxmlformats.org/drawingml/2006/picture">
                  <wp:extent cx="5040000" cy="2593176"/>
                  <wp:docPr id="5" name="Picture 5"/>
                  <wp:cNvGraphicFramePr>
                    <a:graphicFrameLocks noChangeAspect="1"/>
                  </wp:cNvGraphicFramePr>
                  <a:graphic>
                    <a:graphicData uri="http://schemas.openxmlformats.org/drawingml/2006/picture">
                      <pic:pic>
                        <pic:nvPicPr>
                          <pic:cNvPr id="0" name="d2.png"/>
                          <pic:cNvPicPr/>
                        </pic:nvPicPr>
                        <pic:blipFill>
                          <a:blip r:embed="rId13"/>
                          <a:stretch>
                            <a:fillRect/>
                          </a:stretch>
                        </pic:blipFill>
                        <pic:spPr>
                          <a:xfrm>
                            <a:off x="0" y="0"/>
                            <a:ext cx="5040000" cy="2593176"/>
                          </a:xfrm>
                          <a:prstGeom prst="rect"/>
                        </pic:spPr>
                      </pic:pic>
                    </a:graphicData>
                  </a:graphic>
                </wp:inline>
              </w:drawing>
            </w:r>
          </w:p>
          <w:p>
            <w:pPr>
              <w:spacing w:before="80" w:after="40" w:line="307" w:lineRule="auto"/>
            </w:pPr>
            <w:r>
              <w:rPr>
                <w:rFonts w:ascii="Calibri" w:hAnsi="Calibri" w:cs="Calibri"/>
                <w:b/>
                <w:i w:val="0"/>
                <w:color w:val="1F3F63"/>
                <w:sz w:val="20"/>
              </w:rPr>
              <w:t>What a lexicon match means</w:t>
            </w:r>
          </w:p>
          <w:p>
            <w:pPr>
              <w:spacing w:before="0" w:after="80" w:line="307" w:lineRule="auto"/>
            </w:pPr>
            <w:r>
              <w:rPr>
                <w:rFonts w:ascii="Tahoma" w:hAnsi="Tahoma" w:cs="Tahoma"/>
                <w:b w:val="0"/>
                <w:i w:val="0"/>
                <w:color w:val="22303C"/>
                <w:sz w:val="18"/>
              </w:rPr>
              <w:t>SICPADetect assigns a subcategory by lexicon match when a recorded text field about the site contains a keyword from the gambling lexicon, and that keyword belongs to the assigned product category. The recorded fields are the model-generated site description and classification rationale, extracted keywords, analyst remarks, and the URL and domain. A site whose recorded text contains สล็อต is assigned to Slots by lexicon match. When no product keyword appears, the model assigns the closest subcategory from what the site description and classification rationale say the site offers. The two methods are separate: a lexicon match rests on a specific keyword found in the text, while model inference rests on the model’s reading of the site. The SICPADetect Thai gambling keyword lexicon holds 286 keywords in 14 categories, most in Thai script. 7 product categories decide the subcategory. The remaining categories describe how a site markets or operates itself and appear as signal tags. A lexicon match can be checked against the site and repeated, so it carries higher confidence. A larger lexicon share of a bar means that subcategory figure rests on more direct evidence. A large model inference share means the sites use vocabulary the lexicon does not yet cover.</w:t>
            </w:r>
          </w:p>
          <w:p>
            <w:pPr>
              <w:spacing w:before="60" w:after="20" w:line="300" w:lineRule="auto"/>
            </w:pPr>
            <w:r>
              <w:rPr>
                <w:rFonts w:ascii="Calibri" w:hAnsi="Calibri" w:cs="Calibri"/>
                <w:b w:val="0"/>
                <w:i w:val="0"/>
                <w:color w:val="5A6B7A"/>
                <w:sz w:val="16"/>
              </w:rPr>
              <w:t>SICPADetect assigned 96.7% of gambling rows by model inference and 16.4% to General Gambling. The lexicon covers part of the vocabulary used in this dataset, so subcategory figures based on model inference are indicative.</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16" w:name="Subcategorytable"/>
            <w:pPr>
              <w:pStyle w:val="Heading2"/>
              <w:spacing w:before="0" w:after="100"/>
            </w:pPr>
            <w:bookmarkEnd w:id="1016"/>
            <w:r>
              <w:rPr>
                <w:rFonts w:ascii="Calibri" w:hAnsi="Calibri" w:cs="Calibri"/>
                <w:b/>
                <w:i w:val="0"/>
                <w:color w:val="1F3F63"/>
                <w:sz w:val="23"/>
              </w:rPr>
              <w:t>Subcategory table</w:t>
            </w:r>
          </w:p>
          <w:tbl>
            <w:tblPr>
              <w:tblW w:type="auto" w:w="0"/>
              <w:jc w:val="left"/>
              <w:tblLayout w:type="fixed"/>
              <w:tblLook w:firstColumn="1" w:firstRow="1" w:lastColumn="0" w:lastRow="0" w:noHBand="0" w:noVBand="1" w:val="04A0"/>
            </w:tblPr>
            <w:tblGrid>
              <w:gridCol w:w="1512"/>
              <w:gridCol w:w="1512"/>
              <w:gridCol w:w="1512"/>
              <w:gridCol w:w="1512"/>
              <w:gridCol w:w="1512"/>
              <w:gridCol w:w="1512"/>
            </w:tblGrid>
            <w:tr>
              <w:trPr>
                <w:cantSplit/>
              </w:trPr>
              <w:tc>
                <w:tcPr>
                  <w:tcW w:w="215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Subcategory</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Count</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 of gambling</w:t>
                  </w:r>
                </w:p>
              </w:tc>
              <w:tc>
                <w:tcPr>
                  <w:tcW w:w="1247"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Lexicon match</w:t>
                  </w:r>
                </w:p>
              </w:tc>
              <w:tc>
                <w:tcPr>
                  <w:tcW w:w="1247"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Model inference</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Distinct clusters</w:t>
                  </w:r>
                </w:p>
              </w:tc>
            </w:tr>
            <w:tr>
              <w:trPr>
                <w:cantSplit/>
              </w:trPr>
              <w:tc>
                <w:tcPr>
                  <w:tcW w:w="215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3,211</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36.4%</w:t>
                  </w:r>
                </w:p>
              </w:tc>
              <w:tc>
                <w:tcPr>
                  <w:tcW w:w="124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92</w:t>
                  </w:r>
                </w:p>
              </w:tc>
              <w:tc>
                <w:tcPr>
                  <w:tcW w:w="124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3,119</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33</w:t>
                  </w:r>
                </w:p>
              </w:tc>
            </w:tr>
            <w:tr>
              <w:trPr>
                <w:cantSplit/>
              </w:trPr>
              <w:tc>
                <w:tcPr>
                  <w:tcW w:w="215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Slots</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2,644</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29.9%</w:t>
                  </w:r>
                </w:p>
              </w:tc>
              <w:tc>
                <w:tcPr>
                  <w:tcW w:w="124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139</w:t>
                  </w:r>
                </w:p>
              </w:tc>
              <w:tc>
                <w:tcPr>
                  <w:tcW w:w="124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2,505</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56</w:t>
                  </w:r>
                </w:p>
              </w:tc>
            </w:tr>
            <w:tr>
              <w:trPr>
                <w:cantSplit/>
              </w:trPr>
              <w:tc>
                <w:tcPr>
                  <w:tcW w:w="215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General Gambling</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1,447</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16.4%</w:t>
                  </w:r>
                </w:p>
              </w:tc>
              <w:tc>
                <w:tcPr>
                  <w:tcW w:w="124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17</w:t>
                  </w:r>
                </w:p>
              </w:tc>
              <w:tc>
                <w:tcPr>
                  <w:tcW w:w="124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1,430</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23</w:t>
                  </w:r>
                </w:p>
              </w:tc>
            </w:tr>
            <w:tr>
              <w:trPr>
                <w:cantSplit/>
              </w:trPr>
              <w:tc>
                <w:tcPr>
                  <w:tcW w:w="215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Football Betting</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949</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10.7%</w:t>
                  </w:r>
                </w:p>
              </w:tc>
              <w:tc>
                <w:tcPr>
                  <w:tcW w:w="124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w:t>
                  </w:r>
                </w:p>
              </w:tc>
              <w:tc>
                <w:tcPr>
                  <w:tcW w:w="124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940</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17</w:t>
                  </w:r>
                </w:p>
              </w:tc>
            </w:tr>
            <w:tr>
              <w:trPr>
                <w:cantSplit/>
              </w:trPr>
              <w:tc>
                <w:tcPr>
                  <w:tcW w:w="215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Playing card</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250</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2.8%</w:t>
                  </w:r>
                </w:p>
              </w:tc>
              <w:tc>
                <w:tcPr>
                  <w:tcW w:w="124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w:t>
                  </w:r>
                </w:p>
              </w:tc>
              <w:tc>
                <w:tcPr>
                  <w:tcW w:w="124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247</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8</w:t>
                  </w:r>
                </w:p>
              </w:tc>
            </w:tr>
            <w:tr>
              <w:trPr>
                <w:cantSplit/>
              </w:trPr>
              <w:tc>
                <w:tcPr>
                  <w:tcW w:w="215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Lottery</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209</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2.4%</w:t>
                  </w:r>
                </w:p>
              </w:tc>
              <w:tc>
                <w:tcPr>
                  <w:tcW w:w="124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9</w:t>
                  </w:r>
                </w:p>
              </w:tc>
              <w:tc>
                <w:tcPr>
                  <w:tcW w:w="1247"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200</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w:t>
                  </w:r>
                </w:p>
              </w:tc>
            </w:tr>
            <w:tr>
              <w:trPr>
                <w:cantSplit/>
              </w:trPr>
              <w:tc>
                <w:tcPr>
                  <w:tcW w:w="215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Baccarat</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123</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1.4%</w:t>
                  </w:r>
                </w:p>
              </w:tc>
              <w:tc>
                <w:tcPr>
                  <w:tcW w:w="124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23</w:t>
                  </w:r>
                </w:p>
              </w:tc>
              <w:tc>
                <w:tcPr>
                  <w:tcW w:w="1247"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100</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4</w:t>
                  </w:r>
                </w:p>
              </w:tc>
            </w:tr>
          </w:tbl>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17" w:name="HeatmapKeywordsubcategory"/>
            <w:pPr>
              <w:pStyle w:val="Heading2"/>
              <w:spacing w:before="0" w:after="100"/>
            </w:pPr>
            <w:bookmarkEnd w:id="1017"/>
            <w:r>
              <w:rPr>
                <w:rFonts w:ascii="Calibri" w:hAnsi="Calibri" w:cs="Calibri"/>
                <w:b/>
                <w:i w:val="0"/>
                <w:color w:val="1F3F63"/>
                <w:sz w:val="23"/>
              </w:rPr>
              <w:t>Heat map – Keyword × subcategory</w:t>
            </w:r>
          </w:p>
          <w:p>
            <w:pPr>
              <w:spacing w:before="0" w:after="80" w:line="300" w:lineRule="auto"/>
            </w:pPr>
            <w:r>
              <w:rPr>
                <w:rFonts w:ascii="Calibri" w:hAnsi="Calibri" w:cs="Calibri"/>
                <w:b w:val="0"/>
                <w:i w:val="0"/>
                <w:color w:val="22303C"/>
                <w:sz w:val="18"/>
              </w:rPr>
              <w:t>Matched keywords against product subcategory. Each cell is the number of gambling sites carrying that keyword in that subcategory.</w:t>
            </w:r>
          </w:p>
          <w:tbl>
            <w:tblPr>
              <w:tblW w:type="auto" w:w="0"/>
              <w:jc w:val="left"/>
              <w:tblLayout w:type="fixed"/>
              <w:tblLook w:firstColumn="1" w:firstRow="1" w:lastColumn="0" w:lastRow="0" w:noHBand="0" w:noVBand="1" w:val="04A0"/>
            </w:tblPr>
            <w:tblGrid>
              <w:gridCol w:w="1134"/>
              <w:gridCol w:w="1134"/>
              <w:gridCol w:w="1134"/>
              <w:gridCol w:w="1134"/>
              <w:gridCol w:w="1134"/>
              <w:gridCol w:w="1134"/>
              <w:gridCol w:w="1134"/>
              <w:gridCol w:w="1134"/>
            </w:tblGrid>
            <w:tr>
              <w:trPr>
                <w:cantSplit/>
              </w:trPr>
              <w:tc>
                <w:tcPr>
                  <w:tcW w:w="2268"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pPr>
                </w:p>
              </w:tc>
              <w:tc>
                <w:tcPr>
                  <w:tcW w:w="810"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Slots</w:t>
                  </w:r>
                  <w:r>
                    <w:br/>
                  </w:r>
                  <w:r>
                    <w:rPr>
                      <w:rFonts w:ascii="Calibri" w:hAnsi="Calibri" w:cs="Calibri"/>
                      <w:b/>
                      <w:i w:val="0"/>
                      <w:color w:val="1F3F63"/>
                      <w:sz w:val="14"/>
                    </w:rPr>
                    <w:t xml:space="preserve"> </w:t>
                  </w:r>
                </w:p>
              </w:tc>
              <w:tc>
                <w:tcPr>
                  <w:tcW w:w="810"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Casino</w:t>
                  </w:r>
                  <w:r>
                    <w:br/>
                  </w:r>
                  <w:r>
                    <w:rPr>
                      <w:rFonts w:ascii="Calibri" w:hAnsi="Calibri" w:cs="Calibri"/>
                      <w:b/>
                      <w:i w:val="0"/>
                      <w:color w:val="1F3F63"/>
                      <w:sz w:val="14"/>
                    </w:rPr>
                    <w:t xml:space="preserve"> </w:t>
                  </w:r>
                </w:p>
              </w:tc>
              <w:tc>
                <w:tcPr>
                  <w:tcW w:w="810"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General</w:t>
                  </w:r>
                  <w:r>
                    <w:br/>
                  </w:r>
                  <w:r>
                    <w:rPr>
                      <w:rFonts w:ascii="Calibri" w:hAnsi="Calibri" w:cs="Calibri"/>
                      <w:b/>
                      <w:i w:val="0"/>
                      <w:color w:val="1F3F63"/>
                      <w:sz w:val="14"/>
                    </w:rPr>
                    <w:t>Gambling</w:t>
                  </w:r>
                </w:p>
              </w:tc>
              <w:tc>
                <w:tcPr>
                  <w:tcW w:w="810"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Football</w:t>
                  </w:r>
                  <w:r>
                    <w:br/>
                  </w:r>
                  <w:r>
                    <w:rPr>
                      <w:rFonts w:ascii="Calibri" w:hAnsi="Calibri" w:cs="Calibri"/>
                      <w:b/>
                      <w:i w:val="0"/>
                      <w:color w:val="1F3F63"/>
                      <w:sz w:val="14"/>
                    </w:rPr>
                    <w:t>Betting</w:t>
                  </w:r>
                </w:p>
              </w:tc>
              <w:tc>
                <w:tcPr>
                  <w:tcW w:w="810"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Baccarat</w:t>
                  </w:r>
                  <w:r>
                    <w:br/>
                  </w:r>
                  <w:r>
                    <w:rPr>
                      <w:rFonts w:ascii="Calibri" w:hAnsi="Calibri" w:cs="Calibri"/>
                      <w:b/>
                      <w:i w:val="0"/>
                      <w:color w:val="1F3F63"/>
                      <w:sz w:val="14"/>
                    </w:rPr>
                    <w:t xml:space="preserve"> </w:t>
                  </w:r>
                </w:p>
              </w:tc>
              <w:tc>
                <w:tcPr>
                  <w:tcW w:w="810"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Lottery</w:t>
                  </w:r>
                  <w:r>
                    <w:br/>
                  </w:r>
                  <w:r>
                    <w:rPr>
                      <w:rFonts w:ascii="Calibri" w:hAnsi="Calibri" w:cs="Calibri"/>
                      <w:b/>
                      <w:i w:val="0"/>
                      <w:color w:val="1F3F63"/>
                      <w:sz w:val="14"/>
                    </w:rPr>
                    <w:t xml:space="preserve"> </w:t>
                  </w:r>
                </w:p>
              </w:tc>
              <w:tc>
                <w:tcPr>
                  <w:tcW w:w="810"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Playing</w:t>
                  </w:r>
                  <w:r>
                    <w:br/>
                  </w:r>
                  <w:r>
                    <w:rPr>
                      <w:rFonts w:ascii="Calibri" w:hAnsi="Calibri" w:cs="Calibri"/>
                      <w:b/>
                      <w:i w:val="0"/>
                      <w:color w:val="1F3F63"/>
                      <w:sz w:val="14"/>
                    </w:rPr>
                    <w:t>card</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VIP</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1F3F63"/>
                  <w:tcMar>
                    <w:top w:w="62" w:type="dxa"/>
                    <w:start w:w="34" w:type="dxa"/>
                    <w:bottom w:w="62" w:type="dxa"/>
                    <w:end w:w="34" w:type="dxa"/>
                  </w:tcMar>
                </w:tcPr>
                <w:p>
                  <w:pPr>
                    <w:spacing w:before="0" w:after="0" w:line="264" w:lineRule="auto"/>
                    <w:jc w:val="center"/>
                  </w:pPr>
                  <w:r>
                    <w:rPr>
                      <w:rFonts w:ascii="Calibri" w:hAnsi="Calibri" w:cs="Calibri"/>
                      <w:b/>
                      <w:i w:val="0"/>
                      <w:color w:val="FFFFFF"/>
                      <w:sz w:val="15"/>
                    </w:rPr>
                    <w:t>676</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536C87"/>
                  <w:tcMar>
                    <w:top w:w="62" w:type="dxa"/>
                    <w:start w:w="34" w:type="dxa"/>
                    <w:bottom w:w="62" w:type="dxa"/>
                    <w:end w:w="34" w:type="dxa"/>
                  </w:tcMar>
                </w:tcPr>
                <w:p>
                  <w:pPr>
                    <w:spacing w:before="0" w:after="0" w:line="264" w:lineRule="auto"/>
                    <w:jc w:val="center"/>
                  </w:pPr>
                  <w:r>
                    <w:rPr>
                      <w:rFonts w:ascii="Calibri" w:hAnsi="Calibri" w:cs="Calibri"/>
                      <w:b/>
                      <w:i w:val="0"/>
                      <w:color w:val="FFFFFF"/>
                      <w:sz w:val="15"/>
                    </w:rPr>
                    <w:t>505</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9EABBB"/>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261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C7CFD8"/>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125</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9EC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7EAEE"/>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20</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BET</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9BAABA"/>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268</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8496A9"/>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344</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BFC8D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151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C8D0D9"/>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120</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6EAEE"/>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8EBEF"/>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18</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6EAEE"/>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23</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PP</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C6CED7"/>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129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93A2B4"/>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296</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CE1E6"/>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57</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DE2E7"/>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4E8EC"/>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29</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WIN</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B6C0CC"/>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181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C8D0D9"/>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122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0D7DE"/>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95</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9EC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6EAEE"/>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7AE60"/>
                      <w:sz w:val="15"/>
                    </w:rPr>
                    <w:t xml:space="preserve">█ </w:t>
                  </w:r>
                  <w:r>
                    <w:rPr>
                      <w:rFonts w:ascii="Tahoma" w:hAnsi="Tahoma" w:cs="Tahoma"/>
                      <w:b w:val="0"/>
                      <w:i w:val="0"/>
                      <w:color w:val="22303C"/>
                      <w:sz w:val="15"/>
                    </w:rPr>
                    <w:t>สมัครสมาชิก</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CDD4DC"/>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106</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CE1E7"/>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56</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FE3E9"/>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47</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10</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0E5EA"/>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C0392B"/>
                      <w:sz w:val="15"/>
                    </w:rPr>
                    <w:t xml:space="preserve">█ </w:t>
                  </w:r>
                  <w:r>
                    <w:rPr>
                      <w:rFonts w:ascii="Tahoma" w:hAnsi="Tahoma" w:cs="Tahoma"/>
                      <w:b w:val="0"/>
                      <w:i w:val="0"/>
                      <w:color w:val="22303C"/>
                      <w:sz w:val="15"/>
                    </w:rPr>
                    <w:t>สล็อต</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C3CBD5"/>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EE3E8"/>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48</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8EBEF"/>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18</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1F3F63"/>
                      <w:sz w:val="15"/>
                    </w:rPr>
                    <w:t xml:space="preserve">█ </w:t>
                  </w:r>
                  <w:r>
                    <w:rPr>
                      <w:rFonts w:ascii="Calibri" w:hAnsi="Calibri" w:cs="Calibri"/>
                      <w:b w:val="0"/>
                      <w:i w:val="0"/>
                      <w:color w:val="22303C"/>
                      <w:sz w:val="15"/>
                    </w:rPr>
                    <w:t>Wallet</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EE3E8"/>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50</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FE3E9"/>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47</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5E8ED"/>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28</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7AE60"/>
                      <w:sz w:val="15"/>
                    </w:rPr>
                    <w:t xml:space="preserve">█ </w:t>
                  </w:r>
                  <w:r>
                    <w:rPr>
                      <w:rFonts w:ascii="Tahoma" w:hAnsi="Tahoma" w:cs="Tahoma"/>
                      <w:b w:val="0"/>
                      <w:i w:val="0"/>
                      <w:color w:val="22303C"/>
                      <w:sz w:val="15"/>
                    </w:rPr>
                    <w:t>คาสิโน</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5E9ED"/>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25</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1D8DF"/>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92</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PRAGMATIC</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FE4E9"/>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46</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DE2E7"/>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54</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7AE60"/>
                      <w:sz w:val="15"/>
                    </w:rPr>
                    <w:t xml:space="preserve">█ </w:t>
                  </w:r>
                  <w:r>
                    <w:rPr>
                      <w:rFonts w:ascii="Tahoma" w:hAnsi="Tahoma" w:cs="Tahoma"/>
                      <w:b w:val="0"/>
                      <w:i w:val="0"/>
                      <w:color w:val="22303C"/>
                      <w:sz w:val="15"/>
                    </w:rPr>
                    <w:t>คาสิโนออนไลน์</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7DDE3"/>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72</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C0392B"/>
                      <w:sz w:val="15"/>
                    </w:rPr>
                    <w:t xml:space="preserve">█ </w:t>
                  </w:r>
                  <w:r>
                    <w:rPr>
                      <w:rFonts w:ascii="Tahoma" w:hAnsi="Tahoma" w:cs="Tahoma"/>
                      <w:b w:val="0"/>
                      <w:i w:val="0"/>
                      <w:color w:val="22303C"/>
                      <w:sz w:val="15"/>
                    </w:rPr>
                    <w:t>เกมสล็อต</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DE2E7"/>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9ED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12</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C0392B"/>
                      <w:sz w:val="15"/>
                    </w:rPr>
                    <w:t xml:space="preserve">█ </w:t>
                  </w:r>
                  <w:r>
                    <w:rPr>
                      <w:rFonts w:ascii="Tahoma" w:hAnsi="Tahoma" w:cs="Tahoma"/>
                      <w:b w:val="0"/>
                      <w:i w:val="0"/>
                      <w:color w:val="22303C"/>
                      <w:sz w:val="15"/>
                    </w:rPr>
                    <w:t>สล็อตออนไลน์</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DEE2E8"/>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Tahoma" w:hAnsi="Tahoma" w:cs="Tahoma"/>
                      <w:b w:val="0"/>
                      <w:i w:val="0"/>
                      <w:color w:val="22303C"/>
                      <w:sz w:val="15"/>
                    </w:rPr>
                    <w:t>บาคาร่า</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9EC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14</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10</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6EAEE"/>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AG</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9ECEF"/>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15</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C0392B"/>
                      <w:sz w:val="15"/>
                    </w:rPr>
                    <w:t xml:space="preserve">█ </w:t>
                  </w:r>
                  <w:r>
                    <w:rPr>
                      <w:rFonts w:ascii="Tahoma" w:hAnsi="Tahoma" w:cs="Tahoma"/>
                      <w:b w:val="0"/>
                      <w:i w:val="0"/>
                      <w:color w:val="22303C"/>
                      <w:sz w:val="15"/>
                    </w:rPr>
                    <w:t>เล่นสล็อต</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1E6EA"/>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38</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7D3C98"/>
                      <w:sz w:val="15"/>
                    </w:rPr>
                    <w:t xml:space="preserve">█ </w:t>
                  </w:r>
                  <w:r>
                    <w:rPr>
                      <w:rFonts w:ascii="Calibri" w:hAnsi="Calibri" w:cs="Calibri"/>
                      <w:b w:val="0"/>
                      <w:i w:val="0"/>
                      <w:color w:val="22303C"/>
                      <w:sz w:val="15"/>
                    </w:rPr>
                    <w:t>Affiliate</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9EC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E67E22"/>
                      <w:sz w:val="15"/>
                    </w:rPr>
                    <w:t xml:space="preserve">█ </w:t>
                  </w:r>
                  <w:r>
                    <w:rPr>
                      <w:rFonts w:ascii="Tahoma" w:hAnsi="Tahoma" w:cs="Tahoma"/>
                      <w:b w:val="0"/>
                      <w:i w:val="0"/>
                      <w:color w:val="22303C"/>
                      <w:sz w:val="15"/>
                    </w:rPr>
                    <w:t>เดิมพัน</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9EC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JILI</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8EBEF"/>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17</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E67E22"/>
                      <w:sz w:val="15"/>
                    </w:rPr>
                    <w:t xml:space="preserve">█ </w:t>
                  </w:r>
                  <w:r>
                    <w:rPr>
                      <w:rFonts w:ascii="Tahoma" w:hAnsi="Tahoma" w:cs="Tahoma"/>
                      <w:b w:val="0"/>
                      <w:i w:val="0"/>
                      <w:color w:val="22303C"/>
                      <w:sz w:val="15"/>
                    </w:rPr>
                    <w:t>พนัน</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SA</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10</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8</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RTP</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9ED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PG</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0"/>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10</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E67E22"/>
                      <w:sz w:val="15"/>
                    </w:rPr>
                    <w:t xml:space="preserve">█ </w:t>
                  </w:r>
                  <w:r>
                    <w:rPr>
                      <w:rFonts w:ascii="Tahoma" w:hAnsi="Tahoma" w:cs="Tahoma"/>
                      <w:b w:val="0"/>
                      <w:i w:val="0"/>
                      <w:color w:val="22303C"/>
                      <w:sz w:val="15"/>
                    </w:rPr>
                    <w:t>การพนัน</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7D3C98"/>
                      <w:sz w:val="15"/>
                    </w:rPr>
                    <w:t xml:space="preserve">█ </w:t>
                  </w:r>
                  <w:r>
                    <w:rPr>
                      <w:rFonts w:ascii="Calibri" w:hAnsi="Calibri" w:cs="Calibri"/>
                      <w:b w:val="0"/>
                      <w:i w:val="0"/>
                      <w:color w:val="22303C"/>
                      <w:sz w:val="15"/>
                    </w:rPr>
                    <w:t>Agent</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r>
            <w:tr>
              <w:trPr>
                <w:cantSplit/>
              </w:trPr>
              <w:tc>
                <w:tcPr>
                  <w:tcW w:w="2268"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SEXY</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10"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bl>
          <w:p/>
          <w:p>
            <w:pPr>
              <w:spacing w:before="60" w:after="0" w:line="288" w:lineRule="auto"/>
            </w:pPr>
            <w:r>
              <w:rPr>
                <w:rFonts w:ascii="Calibri" w:hAnsi="Calibri" w:cs="Calibri"/>
                <w:b w:val="0"/>
                <w:i w:val="0"/>
                <w:color w:val="5A6B7A"/>
                <w:sz w:val="15"/>
              </w:rPr>
              <w:t xml:space="preserve">Scale  </w:t>
            </w:r>
            <w:r>
              <w:rPr>
                <w:rFonts w:ascii="Calibri" w:hAnsi="Calibri" w:cs="Calibri"/>
                <w:b w:val="0"/>
                <w:i w:val="0"/>
                <w:color w:val="EDF0F3"/>
                <w:sz w:val="18"/>
              </w:rPr>
              <w:t>█</w:t>
            </w:r>
            <w:r>
              <w:rPr>
                <w:rFonts w:ascii="Calibri" w:hAnsi="Calibri" w:cs="Calibri"/>
                <w:b w:val="0"/>
                <w:i w:val="0"/>
                <w:color w:val="5A6B7A"/>
                <w:sz w:val="15"/>
              </w:rPr>
              <w:t xml:space="preserve"> 1   </w:t>
            </w:r>
            <w:r>
              <w:rPr>
                <w:rFonts w:ascii="Calibri" w:hAnsi="Calibri" w:cs="Calibri"/>
                <w:b w:val="0"/>
                <w:i w:val="0"/>
                <w:color w:val="1F3F63"/>
                <w:sz w:val="18"/>
              </w:rPr>
              <w:t>█</w:t>
            </w:r>
            <w:r>
              <w:rPr>
                <w:rFonts w:ascii="Calibri" w:hAnsi="Calibri" w:cs="Calibri"/>
                <w:b w:val="0"/>
                <w:i w:val="0"/>
                <w:color w:val="5A6B7A"/>
                <w:sz w:val="15"/>
              </w:rPr>
              <w:t xml:space="preserve"> 676    </w:t>
            </w:r>
            <w:r>
              <w:rPr>
                <w:rFonts w:ascii="Calibri" w:hAnsi="Calibri" w:cs="Calibri"/>
                <w:b w:val="0"/>
                <w:i w:val="0"/>
                <w:color w:val="C9D2DB"/>
                <w:sz w:val="18"/>
              </w:rPr>
              <w:t>░</w:t>
            </w:r>
            <w:r>
              <w:rPr>
                <w:rFonts w:ascii="Calibri" w:hAnsi="Calibri" w:cs="Calibri"/>
                <w:b w:val="0"/>
                <w:i w:val="0"/>
                <w:color w:val="5A6B7A"/>
                <w:sz w:val="15"/>
              </w:rPr>
              <w:t xml:space="preserve"> 0, no site recorded</w:t>
            </w:r>
          </w:p>
          <w:p>
            <w:pPr>
              <w:spacing w:before="60" w:after="20" w:line="300" w:lineRule="auto"/>
            </w:pPr>
            <w:r>
              <w:rPr>
                <w:rFonts w:ascii="Calibri" w:hAnsi="Calibri" w:cs="Calibri"/>
                <w:b w:val="0"/>
                <w:i w:val="0"/>
                <w:color w:val="5A6B7A"/>
                <w:sz w:val="16"/>
              </w:rPr>
              <w:t>The coloured strip beside each keyword marks the lexicon category the keyword belongs to, so a keyword drawn from one category and counted under another subcategory is visible.</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18" w:name="HeatmapSignaltagsubcategory"/>
            <w:pPr>
              <w:pStyle w:val="Heading2"/>
              <w:spacing w:before="0" w:after="100"/>
            </w:pPr>
            <w:bookmarkEnd w:id="1018"/>
            <w:r>
              <w:rPr>
                <w:rFonts w:ascii="Calibri" w:hAnsi="Calibri" w:cs="Calibri"/>
                <w:b/>
                <w:i w:val="0"/>
                <w:color w:val="1F3F63"/>
                <w:sz w:val="23"/>
              </w:rPr>
              <w:t>Heat map – Signal tag × subcategory</w:t>
            </w:r>
          </w:p>
          <w:p>
            <w:pPr>
              <w:spacing w:before="0" w:after="80" w:line="300" w:lineRule="auto"/>
            </w:pPr>
            <w:r>
              <w:rPr>
                <w:rFonts w:ascii="Calibri" w:hAnsi="Calibri" w:cs="Calibri"/>
                <w:b w:val="0"/>
                <w:i w:val="0"/>
                <w:color w:val="22303C"/>
                <w:sz w:val="18"/>
              </w:rPr>
              <w:t>Signal tags against product subcategory. Each cell is the number of gambling sites carrying that tag in that subcategory.</w:t>
            </w:r>
          </w:p>
          <w:tbl>
            <w:tblPr>
              <w:tblW w:type="auto" w:w="0"/>
              <w:jc w:val="left"/>
              <w:tblLayout w:type="fixed"/>
              <w:tblLook w:firstColumn="1" w:firstRow="1" w:lastColumn="0" w:lastRow="0" w:noHBand="0" w:noVBand="1" w:val="04A0"/>
            </w:tblPr>
            <w:tblGrid>
              <w:gridCol w:w="1134"/>
              <w:gridCol w:w="1134"/>
              <w:gridCol w:w="1134"/>
              <w:gridCol w:w="1134"/>
              <w:gridCol w:w="1134"/>
              <w:gridCol w:w="1134"/>
              <w:gridCol w:w="1134"/>
              <w:gridCol w:w="1134"/>
            </w:tblGrid>
            <w:tr>
              <w:trPr>
                <w:cantSplit/>
              </w:trPr>
              <w:tc>
                <w:tcPr>
                  <w:tcW w:w="2494"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pPr>
                </w:p>
              </w:tc>
              <w:tc>
                <w:tcPr>
                  <w:tcW w:w="777"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Slots</w:t>
                  </w:r>
                  <w:r>
                    <w:br/>
                  </w:r>
                  <w:r>
                    <w:rPr>
                      <w:rFonts w:ascii="Calibri" w:hAnsi="Calibri" w:cs="Calibri"/>
                      <w:b/>
                      <w:i w:val="0"/>
                      <w:color w:val="1F3F63"/>
                      <w:sz w:val="14"/>
                    </w:rPr>
                    <w:t xml:space="preserve"> </w:t>
                  </w:r>
                </w:p>
              </w:tc>
              <w:tc>
                <w:tcPr>
                  <w:tcW w:w="777"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Casino</w:t>
                  </w:r>
                  <w:r>
                    <w:br/>
                  </w:r>
                  <w:r>
                    <w:rPr>
                      <w:rFonts w:ascii="Calibri" w:hAnsi="Calibri" w:cs="Calibri"/>
                      <w:b/>
                      <w:i w:val="0"/>
                      <w:color w:val="1F3F63"/>
                      <w:sz w:val="14"/>
                    </w:rPr>
                    <w:t xml:space="preserve"> </w:t>
                  </w:r>
                </w:p>
              </w:tc>
              <w:tc>
                <w:tcPr>
                  <w:tcW w:w="777"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General</w:t>
                  </w:r>
                  <w:r>
                    <w:br/>
                  </w:r>
                  <w:r>
                    <w:rPr>
                      <w:rFonts w:ascii="Calibri" w:hAnsi="Calibri" w:cs="Calibri"/>
                      <w:b/>
                      <w:i w:val="0"/>
                      <w:color w:val="1F3F63"/>
                      <w:sz w:val="14"/>
                    </w:rPr>
                    <w:t>Gambling</w:t>
                  </w:r>
                </w:p>
              </w:tc>
              <w:tc>
                <w:tcPr>
                  <w:tcW w:w="777"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Football</w:t>
                  </w:r>
                  <w:r>
                    <w:br/>
                  </w:r>
                  <w:r>
                    <w:rPr>
                      <w:rFonts w:ascii="Calibri" w:hAnsi="Calibri" w:cs="Calibri"/>
                      <w:b/>
                      <w:i w:val="0"/>
                      <w:color w:val="1F3F63"/>
                      <w:sz w:val="14"/>
                    </w:rPr>
                    <w:t>Betting</w:t>
                  </w:r>
                </w:p>
              </w:tc>
              <w:tc>
                <w:tcPr>
                  <w:tcW w:w="777"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Lottery</w:t>
                  </w:r>
                  <w:r>
                    <w:br/>
                  </w:r>
                  <w:r>
                    <w:rPr>
                      <w:rFonts w:ascii="Calibri" w:hAnsi="Calibri" w:cs="Calibri"/>
                      <w:b/>
                      <w:i w:val="0"/>
                      <w:color w:val="1F3F63"/>
                      <w:sz w:val="14"/>
                    </w:rPr>
                    <w:t xml:space="preserve"> </w:t>
                  </w:r>
                </w:p>
              </w:tc>
              <w:tc>
                <w:tcPr>
                  <w:tcW w:w="777"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Playing</w:t>
                  </w:r>
                  <w:r>
                    <w:br/>
                  </w:r>
                  <w:r>
                    <w:rPr>
                      <w:rFonts w:ascii="Calibri" w:hAnsi="Calibri" w:cs="Calibri"/>
                      <w:b/>
                      <w:i w:val="0"/>
                      <w:color w:val="1F3F63"/>
                      <w:sz w:val="14"/>
                    </w:rPr>
                    <w:t>card</w:t>
                  </w:r>
                </w:p>
              </w:tc>
              <w:tc>
                <w:tcPr>
                  <w:tcW w:w="777"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Baccarat</w:t>
                  </w:r>
                  <w:r>
                    <w:br/>
                  </w:r>
                  <w:r>
                    <w:rPr>
                      <w:rFonts w:ascii="Calibri" w:hAnsi="Calibri" w:cs="Calibri"/>
                      <w:b/>
                      <w:i w:val="0"/>
                      <w:color w:val="1F3F63"/>
                      <w:sz w:val="14"/>
                    </w:rPr>
                    <w:t xml:space="preserve"> </w:t>
                  </w:r>
                </w:p>
              </w:tc>
            </w:tr>
            <w:tr>
              <w:trPr>
                <w:cantSplit/>
              </w:trPr>
              <w:tc>
                <w:tcPr>
                  <w:tcW w:w="2494"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F5C8F"/>
                      <w:sz w:val="15"/>
                    </w:rPr>
                    <w:t xml:space="preserve">█ </w:t>
                  </w:r>
                  <w:r>
                    <w:rPr>
                      <w:rFonts w:ascii="Calibri" w:hAnsi="Calibri" w:cs="Calibri"/>
                      <w:b w:val="0"/>
                      <w:i w:val="0"/>
                      <w:color w:val="22303C"/>
                      <w:sz w:val="15"/>
                    </w:rPr>
                    <w:t>Abbreviations</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1F3F63"/>
                  <w:tcMar>
                    <w:top w:w="62" w:type="dxa"/>
                    <w:start w:w="34" w:type="dxa"/>
                    <w:bottom w:w="62" w:type="dxa"/>
                    <w:end w:w="34" w:type="dxa"/>
                  </w:tcMar>
                </w:tcPr>
                <w:p>
                  <w:pPr>
                    <w:spacing w:before="0" w:after="0" w:line="264" w:lineRule="auto"/>
                    <w:jc w:val="center"/>
                  </w:pPr>
                  <w:r>
                    <w:rPr>
                      <w:rFonts w:ascii="Calibri" w:hAnsi="Calibri" w:cs="Calibri"/>
                      <w:b/>
                      <w:i w:val="0"/>
                      <w:color w:val="FFFFFF"/>
                      <w:sz w:val="15"/>
                    </w:rPr>
                    <w:t>1,291</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214064"/>
                  <w:tcMar>
                    <w:top w:w="62" w:type="dxa"/>
                    <w:start w:w="34" w:type="dxa"/>
                    <w:bottom w:w="62" w:type="dxa"/>
                    <w:end w:w="34" w:type="dxa"/>
                  </w:tcMar>
                </w:tcPr>
                <w:p>
                  <w:pPr>
                    <w:spacing w:before="0" w:after="0" w:line="264" w:lineRule="auto"/>
                    <w:jc w:val="center"/>
                  </w:pPr>
                  <w:r>
                    <w:rPr>
                      <w:rFonts w:ascii="Calibri" w:hAnsi="Calibri" w:cs="Calibri"/>
                      <w:b/>
                      <w:i w:val="0"/>
                      <w:color w:val="FFFFFF"/>
                      <w:sz w:val="15"/>
                    </w:rPr>
                    <w:t>1,281</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95A4B5"/>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552</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BCC6D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306</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4E8EC"/>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56</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1E5EA"/>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77</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4E8EC"/>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57</w:t>
                  </w:r>
                </w:p>
              </w:tc>
            </w:tr>
            <w:tr>
              <w:trPr>
                <w:cantSplit/>
              </w:trPr>
              <w:tc>
                <w:tcPr>
                  <w:tcW w:w="2494"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7AE60"/>
                      <w:sz w:val="15"/>
                    </w:rPr>
                    <w:t xml:space="preserve">█ </w:t>
                  </w:r>
                  <w:r>
                    <w:rPr>
                      <w:rFonts w:ascii="Calibri" w:hAnsi="Calibri" w:cs="Calibri"/>
                      <w:b w:val="0"/>
                      <w:i w:val="0"/>
                      <w:color w:val="22303C"/>
                      <w:sz w:val="15"/>
                    </w:rPr>
                    <w:t>Marketing &amp; Acquisition</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DBE0E6"/>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111</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3E7EB"/>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64</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5E9ED"/>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49</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11</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6EAEE"/>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42</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10</w:t>
                  </w:r>
                </w:p>
              </w:tc>
            </w:tr>
            <w:tr>
              <w:trPr>
                <w:cantSplit/>
              </w:trPr>
              <w:tc>
                <w:tcPr>
                  <w:tcW w:w="2494"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7D3C98"/>
                      <w:sz w:val="15"/>
                    </w:rPr>
                    <w:t xml:space="preserve">█ </w:t>
                  </w:r>
                  <w:r>
                    <w:rPr>
                      <w:rFonts w:ascii="Calibri" w:hAnsi="Calibri" w:cs="Calibri"/>
                      <w:b w:val="0"/>
                      <w:i w:val="0"/>
                      <w:color w:val="22303C"/>
                      <w:sz w:val="15"/>
                    </w:rPr>
                    <w:t>Affiliate &amp; Agent</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AED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18</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D6DCE3"/>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143</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r>
            <w:tr>
              <w:trPr>
                <w:cantSplit/>
              </w:trPr>
              <w:tc>
                <w:tcPr>
                  <w:tcW w:w="2494"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1F3F63"/>
                      <w:sz w:val="15"/>
                    </w:rPr>
                    <w:t xml:space="preserve">█ </w:t>
                  </w:r>
                  <w:r>
                    <w:rPr>
                      <w:rFonts w:ascii="Calibri" w:hAnsi="Calibri" w:cs="Calibri"/>
                      <w:b w:val="0"/>
                      <w:i w:val="0"/>
                      <w:color w:val="22303C"/>
                      <w:sz w:val="15"/>
                    </w:rPr>
                    <w:t>Deposit &amp; Withdrawal</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5E9ED"/>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50</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5E9ED"/>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48</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8ECEF"/>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29</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CEE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r>
            <w:tr>
              <w:trPr>
                <w:cantSplit/>
              </w:trPr>
              <w:tc>
                <w:tcPr>
                  <w:tcW w:w="2494"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C0392B"/>
                      <w:sz w:val="15"/>
                    </w:rPr>
                    <w:t xml:space="preserve">█ </w:t>
                  </w:r>
                  <w:r>
                    <w:rPr>
                      <w:rFonts w:ascii="Calibri" w:hAnsi="Calibri" w:cs="Calibri"/>
                      <w:b w:val="0"/>
                      <w:i w:val="0"/>
                      <w:color w:val="22303C"/>
                      <w:sz w:val="15"/>
                    </w:rPr>
                    <w:t>Promotions</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r>
            <w:tr>
              <w:trPr>
                <w:cantSplit/>
              </w:trPr>
              <w:tc>
                <w:tcPr>
                  <w:tcW w:w="2494"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9AA7B4"/>
                      <w:sz w:val="15"/>
                    </w:rPr>
                    <w:t xml:space="preserve">█ </w:t>
                  </w:r>
                  <w:r>
                    <w:rPr>
                      <w:rFonts w:ascii="Calibri" w:hAnsi="Calibri" w:cs="Calibri"/>
                      <w:b w:val="0"/>
                      <w:i w:val="0"/>
                      <w:color w:val="22303C"/>
                      <w:sz w:val="15"/>
                    </w:rPr>
                    <w:t>Vague-Evasion Terms</w:t>
                  </w: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494"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E67E22"/>
                      <w:sz w:val="15"/>
                    </w:rPr>
                    <w:t xml:space="preserve">█ </w:t>
                  </w:r>
                  <w:r>
                    <w:rPr>
                      <w:rFonts w:ascii="Calibri" w:hAnsi="Calibri" w:cs="Calibri"/>
                      <w:b w:val="0"/>
                      <w:i w:val="0"/>
                      <w:color w:val="22303C"/>
                      <w:sz w:val="15"/>
                    </w:rPr>
                    <w:t>Hashtags</w:t>
                  </w: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777"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bl>
          <w:p/>
          <w:p>
            <w:pPr>
              <w:spacing w:before="60" w:after="0" w:line="288" w:lineRule="auto"/>
            </w:pPr>
            <w:r>
              <w:rPr>
                <w:rFonts w:ascii="Calibri" w:hAnsi="Calibri" w:cs="Calibri"/>
                <w:b w:val="0"/>
                <w:i w:val="0"/>
                <w:color w:val="5A6B7A"/>
                <w:sz w:val="15"/>
              </w:rPr>
              <w:t xml:space="preserve">Scale  </w:t>
            </w:r>
            <w:r>
              <w:rPr>
                <w:rFonts w:ascii="Calibri" w:hAnsi="Calibri" w:cs="Calibri"/>
                <w:b w:val="0"/>
                <w:i w:val="0"/>
                <w:color w:val="EDF0F3"/>
                <w:sz w:val="18"/>
              </w:rPr>
              <w:t>█</w:t>
            </w:r>
            <w:r>
              <w:rPr>
                <w:rFonts w:ascii="Calibri" w:hAnsi="Calibri" w:cs="Calibri"/>
                <w:b w:val="0"/>
                <w:i w:val="0"/>
                <w:color w:val="5A6B7A"/>
                <w:sz w:val="15"/>
              </w:rPr>
              <w:t xml:space="preserve"> 1   </w:t>
            </w:r>
            <w:r>
              <w:rPr>
                <w:rFonts w:ascii="Calibri" w:hAnsi="Calibri" w:cs="Calibri"/>
                <w:b w:val="0"/>
                <w:i w:val="0"/>
                <w:color w:val="1F3F63"/>
                <w:sz w:val="18"/>
              </w:rPr>
              <w:t>█</w:t>
            </w:r>
            <w:r>
              <w:rPr>
                <w:rFonts w:ascii="Calibri" w:hAnsi="Calibri" w:cs="Calibri"/>
                <w:b w:val="0"/>
                <w:i w:val="0"/>
                <w:color w:val="5A6B7A"/>
                <w:sz w:val="15"/>
              </w:rPr>
              <w:t xml:space="preserve"> 1,291    </w:t>
            </w:r>
            <w:r>
              <w:rPr>
                <w:rFonts w:ascii="Calibri" w:hAnsi="Calibri" w:cs="Calibri"/>
                <w:b w:val="0"/>
                <w:i w:val="0"/>
                <w:color w:val="C9D2DB"/>
                <w:sz w:val="18"/>
              </w:rPr>
              <w:t>░</w:t>
            </w:r>
            <w:r>
              <w:rPr>
                <w:rFonts w:ascii="Calibri" w:hAnsi="Calibri" w:cs="Calibri"/>
                <w:b w:val="0"/>
                <w:i w:val="0"/>
                <w:color w:val="5A6B7A"/>
                <w:sz w:val="15"/>
              </w:rPr>
              <w:t xml:space="preserve"> 0, no site recorded</w:t>
            </w:r>
          </w:p>
        </w:tc>
      </w:tr>
    </w:tbl>
    <w:p>
      <w:pPr>
        <w:spacing w:before="0" w:after="0" w:line="240" w:lineRule="auto"/>
      </w:pPr>
      <w:r>
        <w:rPr>
          <w:rFonts w:ascii="Calibri" w:hAnsi="Calibri" w:cs="Calibri"/>
          <w:b w:val="0"/>
          <w:i w:val="0"/>
          <w:color w:val="22303C"/>
          <w:sz w:val="24"/>
        </w:rPr>
      </w:r>
    </w:p>
    <w:p>
      <w:bookmarkStart w:id="1019" w:name="Brandsandclustering"/>
      <w:pPr>
        <w:pStyle w:val="Heading1"/>
        <w:spacing w:before="280" w:after="120"/>
      </w:pPr>
      <w:bookmarkEnd w:id="1019"/>
      <w:r>
        <w:rPr>
          <w:rFonts w:ascii="Calibri" w:hAnsi="Calibri" w:cs="Calibri"/>
          <w:b/>
          <w:i w:val="0"/>
          <w:color w:val="1F3F63"/>
          <w:sz w:val="32"/>
        </w:rPr>
        <w:t>Brands and clustering</w:t>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0" w:name="Whatbrandclustersare"/>
            <w:pPr>
              <w:pStyle w:val="Heading2"/>
              <w:spacing w:before="0" w:after="100"/>
            </w:pPr>
            <w:bookmarkEnd w:id="1020"/>
            <w:r>
              <w:rPr>
                <w:rFonts w:ascii="Calibri" w:hAnsi="Calibri" w:cs="Calibri"/>
                <w:b/>
                <w:i w:val="0"/>
                <w:color w:val="1F3F63"/>
                <w:sz w:val="23"/>
              </w:rPr>
              <w:t>What brand clusters are</w:t>
            </w:r>
          </w:p>
          <w:p>
            <w:pPr>
              <w:spacing w:before="0" w:after="40" w:line="307" w:lineRule="auto"/>
            </w:pPr>
            <w:r>
              <w:rPr>
                <w:rFonts w:ascii="Calibri" w:hAnsi="Calibri" w:cs="Calibri"/>
                <w:b/>
                <w:i w:val="0"/>
                <w:color w:val="1F3F63"/>
                <w:sz w:val="20"/>
              </w:rPr>
              <w:t>What a cluster is</w:t>
            </w:r>
          </w:p>
          <w:p>
            <w:pPr>
              <w:spacing w:before="0" w:after="100" w:line="307" w:lineRule="auto"/>
            </w:pPr>
            <w:r>
              <w:rPr>
                <w:rFonts w:ascii="Calibri" w:hAnsi="Calibri" w:cs="Calibri"/>
                <w:b w:val="0"/>
                <w:i w:val="0"/>
                <w:color w:val="22303C"/>
                <w:sz w:val="19"/>
              </w:rPr>
              <w:t>A brand cluster is a group of domains that appear linked by naming pattern, redirect behaviour, crawler relationship or shared brand stem. SICPADetect links domains in three ways. The crawler found one domain as a variant of, or a redirect from, another, and this crawler relationship is the strongest basis. The domain names reduce to the same brand stem once market tags, version numbers and suffixes are removed. Or the stems differ by only a few trailing characters. A domain linked to no other is a singleton. In the largest cluster, jun-08.com and jun-68.com both reduce to the stem jun.</w:t>
            </w:r>
          </w:p>
          <w:p>
            <w:pPr>
              <w:spacing w:before="0" w:after="40" w:line="307" w:lineRule="auto"/>
            </w:pPr>
            <w:r>
              <w:rPr>
                <w:rFonts w:ascii="Calibri" w:hAnsi="Calibri" w:cs="Calibri"/>
                <w:b/>
                <w:i w:val="0"/>
                <w:color w:val="1F3F63"/>
                <w:sz w:val="20"/>
              </w:rPr>
              <w:t>Why clusters matter</w:t>
            </w:r>
          </w:p>
          <w:p>
            <w:pPr>
              <w:spacing w:before="0" w:after="40" w:line="307" w:lineRule="auto"/>
            </w:pPr>
            <w:r>
              <w:rPr>
                <w:rFonts w:ascii="Calibri" w:hAnsi="Calibri" w:cs="Calibri"/>
                <w:b w:val="0"/>
                <w:i w:val="0"/>
                <w:color w:val="22303C"/>
                <w:sz w:val="19"/>
              </w:rPr>
              <w:t>Gambling operators often register many related domains, rotate top-level domains and redirect users between them, so a new address can replace a blocked one. A URL count therefore gives more addresses than there are distinct operations behind them. Clusters show how many distinct operations appear in the identified gambling URLs, how concentrated those URLs are, and which clusters offer several product types. Acting on a cluster can cover all of its related domains in one step. Clusters are an indicative analytical grouping based on names and crawler links. They do not establish legal ownership, and the possible operator linkage table is indicative in the same way.</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2268"/>
        <w:gridCol w:w="2268"/>
        <w:gridCol w:w="2268"/>
        <w:gridCol w:w="2268"/>
      </w:tblGrid>
      <w:tr>
        <w:trPr>
          <w:cantSplit/>
        </w:trPr>
        <w:tc>
          <w:tcPr>
            <w:tcW w:w="214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91</w:t>
            </w:r>
          </w:p>
          <w:p>
            <w:pPr>
              <w:spacing w:before="0" w:after="0" w:line="276" w:lineRule="auto"/>
            </w:pPr>
            <w:r>
              <w:rPr>
                <w:rFonts w:ascii="Calibri" w:hAnsi="Calibri" w:cs="Calibri"/>
                <w:b w:val="0"/>
                <w:i w:val="0"/>
                <w:color w:val="5A6B7A"/>
                <w:sz w:val="16"/>
              </w:rPr>
              <w:t>Distinct clusters</w:t>
            </w:r>
          </w:p>
        </w:tc>
        <w:tc>
          <w:tcPr>
            <w:tcW w:w="214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42</w:t>
            </w:r>
          </w:p>
          <w:p>
            <w:pPr>
              <w:spacing w:before="0" w:after="0" w:line="276" w:lineRule="auto"/>
            </w:pPr>
            <w:r>
              <w:rPr>
                <w:rFonts w:ascii="Calibri" w:hAnsi="Calibri" w:cs="Calibri"/>
                <w:b w:val="0"/>
                <w:i w:val="0"/>
                <w:color w:val="5A6B7A"/>
                <w:sz w:val="16"/>
              </w:rPr>
              <w:t>Clusters with 2 or more URLs</w:t>
            </w:r>
          </w:p>
        </w:tc>
        <w:tc>
          <w:tcPr>
            <w:tcW w:w="214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49</w:t>
            </w:r>
          </w:p>
          <w:p>
            <w:pPr>
              <w:spacing w:before="0" w:after="0" w:line="276" w:lineRule="auto"/>
            </w:pPr>
            <w:r>
              <w:rPr>
                <w:rFonts w:ascii="Calibri" w:hAnsi="Calibri" w:cs="Calibri"/>
                <w:b w:val="0"/>
                <w:i w:val="0"/>
                <w:color w:val="5A6B7A"/>
                <w:sz w:val="16"/>
              </w:rPr>
              <w:t>Singletons</w:t>
            </w:r>
          </w:p>
        </w:tc>
        <w:tc>
          <w:tcPr>
            <w:tcW w:w="214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1</w:t>
            </w:r>
          </w:p>
          <w:p>
            <w:pPr>
              <w:spacing w:before="0" w:after="0" w:line="276" w:lineRule="auto"/>
            </w:pPr>
            <w:r>
              <w:rPr>
                <w:rFonts w:ascii="Calibri" w:hAnsi="Calibri" w:cs="Calibri"/>
                <w:b w:val="0"/>
                <w:i w:val="0"/>
                <w:color w:val="5A6B7A"/>
                <w:sz w:val="16"/>
              </w:rPr>
              <w:t>Clusters covering half of identified gambling URLs</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1" w:name="Top15brandclustersbyURLcount"/>
            <w:pPr>
              <w:pStyle w:val="Heading2"/>
              <w:spacing w:before="0" w:after="100"/>
            </w:pPr>
            <w:bookmarkEnd w:id="1021"/>
            <w:r>
              <w:rPr>
                <w:rFonts w:ascii="Calibri" w:hAnsi="Calibri" w:cs="Calibri"/>
                <w:b/>
                <w:i w:val="0"/>
                <w:color w:val="1F3F63"/>
                <w:sz w:val="23"/>
              </w:rPr>
              <w:t>Top 15 brand clusters by URL count</w:t>
            </w:r>
          </w:p>
          <w:p>
            <w:pPr>
              <w:spacing w:before="0" w:after="80" w:line="300" w:lineRule="auto"/>
            </w:pPr>
            <w:r>
              <w:rPr>
                <w:rFonts w:ascii="Calibri" w:hAnsi="Calibri" w:cs="Calibri"/>
                <w:b w:val="0"/>
                <w:i w:val="0"/>
                <w:color w:val="22303C"/>
                <w:sz w:val="18"/>
              </w:rPr>
              <w:t>Each bar is one brand cluster. Bar length is the number of domains the cluster holds.</w:t>
            </w:r>
          </w:p>
          <w:p>
            <w:pPr>
              <w:spacing w:before="60" w:after="80"/>
              <w:jc w:val="center"/>
            </w:pPr>
            <w:r>
              <w:drawing>
                <wp:inline xmlns:a="http://schemas.openxmlformats.org/drawingml/2006/main" xmlns:pic="http://schemas.openxmlformats.org/drawingml/2006/picture">
                  <wp:extent cx="5040000" cy="3986441"/>
                  <wp:docPr id="6" name="Picture 6"/>
                  <wp:cNvGraphicFramePr>
                    <a:graphicFrameLocks noChangeAspect="1"/>
                  </wp:cNvGraphicFramePr>
                  <a:graphic>
                    <a:graphicData uri="http://schemas.openxmlformats.org/drawingml/2006/picture">
                      <pic:pic>
                        <pic:nvPicPr>
                          <pic:cNvPr id="0" name="e2.png"/>
                          <pic:cNvPicPr/>
                        </pic:nvPicPr>
                        <pic:blipFill>
                          <a:blip r:embed="rId14"/>
                          <a:stretch>
                            <a:fillRect/>
                          </a:stretch>
                        </pic:blipFill>
                        <pic:spPr>
                          <a:xfrm>
                            <a:off x="0" y="0"/>
                            <a:ext cx="5040000" cy="3986441"/>
                          </a:xfrm>
                          <a:prstGeom prst="rect"/>
                        </pic:spPr>
                      </pic:pic>
                    </a:graphicData>
                  </a:graphic>
                </wp:inline>
              </w:drawing>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2" w:name="HeatmapBrandclustersubcategory"/>
            <w:pPr>
              <w:pStyle w:val="Heading2"/>
              <w:spacing w:before="0" w:after="100"/>
            </w:pPr>
            <w:bookmarkEnd w:id="1022"/>
            <w:r>
              <w:rPr>
                <w:rFonts w:ascii="Calibri" w:hAnsi="Calibri" w:cs="Calibri"/>
                <w:b/>
                <w:i w:val="0"/>
                <w:color w:val="1F3F63"/>
                <w:sz w:val="23"/>
              </w:rPr>
              <w:t>Heat map – Brand cluster × subcategory</w:t>
            </w:r>
          </w:p>
          <w:p>
            <w:pPr>
              <w:spacing w:before="0" w:after="80" w:line="300" w:lineRule="auto"/>
            </w:pPr>
            <w:r>
              <w:rPr>
                <w:rFonts w:ascii="Calibri" w:hAnsi="Calibri" w:cs="Calibri"/>
                <w:b w:val="0"/>
                <w:i w:val="0"/>
                <w:color w:val="22303C"/>
                <w:sz w:val="18"/>
              </w:rPr>
              <w:t>Brand clusters against product subcategory. Each cell is the number of URLs a cluster holds in that subcategory.</w:t>
            </w:r>
          </w:p>
          <w:tbl>
            <w:tblPr>
              <w:tblW w:type="auto" w:w="0"/>
              <w:jc w:val="left"/>
              <w:tblLayout w:type="fixed"/>
              <w:tblLook w:firstColumn="1" w:firstRow="1" w:lastColumn="0" w:lastRow="0" w:noHBand="0" w:noVBand="1" w:val="04A0"/>
            </w:tblPr>
            <w:tblGrid>
              <w:gridCol w:w="1134"/>
              <w:gridCol w:w="1134"/>
              <w:gridCol w:w="1134"/>
              <w:gridCol w:w="1134"/>
              <w:gridCol w:w="1134"/>
              <w:gridCol w:w="1134"/>
              <w:gridCol w:w="1134"/>
              <w:gridCol w:w="1134"/>
            </w:tblGrid>
            <w:tr>
              <w:trPr>
                <w:cantSplit/>
              </w:trPr>
              <w:tc>
                <w:tcPr>
                  <w:tcW w:w="2041"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pPr>
                </w:p>
              </w:tc>
              <w:tc>
                <w:tcPr>
                  <w:tcW w:w="842"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Casino</w:t>
                  </w:r>
                  <w:r>
                    <w:br/>
                  </w:r>
                  <w:r>
                    <w:rPr>
                      <w:rFonts w:ascii="Calibri" w:hAnsi="Calibri" w:cs="Calibri"/>
                      <w:b/>
                      <w:i w:val="0"/>
                      <w:color w:val="1F3F63"/>
                      <w:sz w:val="14"/>
                    </w:rPr>
                    <w:t xml:space="preserve"> </w:t>
                  </w:r>
                </w:p>
              </w:tc>
              <w:tc>
                <w:tcPr>
                  <w:tcW w:w="842"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Slots</w:t>
                  </w:r>
                  <w:r>
                    <w:br/>
                  </w:r>
                  <w:r>
                    <w:rPr>
                      <w:rFonts w:ascii="Calibri" w:hAnsi="Calibri" w:cs="Calibri"/>
                      <w:b/>
                      <w:i w:val="0"/>
                      <w:color w:val="1F3F63"/>
                      <w:sz w:val="14"/>
                    </w:rPr>
                    <w:t xml:space="preserve"> </w:t>
                  </w:r>
                </w:p>
              </w:tc>
              <w:tc>
                <w:tcPr>
                  <w:tcW w:w="842"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General</w:t>
                  </w:r>
                  <w:r>
                    <w:br/>
                  </w:r>
                  <w:r>
                    <w:rPr>
                      <w:rFonts w:ascii="Calibri" w:hAnsi="Calibri" w:cs="Calibri"/>
                      <w:b/>
                      <w:i w:val="0"/>
                      <w:color w:val="1F3F63"/>
                      <w:sz w:val="14"/>
                    </w:rPr>
                    <w:t>Gambling</w:t>
                  </w:r>
                </w:p>
              </w:tc>
              <w:tc>
                <w:tcPr>
                  <w:tcW w:w="842"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Football</w:t>
                  </w:r>
                  <w:r>
                    <w:br/>
                  </w:r>
                  <w:r>
                    <w:rPr>
                      <w:rFonts w:ascii="Calibri" w:hAnsi="Calibri" w:cs="Calibri"/>
                      <w:b/>
                      <w:i w:val="0"/>
                      <w:color w:val="1F3F63"/>
                      <w:sz w:val="14"/>
                    </w:rPr>
                    <w:t>Betting</w:t>
                  </w:r>
                </w:p>
              </w:tc>
              <w:tc>
                <w:tcPr>
                  <w:tcW w:w="842"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Playing</w:t>
                  </w:r>
                  <w:r>
                    <w:br/>
                  </w:r>
                  <w:r>
                    <w:rPr>
                      <w:rFonts w:ascii="Calibri" w:hAnsi="Calibri" w:cs="Calibri"/>
                      <w:b/>
                      <w:i w:val="0"/>
                      <w:color w:val="1F3F63"/>
                      <w:sz w:val="14"/>
                    </w:rPr>
                    <w:t>card</w:t>
                  </w:r>
                </w:p>
              </w:tc>
              <w:tc>
                <w:tcPr>
                  <w:tcW w:w="842"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Lottery</w:t>
                  </w:r>
                  <w:r>
                    <w:br/>
                  </w:r>
                  <w:r>
                    <w:rPr>
                      <w:rFonts w:ascii="Calibri" w:hAnsi="Calibri" w:cs="Calibri"/>
                      <w:b/>
                      <w:i w:val="0"/>
                      <w:color w:val="1F3F63"/>
                      <w:sz w:val="14"/>
                    </w:rPr>
                    <w:t xml:space="preserve"> </w:t>
                  </w:r>
                </w:p>
              </w:tc>
              <w:tc>
                <w:tcPr>
                  <w:tcW w:w="842" w:type="dxa"/>
                  <w:tcBorders>
                    <w:top w:val="nil"/>
                    <w:left w:val="nil"/>
                    <w:bottom w:val="single" w:sz="4" w:space="0" w:color="C9D2DB"/>
                    <w:right w:val="nil"/>
                    <w:insideH w:val="nil"/>
                    <w:insideV w:val="nil"/>
                  </w:tcBorders>
                  <w:tcMar>
                    <w:top w:w="56" w:type="dxa"/>
                    <w:start w:w="56" w:type="dxa"/>
                    <w:bottom w:w="90" w:type="dxa"/>
                    <w:end w:w="56" w:type="dxa"/>
                  </w:tcMar>
                </w:tcPr>
                <w:p>
                  <w:pPr>
                    <w:spacing w:before="0" w:after="0" w:line="254" w:lineRule="auto"/>
                    <w:jc w:val="center"/>
                  </w:pPr>
                  <w:r>
                    <w:rPr>
                      <w:rFonts w:ascii="Calibri" w:hAnsi="Calibri" w:cs="Calibri"/>
                      <w:b/>
                      <w:i w:val="0"/>
                      <w:color w:val="1F3F63"/>
                      <w:sz w:val="14"/>
                    </w:rPr>
                    <w:t>Baccarat</w:t>
                  </w:r>
                  <w:r>
                    <w:br/>
                  </w:r>
                  <w:r>
                    <w:rPr>
                      <w:rFonts w:ascii="Calibri" w:hAnsi="Calibri" w:cs="Calibri"/>
                      <w:b/>
                      <w:i w:val="0"/>
                      <w:color w:val="1F3F63"/>
                      <w:sz w:val="14"/>
                    </w:rPr>
                    <w:t xml:space="preserve"> </w:t>
                  </w: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8</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1F3F63"/>
                  <w:tcMar>
                    <w:top w:w="62" w:type="dxa"/>
                    <w:start w:w="34" w:type="dxa"/>
                    <w:bottom w:w="62" w:type="dxa"/>
                    <w:end w:w="34" w:type="dxa"/>
                  </w:tcMar>
                </w:tcPr>
                <w:p>
                  <w:pPr>
                    <w:spacing w:before="0" w:after="0" w:line="264" w:lineRule="auto"/>
                    <w:jc w:val="center"/>
                  </w:pPr>
                  <w:r>
                    <w:rPr>
                      <w:rFonts w:ascii="Calibri" w:hAnsi="Calibri" w:cs="Calibri"/>
                      <w:b/>
                      <w:i w:val="0"/>
                      <w:color w:val="FFFFFF"/>
                      <w:sz w:val="15"/>
                    </w:rPr>
                    <w:t>3,086</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46617E"/>
                  <w:tcMar>
                    <w:top w:w="62" w:type="dxa"/>
                    <w:start w:w="34" w:type="dxa"/>
                    <w:bottom w:w="62" w:type="dxa"/>
                    <w:end w:w="34" w:type="dxa"/>
                  </w:tcMar>
                </w:tcPr>
                <w:p>
                  <w:pPr>
                    <w:spacing w:before="0" w:after="0" w:line="264" w:lineRule="auto"/>
                    <w:jc w:val="center"/>
                  </w:pPr>
                  <w:r>
                    <w:rPr>
                      <w:rFonts w:ascii="Calibri" w:hAnsi="Calibri" w:cs="Calibri"/>
                      <w:b/>
                      <w:i w:val="0"/>
                      <w:color w:val="FFFFFF"/>
                      <w:sz w:val="15"/>
                    </w:rPr>
                    <w:t>2,499</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92A2B3"/>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1,358</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B0BBC8"/>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911</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DDE2E7"/>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238</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4E8EC"/>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133</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5E9ED"/>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119</w:t>
                  </w: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lott</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14</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8ECEF"/>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72</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s8s</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8</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BEEF1"/>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35</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m88thcasino</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13</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E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20</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03p</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15</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7</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08vn</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10</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betflixbr</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15</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fun</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hizy</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33win</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C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9</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5</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bra</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betitall</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8</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wasp</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nextspin</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7afun</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ruay</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6</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kfc</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3</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1</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fa99ae</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pigauto</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EF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4</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r>
              <w:trPr>
                <w:cantSplit/>
              </w:trPr>
              <w:tc>
                <w:tcPr>
                  <w:tcW w:w="2041" w:type="dxa"/>
                  <w:tcBorders>
                    <w:top w:val="nil"/>
                    <w:left w:val="nil"/>
                    <w:bottom w:val="single" w:sz="2" w:space="0" w:color="C9D2DB"/>
                    <w:right w:val="nil"/>
                    <w:insideH w:val="nil"/>
                    <w:insideV w:val="nil"/>
                  </w:tcBorders>
                  <w:tcMar>
                    <w:top w:w="56" w:type="dxa"/>
                    <w:start w:w="56" w:type="dxa"/>
                    <w:bottom w:w="56" w:type="dxa"/>
                    <w:end w:w="90" w:type="dxa"/>
                  </w:tcMar>
                </w:tcPr>
                <w:p>
                  <w:pPr>
                    <w:spacing w:before="0" w:after="0" w:line="269" w:lineRule="auto"/>
                  </w:pPr>
                  <w:r>
                    <w:rPr>
                      <w:rFonts w:ascii="Calibri" w:hAnsi="Calibri" w:cs="Calibri"/>
                      <w:b w:val="0"/>
                      <w:i w:val="0"/>
                      <w:color w:val="22303C"/>
                      <w:sz w:val="15"/>
                    </w:rPr>
                    <w:t>pgsoftgames</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FFFFFF"/>
                    <w:left w:val="single" w:sz="2" w:space="0" w:color="FFFFFF"/>
                    <w:bottom w:val="single" w:sz="2" w:space="0" w:color="FFFFFF"/>
                    <w:right w:val="single" w:sz="2" w:space="0" w:color="FFFFFF"/>
                    <w:insideH w:val="nil"/>
                    <w:insideV w:val="nil"/>
                  </w:tcBorders>
                  <w:shd w:val="clear" w:color="auto" w:fill="EDF0F2"/>
                  <w:tcMar>
                    <w:top w:w="62" w:type="dxa"/>
                    <w:start w:w="34" w:type="dxa"/>
                    <w:bottom w:w="62" w:type="dxa"/>
                    <w:end w:w="34" w:type="dxa"/>
                  </w:tcMar>
                </w:tcPr>
                <w:p>
                  <w:pPr>
                    <w:spacing w:before="0" w:after="0" w:line="264" w:lineRule="auto"/>
                    <w:jc w:val="center"/>
                  </w:pPr>
                  <w:r>
                    <w:rPr>
                      <w:rFonts w:ascii="Calibri" w:hAnsi="Calibri" w:cs="Calibri"/>
                      <w:b w:val="0"/>
                      <w:i w:val="0"/>
                      <w:color w:val="22303C"/>
                      <w:sz w:val="15"/>
                    </w:rPr>
                    <w:t>2</w:t>
                  </w: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c>
                <w:tcPr>
                  <w:tcW w:w="842" w:type="dxa"/>
                  <w:tcBorders>
                    <w:top w:val="single" w:sz="2" w:space="0" w:color="C9D2DB"/>
                    <w:left w:val="single" w:sz="2" w:space="0" w:color="C9D2DB"/>
                    <w:bottom w:val="single" w:sz="2" w:space="0" w:color="C9D2DB"/>
                    <w:right w:val="single" w:sz="2" w:space="0" w:color="C9D2DB"/>
                    <w:insideH w:val="nil"/>
                    <w:insideV w:val="nil"/>
                  </w:tcBorders>
                  <w:tcMar>
                    <w:top w:w="62" w:type="dxa"/>
                    <w:start w:w="34" w:type="dxa"/>
                    <w:bottom w:w="62" w:type="dxa"/>
                    <w:end w:w="34" w:type="dxa"/>
                  </w:tcMar>
                </w:tcPr>
                <w:p>
                  <w:pPr>
                    <w:spacing w:before="0" w:after="0" w:line="264" w:lineRule="auto"/>
                    <w:jc w:val="center"/>
                  </w:pPr>
                </w:p>
              </w:tc>
            </w:tr>
          </w:tbl>
          <w:p/>
          <w:p>
            <w:pPr>
              <w:spacing w:before="60" w:after="0" w:line="288" w:lineRule="auto"/>
            </w:pPr>
            <w:r>
              <w:rPr>
                <w:rFonts w:ascii="Calibri" w:hAnsi="Calibri" w:cs="Calibri"/>
                <w:b w:val="0"/>
                <w:i w:val="0"/>
                <w:color w:val="5A6B7A"/>
                <w:sz w:val="15"/>
              </w:rPr>
              <w:t xml:space="preserve">Scale  </w:t>
            </w:r>
            <w:r>
              <w:rPr>
                <w:rFonts w:ascii="Calibri" w:hAnsi="Calibri" w:cs="Calibri"/>
                <w:b w:val="0"/>
                <w:i w:val="0"/>
                <w:color w:val="EDF0F3"/>
                <w:sz w:val="18"/>
              </w:rPr>
              <w:t>█</w:t>
            </w:r>
            <w:r>
              <w:rPr>
                <w:rFonts w:ascii="Calibri" w:hAnsi="Calibri" w:cs="Calibri"/>
                <w:b w:val="0"/>
                <w:i w:val="0"/>
                <w:color w:val="5A6B7A"/>
                <w:sz w:val="15"/>
              </w:rPr>
              <w:t xml:space="preserve"> 1   </w:t>
            </w:r>
            <w:r>
              <w:rPr>
                <w:rFonts w:ascii="Calibri" w:hAnsi="Calibri" w:cs="Calibri"/>
                <w:b w:val="0"/>
                <w:i w:val="0"/>
                <w:color w:val="1F3F63"/>
                <w:sz w:val="18"/>
              </w:rPr>
              <w:t>█</w:t>
            </w:r>
            <w:r>
              <w:rPr>
                <w:rFonts w:ascii="Calibri" w:hAnsi="Calibri" w:cs="Calibri"/>
                <w:b w:val="0"/>
                <w:i w:val="0"/>
                <w:color w:val="5A6B7A"/>
                <w:sz w:val="15"/>
              </w:rPr>
              <w:t xml:space="preserve"> 3,086    </w:t>
            </w:r>
            <w:r>
              <w:rPr>
                <w:rFonts w:ascii="Calibri" w:hAnsi="Calibri" w:cs="Calibri"/>
                <w:b w:val="0"/>
                <w:i w:val="0"/>
                <w:color w:val="C9D2DB"/>
                <w:sz w:val="18"/>
              </w:rPr>
              <w:t>░</w:t>
            </w:r>
            <w:r>
              <w:rPr>
                <w:rFonts w:ascii="Calibri" w:hAnsi="Calibri" w:cs="Calibri"/>
                <w:b w:val="0"/>
                <w:i w:val="0"/>
                <w:color w:val="5A6B7A"/>
                <w:sz w:val="15"/>
              </w:rPr>
              <w:t xml:space="preserve"> 0, no site recorded</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3" w:name="Clusterexpansion8"/>
            <w:pPr>
              <w:pStyle w:val="Heading2"/>
              <w:spacing w:before="0" w:after="100"/>
            </w:pPr>
            <w:bookmarkEnd w:id="1023"/>
            <w:r>
              <w:rPr>
                <w:rFonts w:ascii="Calibri" w:hAnsi="Calibri" w:cs="Calibri"/>
                <w:b/>
                <w:i w:val="0"/>
                <w:color w:val="1F3F63"/>
                <w:sz w:val="23"/>
              </w:rPr>
              <w:t>Cluster expansion – 8</w:t>
            </w:r>
          </w:p>
          <w:p>
            <w:pPr>
              <w:spacing w:before="0" w:after="80" w:line="300" w:lineRule="auto"/>
            </w:pPr>
            <w:r>
              <w:rPr>
                <w:rFonts w:ascii="Calibri" w:hAnsi="Calibri" w:cs="Calibri"/>
                <w:b w:val="0"/>
                <w:i w:val="0"/>
                <w:color w:val="22303C"/>
                <w:sz w:val="18"/>
              </w:rPr>
              <w:t>The largest brand cluster and its member domains. Edge style records why each domain joined the cluster.</w:t>
            </w:r>
          </w:p>
          <w:p>
            <w:pPr>
              <w:spacing w:before="60" w:after="80"/>
              <w:jc w:val="center"/>
            </w:pPr>
            <w:r>
              <w:drawing>
                <wp:inline xmlns:a="http://schemas.openxmlformats.org/drawingml/2006/main" xmlns:pic="http://schemas.openxmlformats.org/drawingml/2006/picture">
                  <wp:extent cx="5040000" cy="3649459"/>
                  <wp:docPr id="7" name="Picture 7"/>
                  <wp:cNvGraphicFramePr>
                    <a:graphicFrameLocks noChangeAspect="1"/>
                  </wp:cNvGraphicFramePr>
                  <a:graphic>
                    <a:graphicData uri="http://schemas.openxmlformats.org/drawingml/2006/picture">
                      <pic:pic>
                        <pic:nvPicPr>
                          <pic:cNvPr id="0" name="e4.png"/>
                          <pic:cNvPicPr/>
                        </pic:nvPicPr>
                        <pic:blipFill>
                          <a:blip r:embed="rId15"/>
                          <a:stretch>
                            <a:fillRect/>
                          </a:stretch>
                        </pic:blipFill>
                        <pic:spPr>
                          <a:xfrm>
                            <a:off x="0" y="0"/>
                            <a:ext cx="5040000" cy="3649459"/>
                          </a:xfrm>
                          <a:prstGeom prst="rect"/>
                        </pic:spPr>
                      </pic:pic>
                    </a:graphicData>
                  </a:graphic>
                </wp:inline>
              </w:drawing>
            </w:r>
          </w:p>
          <w:p>
            <w:pPr>
              <w:spacing w:before="60" w:after="20" w:line="300" w:lineRule="auto"/>
            </w:pPr>
            <w:r>
              <w:rPr>
                <w:rFonts w:ascii="Calibri" w:hAnsi="Calibri" w:cs="Calibri"/>
                <w:b w:val="0"/>
                <w:i w:val="0"/>
                <w:color w:val="5A6B7A"/>
                <w:sz w:val="16"/>
              </w:rPr>
              <w:t>The diagram shows 16 of the 8,344 URLs in this cluster, named by their registrable domain. Most members joined through a crawler seed link, which means SICPADetect reached them as a variant of, or a redirect from, another member.</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4" w:name="Clustersspanningmultiplesubcategorie"/>
            <w:pPr>
              <w:pStyle w:val="Heading2"/>
              <w:spacing w:before="0" w:after="100"/>
            </w:pPr>
            <w:bookmarkEnd w:id="1024"/>
            <w:r>
              <w:rPr>
                <w:rFonts w:ascii="Calibri" w:hAnsi="Calibri" w:cs="Calibri"/>
                <w:b/>
                <w:i w:val="0"/>
                <w:color w:val="1F3F63"/>
                <w:sz w:val="23"/>
              </w:rPr>
              <w:t>Clusters spanning multiple subcategories</w:t>
            </w:r>
          </w:p>
          <w:tbl>
            <w:tblPr>
              <w:tblW w:type="auto" w:w="0"/>
              <w:jc w:val="left"/>
              <w:tblLayout w:type="fixed"/>
              <w:tblLook w:firstColumn="1" w:firstRow="1" w:lastColumn="0" w:lastRow="0" w:noHBand="0" w:noVBand="1" w:val="04A0"/>
            </w:tblPr>
            <w:tblGrid>
              <w:gridCol w:w="2268"/>
              <w:gridCol w:w="2268"/>
              <w:gridCol w:w="2268"/>
              <w:gridCol w:w="2268"/>
            </w:tblGrid>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Cluster</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URL count</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Subcategories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Suffixes</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8</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8,344</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Baccarat, Casino, Football Betting, General Gambling, Lottery, Playing card,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.net .vip .cc .pro .bet</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lott</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109</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Football Betting, General Gambling, Lottery, Playing card,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.net .online .click .cc .live</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s8s</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53</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Football Betting, General Gambling, Playing card,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m88thcasino</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34</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General Gambling,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.club .co .live .net .online</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03p</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30</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Football Betting, General Gambling, Playing card,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.club .pro .bet .app .click .top</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08vn</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20</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General Gambling,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.uk .xyz .vip .pro .app</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betflixbr</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19</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fun</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18</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Football Betting, General Gambling,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.tours</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hizy</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16</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Football Betting,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.bet .club .app .net .fun .pro</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33win</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14</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Playing card,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 .online .info .net .nl .app</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bra</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11</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Football Betting, General Gambling,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.live .bet .app .vip .bf</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betitall</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Football Betting</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.click</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wasp</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General Gambling,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.vip .bet .live</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nextspin</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7</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.vip .me .pro .com .xyz</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7afun</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7</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General Gambling,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.vip .top .xyz</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ruay</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7</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.app .co .club .click .net</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kfc</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6</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Playing card,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.xyz .bet</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fa99ae</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6</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General Gambling,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.in</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pgsoftgames</w:t>
                  </w:r>
                </w:p>
              </w:tc>
              <w:tc>
                <w:tcPr>
                  <w:tcW w:w="113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4</w:t>
                  </w:r>
                </w:p>
              </w:tc>
              <w:tc>
                <w:tcPr>
                  <w:tcW w:w="3288"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.live .online</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winsiam</w:t>
                  </w:r>
                </w:p>
              </w:tc>
              <w:tc>
                <w:tcPr>
                  <w:tcW w:w="113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4</w:t>
                  </w:r>
                </w:p>
              </w:tc>
              <w:tc>
                <w:tcPr>
                  <w:tcW w:w="3288"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 Football Betting, Playing card, Slots</w:t>
                  </w:r>
                </w:p>
              </w:tc>
              <w:tc>
                <w:tcPr>
                  <w:tcW w:w="204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.vip .ai</w:t>
                  </w:r>
                </w:p>
              </w:tc>
            </w:tr>
          </w:tbl>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5" w:name="Clustersrotatingtopleveldomains"/>
            <w:pPr>
              <w:pStyle w:val="Heading2"/>
              <w:spacing w:before="0" w:after="100"/>
            </w:pPr>
            <w:bookmarkEnd w:id="1025"/>
            <w:r>
              <w:rPr>
                <w:rFonts w:ascii="Calibri" w:hAnsi="Calibri" w:cs="Calibri"/>
                <w:b/>
                <w:i w:val="0"/>
                <w:color w:val="1F3F63"/>
                <w:sz w:val="23"/>
              </w:rPr>
              <w:t>Clusters rotating top-level domains</w:t>
            </w:r>
          </w:p>
          <w:tbl>
            <w:tblPr>
              <w:tblW w:type="auto" w:w="0"/>
              <w:jc w:val="left"/>
              <w:tblLayout w:type="fixed"/>
              <w:tblLook w:firstColumn="1" w:firstRow="1" w:lastColumn="0" w:lastRow="0" w:noHBand="0" w:noVBand="1" w:val="04A0"/>
            </w:tblPr>
            <w:tblGrid>
              <w:gridCol w:w="3024"/>
              <w:gridCol w:w="3024"/>
              <w:gridCol w:w="3024"/>
            </w:tblGrid>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Cluster</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Suffixes</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Counts</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8</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.net .vip .cc .pro .bet</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1036 936 840 620 581 573</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m88thcasino</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.club .co .live .net .online</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2 2 2 2 2 2</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lott</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.net .online .click .cc .live</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63 9 4 4 4 4</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03p</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.club .pro .bet .app .click .top</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6 5 4 3 3 2</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33win</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 .online .info .net .nl .app</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3 2 2 2 1 1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08vn</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.uk .xyz .vip .pro .app</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6 5 3 2 2 1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hizy</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.bet .club .app .net .fun .pro</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4 3 3 2 2 1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bra</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.live .bet .app .vip .bf</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4 2 2 1 1 1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nextspin</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.vip .me .pro .com .xyz</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2 2 1 1 1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ruay</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.app .co .club .click .net</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2 2 1 1 1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wasp</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.vip .bet .live</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7 1 1 1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7afun</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.vip .top .xyz</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4 1 1 1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kfc</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.xyz .bet</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4 1 1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pigauto</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 .com .info</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2 1 1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rx168</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.xyz .vip .site</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casino5s</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.vip .com .me</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pgslots</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.shop .win</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memberbfk</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.win .biz .tv</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woloplay</w:t>
                  </w:r>
                </w:p>
              </w:tc>
              <w:tc>
                <w:tcPr>
                  <w:tcW w:w="3742"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.com .net .app</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1 1 1</w:t>
                  </w:r>
                </w:p>
              </w:tc>
            </w:tr>
            <w:tr>
              <w:trPr>
                <w:cantSplit/>
              </w:trPr>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fun</w:t>
                  </w:r>
                </w:p>
              </w:tc>
              <w:tc>
                <w:tcPr>
                  <w:tcW w:w="3742"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.com .tours</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17 1</w:t>
                  </w:r>
                </w:p>
              </w:tc>
            </w:tr>
          </w:tbl>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6" w:name="Possibleoperatorlinkage"/>
            <w:pPr>
              <w:pStyle w:val="Heading2"/>
              <w:spacing w:before="0" w:after="40"/>
            </w:pPr>
            <w:bookmarkEnd w:id="1026"/>
            <w:r>
              <w:rPr>
                <w:rFonts w:ascii="Calibri" w:hAnsi="Calibri" w:cs="Calibri"/>
                <w:b/>
                <w:i w:val="0"/>
                <w:color w:val="1F3F63"/>
                <w:sz w:val="23"/>
              </w:rPr>
              <w:t>Possible operator linkage</w:t>
            </w:r>
          </w:p>
          <w:p>
            <w:pPr>
              <w:spacing w:before="0" w:after="100" w:line="307" w:lineRule="auto"/>
            </w:pPr>
            <w:r>
              <w:rPr>
                <w:rFonts w:ascii="Calibri" w:hAnsi="Calibri" w:cs="Calibri"/>
                <w:b w:val="0"/>
                <w:i/>
                <w:color w:val="5A6B7A"/>
                <w:sz w:val="17"/>
              </w:rPr>
              <w:t>Indicative – not a clustering decision</w:t>
            </w:r>
          </w:p>
          <w:tbl>
            <w:tblPr>
              <w:tblW w:type="auto" w:w="0"/>
              <w:jc w:val="left"/>
              <w:tblLayout w:type="fixed"/>
              <w:tblLook w:firstColumn="1" w:firstRow="1" w:lastColumn="0" w:lastRow="0" w:noHBand="0" w:noVBand="1" w:val="04A0"/>
            </w:tblPr>
            <w:tblGrid>
              <w:gridCol w:w="2268"/>
              <w:gridCol w:w="2268"/>
              <w:gridCol w:w="2268"/>
              <w:gridCol w:w="2268"/>
            </w:tblGrid>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Cluster A</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Cluster B</w:t>
                  </w:r>
                </w:p>
              </w:tc>
              <w:tc>
                <w:tcPr>
                  <w:tcW w:w="3969"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7"/>
                    </w:rPr>
                    <w:t>Shared keywords</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7"/>
                    </w:rPr>
                    <w:t>Jaccard</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rx168</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fun</w:t>
                  </w:r>
                </w:p>
              </w:tc>
              <w:tc>
                <w:tcPr>
                  <w:tcW w:w="3969"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VIP</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1.00</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a1aura</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winsiam</w:t>
                  </w:r>
                </w:p>
              </w:tc>
              <w:tc>
                <w:tcPr>
                  <w:tcW w:w="3969"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Tahoma" w:hAnsi="Tahoma" w:cs="Tahoma"/>
                      <w:b w:val="0"/>
                      <w:i w:val="0"/>
                      <w:color w:val="22303C"/>
                      <w:sz w:val="17"/>
                    </w:rPr>
                    <w:t>VIP, สมัครสมาชิก</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1.00</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dkon</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6ou</w:t>
                  </w:r>
                </w:p>
              </w:tc>
              <w:tc>
                <w:tcPr>
                  <w:tcW w:w="3969"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PP</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1.00</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bra</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s8s</w:t>
                  </w:r>
                </w:p>
              </w:tc>
              <w:tc>
                <w:tcPr>
                  <w:tcW w:w="3969"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BET, PP, VIP</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0.75</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m88thcasino</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betflixbr</w:t>
                  </w:r>
                </w:p>
              </w:tc>
              <w:tc>
                <w:tcPr>
                  <w:tcW w:w="3969"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VIP, WALLET, Wallet</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0.75</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08vn</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ruay</w:t>
                  </w:r>
                </w:p>
              </w:tc>
              <w:tc>
                <w:tcPr>
                  <w:tcW w:w="3969"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PP, VIP, WIN</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0.75</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casino5s</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08vn</w:t>
                  </w:r>
                </w:p>
              </w:tc>
              <w:tc>
                <w:tcPr>
                  <w:tcW w:w="3969"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VIP, WIN</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0.67</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casino5s</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7afun</w:t>
                  </w:r>
                </w:p>
              </w:tc>
              <w:tc>
                <w:tcPr>
                  <w:tcW w:w="3969"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VIP, WIN</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0.67</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pgsoftgames</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pgslots</w:t>
                  </w:r>
                </w:p>
              </w:tc>
              <w:tc>
                <w:tcPr>
                  <w:tcW w:w="3969"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PG, WIN</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0.67</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eazybet</w:t>
                  </w:r>
                </w:p>
              </w:tc>
              <w:tc>
                <w:tcPr>
                  <w:tcW w:w="147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bra</w:t>
                  </w:r>
                </w:p>
              </w:tc>
              <w:tc>
                <w:tcPr>
                  <w:tcW w:w="3969"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7"/>
                    </w:rPr>
                    <w:t>BET, VIP</w:t>
                  </w:r>
                </w:p>
              </w:tc>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0.67</w:t>
                  </w:r>
                </w:p>
              </w:tc>
            </w:tr>
            <w:tr>
              <w:trPr>
                <w:cantSplit/>
              </w:trPr>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eazybet</w:t>
                  </w:r>
                </w:p>
              </w:tc>
              <w:tc>
                <w:tcPr>
                  <w:tcW w:w="147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7afun</w:t>
                  </w:r>
                </w:p>
              </w:tc>
              <w:tc>
                <w:tcPr>
                  <w:tcW w:w="3969"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7"/>
                    </w:rPr>
                    <w:t>BET, VIP</w:t>
                  </w:r>
                </w:p>
              </w:tc>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7"/>
                    </w:rPr>
                    <w:t>0.67</w:t>
                  </w:r>
                </w:p>
              </w:tc>
            </w:tr>
          </w:tbl>
          <w:p/>
          <w:p>
            <w:pPr>
              <w:spacing w:before="60" w:after="20" w:line="293" w:lineRule="auto"/>
            </w:pPr>
            <w:r>
              <w:rPr>
                <w:rFonts w:ascii="Calibri" w:hAnsi="Calibri" w:cs="Calibri"/>
                <w:b w:val="0"/>
                <w:i/>
                <w:color w:val="5A6B7A"/>
                <w:sz w:val="16"/>
              </w:rPr>
              <w:t>Shared promotional vocabulary is common across unrelated operators using the same affiliate templates. These pairs are a lead for an analyst, not a clustering decision.</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7" w:name="Namingconventions"/>
            <w:pPr>
              <w:pStyle w:val="Heading2"/>
              <w:spacing w:before="0" w:after="100"/>
            </w:pPr>
            <w:bookmarkEnd w:id="1027"/>
            <w:r>
              <w:rPr>
                <w:rFonts w:ascii="Calibri" w:hAnsi="Calibri" w:cs="Calibri"/>
                <w:b/>
                <w:i w:val="0"/>
                <w:color w:val="1F3F63"/>
                <w:sz w:val="23"/>
              </w:rPr>
              <w:t>Naming conventions</w:t>
            </w:r>
          </w:p>
          <w:p>
            <w:pPr>
              <w:spacing w:before="0" w:after="60" w:line="302" w:lineRule="auto"/>
              <w:ind w:left="283" w:hanging="283"/>
            </w:pPr>
            <w:r>
              <w:rPr>
                <w:rFonts w:ascii="Calibri" w:hAnsi="Calibri" w:cs="Calibri"/>
                <w:b/>
                <w:i w:val="0"/>
                <w:color w:val="1F3F63"/>
                <w:sz w:val="19"/>
              </w:rPr>
              <w:t xml:space="preserve">•  </w:t>
            </w:r>
            <w:r>
              <w:rPr>
                <w:rFonts w:ascii="Calibri" w:hAnsi="Calibri" w:cs="Calibri"/>
                <w:b w:val="0"/>
                <w:i w:val="0"/>
                <w:color w:val="22303C"/>
                <w:sz w:val="19"/>
              </w:rPr>
              <w:t>Recurring tokens: vip in 978 names, m. in 782 names, mobile in 729 names. The largest clusters use a templated naming scheme.</w:t>
            </w:r>
          </w:p>
          <w:p>
            <w:pPr>
              <w:spacing w:before="0" w:after="60" w:line="302" w:lineRule="auto"/>
              <w:ind w:left="283" w:hanging="283"/>
            </w:pPr>
            <w:r>
              <w:rPr>
                <w:rFonts w:ascii="Calibri" w:hAnsi="Calibri" w:cs="Calibri"/>
                <w:b/>
                <w:i w:val="0"/>
                <w:color w:val="1F3F63"/>
                <w:sz w:val="19"/>
              </w:rPr>
              <w:t xml:space="preserve">•  </w:t>
            </w:r>
            <w:r>
              <w:rPr>
                <w:rFonts w:ascii="Calibri" w:hAnsi="Calibri" w:cs="Calibri"/>
                <w:b w:val="0"/>
                <w:i w:val="0"/>
                <w:color w:val="22303C"/>
                <w:sz w:val="19"/>
              </w:rPr>
              <w:t>Top-level domain switching: .com in 1,253 names, .net in 959 names, .vip in 858 names, .cc in 626 names. The operators behind these clusters rotate top-level domains.</w:t>
            </w:r>
          </w:p>
          <w:p>
            <w:pPr>
              <w:spacing w:before="0" w:after="60" w:line="302" w:lineRule="auto"/>
              <w:ind w:left="283" w:hanging="283"/>
            </w:pPr>
            <w:r>
              <w:rPr>
                <w:rFonts w:ascii="Calibri" w:hAnsi="Calibri" w:cs="Calibri"/>
                <w:b/>
                <w:i w:val="0"/>
                <w:color w:val="1F3F63"/>
                <w:sz w:val="19"/>
              </w:rPr>
              <w:t xml:space="preserve">•  </w:t>
            </w:r>
            <w:r>
              <w:rPr>
                <w:rFonts w:ascii="Calibri" w:hAnsi="Calibri" w:cs="Calibri"/>
                <w:b w:val="0"/>
                <w:i w:val="0"/>
                <w:color w:val="22303C"/>
                <w:sz w:val="19"/>
              </w:rPr>
              <w:t>8,784 distinct domains across 42 brand clusters.</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3024"/>
        <w:gridCol w:w="3024"/>
        <w:gridCol w:w="3024"/>
      </w:tblGrid>
      <w:tr>
        <w:trPr>
          <w:cantSplit/>
        </w:trPr>
        <w:tc>
          <w:tcPr>
            <w:tcW w:w="291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70</w:t>
            </w:r>
          </w:p>
          <w:p>
            <w:pPr>
              <w:spacing w:before="0" w:after="0" w:line="276" w:lineRule="auto"/>
            </w:pPr>
            <w:r>
              <w:rPr>
                <w:rFonts w:ascii="Calibri" w:hAnsi="Calibri" w:cs="Calibri"/>
                <w:b w:val="0"/>
                <w:i w:val="0"/>
                <w:color w:val="5A6B7A"/>
                <w:sz w:val="16"/>
              </w:rPr>
              <w:t>Reached directly (0.8%)</w:t>
            </w:r>
          </w:p>
        </w:tc>
        <w:tc>
          <w:tcPr>
            <w:tcW w:w="291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486</w:t>
            </w:r>
          </w:p>
          <w:p>
            <w:pPr>
              <w:spacing w:before="0" w:after="0" w:line="276" w:lineRule="auto"/>
            </w:pPr>
            <w:r>
              <w:rPr>
                <w:rFonts w:ascii="Calibri" w:hAnsi="Calibri" w:cs="Calibri"/>
                <w:b w:val="0"/>
                <w:i w:val="0"/>
                <w:color w:val="5A6B7A"/>
                <w:sz w:val="16"/>
              </w:rPr>
              <w:t>Redirect-derived (5.5%)</w:t>
            </w:r>
          </w:p>
        </w:tc>
        <w:tc>
          <w:tcPr>
            <w:tcW w:w="2910" w:type="dxa"/>
            <w:tcBorders>
              <w:top w:val="single" w:sz="4" w:space="0" w:color="C9D2DB"/>
              <w:left w:val="single" w:sz="4" w:space="0" w:color="C9D2DB"/>
              <w:bottom w:val="single" w:sz="4" w:space="0" w:color="C9D2DB"/>
              <w:right w:val="single" w:sz="4" w:space="0" w:color="C9D2DB"/>
              <w:insideH w:val="nil"/>
              <w:insideV w:val="nil"/>
            </w:tcBorders>
            <w:tcMar>
              <w:top w:w="192" w:type="dxa"/>
              <w:start w:w="181" w:type="dxa"/>
              <w:bottom w:w="192" w:type="dxa"/>
              <w:end w:w="181" w:type="dxa"/>
            </w:tcMar>
          </w:tcPr>
          <w:p>
            <w:pPr>
              <w:spacing w:before="0" w:after="20" w:line="252" w:lineRule="auto"/>
            </w:pPr>
            <w:r>
              <w:rPr>
                <w:rFonts w:ascii="Calibri" w:hAnsi="Calibri" w:cs="Calibri"/>
                <w:b/>
                <w:i w:val="0"/>
                <w:color w:val="1F3F63"/>
                <w:sz w:val="34"/>
              </w:rPr>
              <w:t>8,277</w:t>
            </w:r>
          </w:p>
          <w:p>
            <w:pPr>
              <w:spacing w:before="0" w:after="0" w:line="276" w:lineRule="auto"/>
            </w:pPr>
            <w:r>
              <w:rPr>
                <w:rFonts w:ascii="Calibri" w:hAnsi="Calibri" w:cs="Calibri"/>
                <w:b w:val="0"/>
                <w:i w:val="0"/>
                <w:color w:val="5A6B7A"/>
                <w:sz w:val="16"/>
              </w:rPr>
              <w:t>Crawler variants (93.7%)</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28" w:name="Redirectpropagationmin88top"/>
            <w:pPr>
              <w:pStyle w:val="Heading2"/>
              <w:spacing w:before="0" w:after="100"/>
            </w:pPr>
            <w:bookmarkEnd w:id="1028"/>
            <w:r>
              <w:rPr>
                <w:rFonts w:ascii="Calibri" w:hAnsi="Calibri" w:cs="Calibri"/>
                <w:b/>
                <w:i w:val="0"/>
                <w:color w:val="1F3F63"/>
                <w:sz w:val="23"/>
              </w:rPr>
              <w:t>Redirect propagation – min88.top</w:t>
            </w:r>
          </w:p>
          <w:p>
            <w:pPr>
              <w:spacing w:before="0" w:after="80" w:line="300" w:lineRule="auto"/>
            </w:pPr>
            <w:r>
              <w:rPr>
                <w:rFonts w:ascii="Calibri" w:hAnsi="Calibri" w:cs="Calibri"/>
                <w:b w:val="0"/>
                <w:i w:val="0"/>
                <w:color w:val="22303C"/>
                <w:sz w:val="18"/>
              </w:rPr>
              <w:t>The busiest redirect source and the destinations reached from it. Each node is one domain.</w:t>
            </w:r>
          </w:p>
          <w:p>
            <w:pPr>
              <w:spacing w:before="60" w:after="80"/>
              <w:jc w:val="center"/>
            </w:pPr>
            <w:r>
              <w:drawing>
                <wp:inline xmlns:a="http://schemas.openxmlformats.org/drawingml/2006/main" xmlns:pic="http://schemas.openxmlformats.org/drawingml/2006/picture">
                  <wp:extent cx="5040000" cy="2221504"/>
                  <wp:docPr id="8" name="Picture 8"/>
                  <wp:cNvGraphicFramePr>
                    <a:graphicFrameLocks noChangeAspect="1"/>
                  </wp:cNvGraphicFramePr>
                  <a:graphic>
                    <a:graphicData uri="http://schemas.openxmlformats.org/drawingml/2006/picture">
                      <pic:pic>
                        <pic:nvPicPr>
                          <pic:cNvPr id="0" name="e10.png"/>
                          <pic:cNvPicPr/>
                        </pic:nvPicPr>
                        <pic:blipFill>
                          <a:blip r:embed="rId16"/>
                          <a:stretch>
                            <a:fillRect/>
                          </a:stretch>
                        </pic:blipFill>
                        <pic:spPr>
                          <a:xfrm>
                            <a:off x="0" y="0"/>
                            <a:ext cx="5040000" cy="2221504"/>
                          </a:xfrm>
                          <a:prstGeom prst="rect"/>
                        </pic:spPr>
                      </pic:pic>
                    </a:graphicData>
                  </a:graphic>
                </wp:inline>
              </w:drawing>
            </w:r>
          </w:p>
          <w:p>
            <w:pPr>
              <w:spacing w:before="60" w:after="20" w:line="300" w:lineRule="auto"/>
            </w:pPr>
            <w:r>
              <w:rPr>
                <w:rFonts w:ascii="Calibri" w:hAnsi="Calibri" w:cs="Calibri"/>
                <w:b w:val="0"/>
                <w:i w:val="0"/>
                <w:color w:val="5A6B7A"/>
                <w:sz w:val="16"/>
              </w:rPr>
              <w:t>SICPADetect reached 6 distinct gambling URLs through redirects from min88.top.</w:t>
            </w:r>
          </w:p>
        </w:tc>
      </w:tr>
    </w:tbl>
    <w:p>
      <w:pPr>
        <w:spacing w:before="0" w:after="0" w:line="240" w:lineRule="auto"/>
      </w:pPr>
      <w:r>
        <w:rPr>
          <w:rFonts w:ascii="Calibri" w:hAnsi="Calibri" w:cs="Calibri"/>
          <w:b w:val="0"/>
          <w:i w:val="0"/>
          <w:color w:val="22303C"/>
          <w:sz w:val="24"/>
        </w:rPr>
      </w:r>
    </w:p>
    <w:p>
      <w:bookmarkStart w:id="1029" w:name="Ranking"/>
      <w:pPr>
        <w:pStyle w:val="Heading1"/>
        <w:spacing w:before="280" w:after="120"/>
      </w:pPr>
      <w:bookmarkEnd w:id="1029"/>
      <w:r>
        <w:rPr>
          <w:rFonts w:ascii="Calibri" w:hAnsi="Calibri" w:cs="Calibri"/>
          <w:b/>
          <w:i w:val="0"/>
          <w:color w:val="1F3F63"/>
          <w:sz w:val="32"/>
        </w:rPr>
        <w:t>Ranking</w:t>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30" w:name="Gamblingranking"/>
            <w:pPr>
              <w:pStyle w:val="Heading2"/>
              <w:spacing w:before="0" w:after="100"/>
            </w:pPr>
            <w:bookmarkEnd w:id="1030"/>
            <w:r>
              <w:rPr>
                <w:rFonts w:ascii="Calibri" w:hAnsi="Calibri" w:cs="Calibri"/>
                <w:b/>
                <w:i w:val="0"/>
                <w:color w:val="1F3F63"/>
                <w:sz w:val="23"/>
              </w:rPr>
              <w:t>Gambling ranking</w:t>
            </w:r>
          </w:p>
          <w:tbl>
            <w:tblPr>
              <w:tblW w:type="auto" w:w="0"/>
              <w:jc w:val="left"/>
              <w:tblLayout w:type="fixed"/>
              <w:tblLook w:firstColumn="1" w:firstRow="1" w:lastColumn="0" w:lastRow="0" w:noHBand="0" w:noVBand="1" w:val="04A0"/>
            </w:tblPr>
            <w:tblGrid>
              <w:gridCol w:w="1814"/>
              <w:gridCol w:w="1814"/>
              <w:gridCol w:w="1814"/>
              <w:gridCol w:w="1814"/>
              <w:gridCol w:w="1814"/>
            </w:tblGrid>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jc w:val="right"/>
                  </w:pPr>
                  <w:r>
                    <w:rPr>
                      <w:rFonts w:ascii="Calibri" w:hAnsi="Calibri" w:cs="Calibri"/>
                      <w:b/>
                      <w:i w:val="0"/>
                      <w:color w:val="FFFFFF"/>
                      <w:sz w:val="16"/>
                    </w:rPr>
                    <w:t>Rank</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6"/>
                    </w:rPr>
                    <w:t>Domain</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6"/>
                    </w:rPr>
                    <w:t>Brand cluster</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6"/>
                    </w:rPr>
                    <w:t>Subcategory</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1F3F63"/>
                  <w:tcMar>
                    <w:top w:w="79" w:type="dxa"/>
                    <w:start w:w="90" w:type="dxa"/>
                    <w:bottom w:w="79" w:type="dxa"/>
                    <w:end w:w="90" w:type="dxa"/>
                  </w:tcMar>
                </w:tcPr>
                <w:p>
                  <w:pPr>
                    <w:spacing w:before="0" w:after="0" w:line="269" w:lineRule="auto"/>
                  </w:pPr>
                  <w:r>
                    <w:rPr>
                      <w:rFonts w:ascii="Calibri" w:hAnsi="Calibri" w:cs="Calibri"/>
                      <w:b/>
                      <w:i w:val="0"/>
                      <w:color w:val="FFFFFF"/>
                      <w:sz w:val="16"/>
                    </w:rPr>
                    <w:t>Source</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92,922</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gernpang88.com</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gernpang</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General Gambling</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Analyst-enriched</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129,213</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duangpang168.com</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duangpang</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General Gambling</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Analyst-enriched</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198,736</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jun88wb.com</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Casino</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214,795</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allslotwallet.online</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allslotwallet</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Slots</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Analyst-enriched</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221,001</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suriyathai.net</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suriya</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General Gambling</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Analyst-enriched</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303,254</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jun88wf.com</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Casino</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397,330</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jun88wa.com</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Casino</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466,858</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jun88wc.com</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Slots</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517,141</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slavinaslot.top</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Casino</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Redirect-derived</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517,141</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jun88.info</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Casino</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547,370</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99ok.vip</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Lottery</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558,790</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gg8830.com</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Slots</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632,178</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hh98.net</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General Gambling</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655,235</w:t>
                  </w:r>
                </w:p>
              </w:tc>
              <w:tc>
                <w:tcPr>
                  <w:tcW w:w="2494"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lottery.co.th</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lott</w:t>
                  </w:r>
                </w:p>
              </w:tc>
              <w:tc>
                <w:tcPr>
                  <w:tcW w:w="1701"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Lottery</w:t>
                  </w:r>
                </w:p>
              </w:tc>
              <w:tc>
                <w:tcPr>
                  <w:tcW w:w="1360" w:type="dxa"/>
                  <w:tcBorders>
                    <w:top w:val="single" w:sz="4" w:space="0" w:color="C9D2DB"/>
                    <w:left w:val="single" w:sz="4" w:space="0" w:color="C9D2DB"/>
                    <w:bottom w:val="single" w:sz="4" w:space="0" w:color="C9D2DB"/>
                    <w:right w:val="single" w:sz="4" w:space="0" w:color="C9D2DB"/>
                    <w:insideH w:val="nil"/>
                    <w:insideV w:val="nil"/>
                  </w:tcBorders>
                  <w:shd w:val="clear" w:color="auto" w:fill="F4F7FA"/>
                  <w:tcMar>
                    <w:top w:w="73" w:type="dxa"/>
                    <w:start w:w="90" w:type="dxa"/>
                    <w:bottom w:w="73" w:type="dxa"/>
                    <w:end w:w="90" w:type="dxa"/>
                  </w:tcMar>
                </w:tcPr>
                <w:p>
                  <w:pPr>
                    <w:spacing w:before="0" w:after="0" w:line="276" w:lineRule="auto"/>
                  </w:pPr>
                  <w:r>
                    <w:rPr>
                      <w:rFonts w:ascii="Calibri" w:hAnsi="Calibri" w:cs="Calibri"/>
                      <w:b w:val="0"/>
                      <w:i w:val="0"/>
                      <w:color w:val="22303C"/>
                      <w:sz w:val="16"/>
                    </w:rPr>
                    <w:t>Analyst-enriched</w:t>
                  </w:r>
                </w:p>
              </w:tc>
            </w:tr>
            <w:tr>
              <w:trPr>
                <w:cantSplit/>
              </w:trPr>
              <w:tc>
                <w:tcPr>
                  <w:tcW w:w="102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jc w:val="right"/>
                  </w:pPr>
                  <w:r>
                    <w:rPr>
                      <w:rFonts w:ascii="Calibri" w:hAnsi="Calibri" w:cs="Calibri"/>
                      <w:b w:val="0"/>
                      <w:i w:val="0"/>
                      <w:color w:val="22303C"/>
                      <w:sz w:val="16"/>
                    </w:rPr>
                    <w:t>680,737</w:t>
                  </w:r>
                </w:p>
              </w:tc>
              <w:tc>
                <w:tcPr>
                  <w:tcW w:w="2494"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hh98.site</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8</w:t>
                  </w:r>
                </w:p>
              </w:tc>
              <w:tc>
                <w:tcPr>
                  <w:tcW w:w="1701"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General Gambling</w:t>
                  </w:r>
                </w:p>
              </w:tc>
              <w:tc>
                <w:tcPr>
                  <w:tcW w:w="1360" w:type="dxa"/>
                  <w:tcBorders>
                    <w:top w:val="single" w:sz="4" w:space="0" w:color="C9D2DB"/>
                    <w:left w:val="single" w:sz="4" w:space="0" w:color="C9D2DB"/>
                    <w:bottom w:val="single" w:sz="4" w:space="0" w:color="C9D2DB"/>
                    <w:right w:val="single" w:sz="4" w:space="0" w:color="C9D2DB"/>
                    <w:insideH w:val="nil"/>
                    <w:insideV w:val="nil"/>
                  </w:tcBorders>
                  <w:tcMar>
                    <w:top w:w="73" w:type="dxa"/>
                    <w:start w:w="90" w:type="dxa"/>
                    <w:bottom w:w="73" w:type="dxa"/>
                    <w:end w:w="90" w:type="dxa"/>
                  </w:tcMar>
                </w:tcPr>
                <w:p>
                  <w:pPr>
                    <w:spacing w:before="0" w:after="0" w:line="276" w:lineRule="auto"/>
                  </w:pPr>
                  <w:r>
                    <w:rPr>
                      <w:rFonts w:ascii="Calibri" w:hAnsi="Calibri" w:cs="Calibri"/>
                      <w:b w:val="0"/>
                      <w:i w:val="0"/>
                      <w:color w:val="22303C"/>
                      <w:sz w:val="16"/>
                    </w:rPr>
                    <w:t>Crawler variant</w:t>
                  </w:r>
                </w:p>
              </w:tc>
            </w:tr>
          </w:tbl>
          <w:p/>
          <w:p>
            <w:pPr>
              <w:spacing w:before="60" w:after="20" w:line="300" w:lineRule="auto"/>
            </w:pPr>
            <w:r>
              <w:rPr>
                <w:rFonts w:ascii="Calibri" w:hAnsi="Calibri" w:cs="Calibri"/>
                <w:b w:val="0"/>
                <w:i w:val="0"/>
                <w:color w:val="5A6B7A"/>
                <w:sz w:val="16"/>
              </w:rPr>
              <w:t>Rank reflects search visibility or source-feed position. It does not measure harm, revenue, user volume or enforcement priority.</w:t>
            </w:r>
          </w:p>
          <w:p>
            <w:pPr>
              <w:spacing w:before="60" w:after="20" w:line="293" w:lineRule="auto"/>
            </w:pPr>
            <w:r>
              <w:rPr>
                <w:rFonts w:ascii="Calibri" w:hAnsi="Calibri" w:cs="Calibri"/>
                <w:b w:val="0"/>
                <w:i/>
                <w:color w:val="5A6B7A"/>
                <w:sz w:val="16"/>
              </w:rPr>
              <w:t>“Analyst-enriched” means an analyst verified or added details after SICPADetect’s automated detection. SICPADetect’s detection process is automated.</w:t>
            </w:r>
          </w:p>
        </w:tc>
      </w:tr>
    </w:tbl>
    <w:p>
      <w:pPr>
        <w:spacing w:before="0" w:after="0" w:line="240" w:lineRule="auto"/>
      </w:pPr>
      <w:r>
        <w:rPr>
          <w:rFonts w:ascii="Calibri" w:hAnsi="Calibri" w:cs="Calibri"/>
          <w:b w:val="0"/>
          <w:i w:val="0"/>
          <w:color w:val="22303C"/>
          <w:sz w:val="24"/>
        </w:rPr>
      </w:r>
    </w:p>
    <w:p>
      <w:bookmarkStart w:id="1031" w:name="Keyinsights"/>
      <w:pPr>
        <w:pStyle w:val="Heading1"/>
        <w:spacing w:before="280" w:after="120"/>
      </w:pPr>
      <w:bookmarkEnd w:id="1031"/>
      <w:r>
        <w:rPr>
          <w:rFonts w:ascii="Calibri" w:hAnsi="Calibri" w:cs="Calibri"/>
          <w:b/>
          <w:i w:val="0"/>
          <w:color w:val="1F3F63"/>
          <w:sz w:val="32"/>
        </w:rPr>
        <w:t>Key insights</w:t>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32" w:name="Scaleoftheanalysis"/>
            <w:pPr>
              <w:pStyle w:val="Heading2"/>
              <w:spacing w:before="0" w:after="100"/>
            </w:pPr>
            <w:bookmarkEnd w:id="1032"/>
            <w:r>
              <w:rPr>
                <w:rFonts w:ascii="Calibri" w:hAnsi="Calibri" w:cs="Calibri"/>
                <w:b/>
                <w:i w:val="0"/>
                <w:color w:val="1F3F63"/>
                <w:sz w:val="23"/>
              </w:rPr>
              <w:t>Scale of the analysis</w:t>
            </w:r>
          </w:p>
          <w:p>
            <w:pPr>
              <w:spacing w:before="0" w:after="100" w:line="312" w:lineRule="auto"/>
            </w:pPr>
            <w:r>
              <w:rPr>
                <w:rFonts w:ascii="Calibri" w:hAnsi="Calibri" w:cs="Calibri"/>
                <w:b w:val="0"/>
                <w:i w:val="0"/>
                <w:color w:val="22303C"/>
                <w:sz w:val="19"/>
              </w:rPr>
              <w:t>SICPADetect analysed 20,215 distinct URLs over a pilot reporting period of 27 days, from 4 Sep 2026 to 30 Sep 2026. It classified 8,833 as gambling, 11,338 as not gambling and 44 as unreachable.</w:t>
            </w:r>
          </w:p>
          <w:p>
            <w:pPr>
              <w:spacing w:before="40" w:after="0" w:line="302" w:lineRule="auto"/>
            </w:pPr>
            <w:r>
              <w:rPr>
                <w:rFonts w:ascii="Calibri" w:hAnsi="Calibri" w:cs="Calibri"/>
                <w:b/>
                <w:i w:val="0"/>
                <w:color w:val="1F3F63"/>
                <w:sz w:val="19"/>
              </w:rPr>
              <w:t xml:space="preserve">Take:  </w:t>
            </w:r>
            <w:r>
              <w:rPr>
                <w:rFonts w:ascii="Calibri" w:hAnsi="Calibri" w:cs="Calibri"/>
                <w:b w:val="0"/>
                <w:i w:val="0"/>
                <w:color w:val="22303C"/>
                <w:sz w:val="19"/>
              </w:rPr>
              <w:t>SICPADetect classified 8,833 URLs as gambling, 43.7% of the URLs analysed. A 27-day period is short, so this report states no trend direction over time.</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33" w:name="Whatisbeingoffered"/>
            <w:pPr>
              <w:pStyle w:val="Heading2"/>
              <w:spacing w:before="0" w:after="100"/>
            </w:pPr>
            <w:bookmarkEnd w:id="1033"/>
            <w:r>
              <w:rPr>
                <w:rFonts w:ascii="Calibri" w:hAnsi="Calibri" w:cs="Calibri"/>
                <w:b/>
                <w:i w:val="0"/>
                <w:color w:val="1F3F63"/>
                <w:sz w:val="23"/>
              </w:rPr>
              <w:t>What is being offered</w:t>
            </w:r>
          </w:p>
          <w:p>
            <w:pPr>
              <w:spacing w:before="0" w:after="100" w:line="312" w:lineRule="auto"/>
            </w:pPr>
            <w:r>
              <w:rPr>
                <w:rFonts w:ascii="Calibri" w:hAnsi="Calibri" w:cs="Calibri"/>
                <w:b w:val="0"/>
                <w:i w:val="0"/>
                <w:color w:val="22303C"/>
                <w:sz w:val="19"/>
              </w:rPr>
              <w:t>The three largest product subcategories are Casino with 3,211 sites (36.4%), Slots with 2,644 sites (29.9%) and General Gambling with 1,447 sites (16.4%). SICPADetect confirmed 16.4% of gambling sites as gambling without an evidenced product type, and assigned 96.7% of gambling rows by model inference rather than by a lexicon match. 213 of the 286 lexicon keywords never matched a site in this dataset. The lexicon is written in Thai script and much of the recorded text in this export is in English, so a low lexicon match rate is expected here. Extending the lexicon to the transliterated and English vocabulary present in this dataset would raise the share of subcategory figures that rest on a direct keyword match.</w:t>
            </w:r>
          </w:p>
          <w:p>
            <w:pPr>
              <w:spacing w:before="40" w:after="0" w:line="302" w:lineRule="auto"/>
            </w:pPr>
            <w:r>
              <w:rPr>
                <w:rFonts w:ascii="Calibri" w:hAnsi="Calibri" w:cs="Calibri"/>
                <w:b/>
                <w:i w:val="0"/>
                <w:color w:val="1F3F63"/>
                <w:sz w:val="19"/>
              </w:rPr>
              <w:t xml:space="preserve">Take:  </w:t>
            </w:r>
            <w:r>
              <w:rPr>
                <w:rFonts w:ascii="Calibri" w:hAnsi="Calibri" w:cs="Calibri"/>
                <w:b w:val="0"/>
                <w:i w:val="0"/>
                <w:color w:val="22303C"/>
                <w:sz w:val="19"/>
              </w:rPr>
              <w:t>Casino is the largest product subcategory at 36.4% of gambling rows. No single category accounts for a majority, and Slots follows at 29.9%.</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34" w:name="Brandclustering"/>
            <w:pPr>
              <w:pStyle w:val="Heading2"/>
              <w:spacing w:before="0" w:after="100"/>
            </w:pPr>
            <w:bookmarkEnd w:id="1034"/>
            <w:r>
              <w:rPr>
                <w:rFonts w:ascii="Calibri" w:hAnsi="Calibri" w:cs="Calibri"/>
                <w:b/>
                <w:i w:val="0"/>
                <w:color w:val="1F3F63"/>
                <w:sz w:val="23"/>
              </w:rPr>
              <w:t>Brand clustering</w:t>
            </w:r>
          </w:p>
          <w:p>
            <w:pPr>
              <w:spacing w:before="0" w:after="100" w:line="312" w:lineRule="auto"/>
            </w:pPr>
            <w:r>
              <w:rPr>
                <w:rFonts w:ascii="Calibri" w:hAnsi="Calibri" w:cs="Calibri"/>
                <w:b w:val="0"/>
                <w:i w:val="0"/>
                <w:color w:val="22303C"/>
                <w:sz w:val="19"/>
              </w:rPr>
              <w:t>SICPADetect grouped the 8,833 identified gambling URLs into 91 indicative brand clusters. 42 of them hold more than one domain, and 49 are singletons. A single cluster covers half of the identified gambling URLs. The largest cluster, named 8, holds 8,344 domains across 7 product subcategories. SICPADetect reached most of these domains as crawler variants of one another, so the cluster records an observed crawler relationship rather than an inferred one. The grouping is indicative and does not establish common ownership.</w:t>
            </w:r>
          </w:p>
          <w:p>
            <w:pPr>
              <w:spacing w:before="40" w:after="0" w:line="302" w:lineRule="auto"/>
            </w:pPr>
            <w:r>
              <w:rPr>
                <w:rFonts w:ascii="Calibri" w:hAnsi="Calibri" w:cs="Calibri"/>
                <w:b/>
                <w:i w:val="0"/>
                <w:color w:val="1F3F63"/>
                <w:sz w:val="19"/>
              </w:rPr>
              <w:t xml:space="preserve">Take:  </w:t>
            </w:r>
            <w:r>
              <w:rPr>
                <w:rFonts w:ascii="Calibri" w:hAnsi="Calibri" w:cs="Calibri"/>
                <w:b w:val="0"/>
                <w:i w:val="0"/>
                <w:color w:val="22303C"/>
                <w:sz w:val="19"/>
              </w:rPr>
              <w:t>A small number of clusters hold half of the identified gambling URLs, so action on those clusters covers a large part of the set.</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35" w:name="Howoperatorsexpandandpromotetheirdom"/>
            <w:pPr>
              <w:pStyle w:val="Heading2"/>
              <w:spacing w:before="0" w:after="100"/>
            </w:pPr>
            <w:bookmarkEnd w:id="1035"/>
            <w:r>
              <w:rPr>
                <w:rFonts w:ascii="Calibri" w:hAnsi="Calibri" w:cs="Calibri"/>
                <w:b/>
                <w:i w:val="0"/>
                <w:color w:val="1F3F63"/>
                <w:sz w:val="23"/>
              </w:rPr>
              <w:t>How operators expand and promote their domains</w:t>
            </w:r>
          </w:p>
          <w:p>
            <w:pPr>
              <w:spacing w:before="0" w:after="100" w:line="312" w:lineRule="auto"/>
            </w:pPr>
            <w:r>
              <w:rPr>
                <w:rFonts w:ascii="Calibri" w:hAnsi="Calibri" w:cs="Calibri"/>
                <w:b w:val="0"/>
                <w:i w:val="0"/>
                <w:color w:val="22303C"/>
                <w:sz w:val="19"/>
              </w:rPr>
              <w:t>Of the identified gambling URLs, 8,277 are crawler variants, 486 are redirect-derived and 70 were reached directly. The busiest redirect source, min88.top, leads to 6 destinations. 27 clusters use more than one top-level domain. The two most common signal tags are Abbreviations at 41.0% of gambling rows and Marketing &amp; Acquisition at 3.3%. A signal tag records how a site markets or operates itself, and a site can carry several tags or none.</w:t>
            </w:r>
          </w:p>
          <w:p>
            <w:pPr>
              <w:spacing w:before="40" w:after="0" w:line="302" w:lineRule="auto"/>
            </w:pPr>
            <w:r>
              <w:rPr>
                <w:rFonts w:ascii="Calibri" w:hAnsi="Calibri" w:cs="Calibri"/>
                <w:b/>
                <w:i w:val="0"/>
                <w:color w:val="1F3F63"/>
                <w:sz w:val="19"/>
              </w:rPr>
              <w:t xml:space="preserve">Take:  </w:t>
            </w:r>
            <w:r>
              <w:rPr>
                <w:rFonts w:ascii="Calibri" w:hAnsi="Calibri" w:cs="Calibri"/>
                <w:b w:val="0"/>
                <w:i w:val="0"/>
                <w:color w:val="22303C"/>
                <w:sz w:val="19"/>
              </w:rPr>
              <w:t>Operators use redirects and top-level domain rotation to keep users reaching their sites when individual domains change.</w:t>
            </w:r>
          </w:p>
        </w:tc>
      </w:tr>
    </w:tbl>
    <w:p>
      <w:pPr>
        <w:spacing w:before="0" w:after="0" w:line="240" w:lineRule="auto"/>
      </w:pPr>
      <w:r>
        <w:rPr>
          <w:rFonts w:ascii="Calibri" w:hAnsi="Calibri" w:cs="Calibri"/>
          <w:b w:val="0"/>
          <w:i w:val="0"/>
          <w:color w:val="22303C"/>
          <w:sz w:val="24"/>
        </w:rPr>
      </w:r>
    </w:p>
    <w:tbl>
      <w:tblPr>
        <w:tblW w:type="auto" w:w="0"/>
        <w:jc w:val="left"/>
        <w:tblLayout w:type="fixed"/>
        <w:tblLook w:firstColumn="1" w:firstRow="1" w:lastColumn="0" w:lastRow="0" w:noHBand="0" w:noVBand="1" w:val="04A0"/>
      </w:tblPr>
      <w:tblGrid>
        <w:gridCol w:w="9072"/>
      </w:tblGrid>
      <w:tr>
        <w:trPr>
          <w:cantSplit/>
        </w:trPr>
        <w:tc>
          <w:tcPr>
            <w:tcW w:w="9072" w:type="dxa"/>
            <w:tcBorders>
              <w:top w:val="single" w:sz="4" w:space="0" w:color="C9D2DB"/>
              <w:left w:val="single" w:sz="4" w:space="0" w:color="C9D2DB"/>
              <w:bottom w:val="single" w:sz="4" w:space="0" w:color="C9D2DB"/>
              <w:right w:val="single" w:sz="4" w:space="0" w:color="C9D2DB"/>
              <w:insideH w:val="nil"/>
              <w:insideV w:val="nil"/>
            </w:tcBorders>
            <w:tcMar>
              <w:top w:w="260" w:type="dxa"/>
              <w:start w:w="294" w:type="dxa"/>
              <w:bottom w:w="260" w:type="dxa"/>
              <w:end w:w="294" w:type="dxa"/>
            </w:tcMar>
          </w:tcPr>
          <w:p>
            <w:bookmarkStart w:id="1036" w:name="Enforcementposition"/>
            <w:pPr>
              <w:pStyle w:val="Heading2"/>
              <w:spacing w:before="0" w:after="100"/>
            </w:pPr>
            <w:bookmarkEnd w:id="1036"/>
            <w:r>
              <w:rPr>
                <w:rFonts w:ascii="Calibri" w:hAnsi="Calibri" w:cs="Calibri"/>
                <w:b/>
                <w:i w:val="0"/>
                <w:color w:val="1F3F63"/>
                <w:sz w:val="23"/>
              </w:rPr>
              <w:t>Enforcement position</w:t>
            </w:r>
          </w:p>
          <w:p>
            <w:pPr>
              <w:spacing w:before="0" w:after="100" w:line="312" w:lineRule="auto"/>
            </w:pPr>
            <w:r>
              <w:rPr>
                <w:rFonts w:ascii="Calibri" w:hAnsi="Calibri" w:cs="Calibri"/>
                <w:b w:val="0"/>
                <w:i w:val="0"/>
                <w:color w:val="22303C"/>
                <w:sz w:val="19"/>
              </w:rPr>
              <w:t>Only 7 URLs in the analysed set already carried blocking or enforcement indicators. MDES can therefore include most identified gambling URLs in a first prioritised enforcement pass.</w:t>
            </w:r>
          </w:p>
          <w:p>
            <w:pPr>
              <w:spacing w:before="40" w:after="0" w:line="302" w:lineRule="auto"/>
            </w:pPr>
            <w:r>
              <w:rPr>
                <w:rFonts w:ascii="Calibri" w:hAnsi="Calibri" w:cs="Calibri"/>
                <w:b/>
                <w:i w:val="0"/>
                <w:color w:val="1F3F63"/>
                <w:sz w:val="19"/>
              </w:rPr>
              <w:t xml:space="preserve">Take:  </w:t>
            </w:r>
            <w:r>
              <w:rPr>
                <w:rFonts w:ascii="Calibri" w:hAnsi="Calibri" w:cs="Calibri"/>
                <w:b w:val="0"/>
                <w:i w:val="0"/>
                <w:color w:val="22303C"/>
                <w:sz w:val="19"/>
              </w:rPr>
              <w:t>Cluster-based prioritisation lets MDES act on groups of related domains instead of handling each URL separately.</w:t>
            </w:r>
          </w:p>
        </w:tc>
      </w:tr>
    </w:tbl>
    <w:p>
      <w:pPr>
        <w:spacing w:before="0" w:after="0" w:line="240" w:lineRule="auto"/>
      </w:pPr>
      <w:r>
        <w:rPr>
          <w:rFonts w:ascii="Calibri" w:hAnsi="Calibri" w:cs="Calibri"/>
          <w:b w:val="0"/>
          <w:i w:val="0"/>
          <w:color w:val="22303C"/>
          <w:sz w:val="24"/>
        </w:rPr>
      </w:r>
    </w:p>
    <w:p>
      <w:pPr>
        <w:spacing w:before="280" w:after="0" w:line="312" w:lineRule="auto"/>
      </w:pPr>
      <w:r>
        <w:rPr>
          <w:rFonts w:ascii="Calibri" w:hAnsi="Calibri" w:cs="Calibri"/>
          <w:b w:val="0"/>
          <w:i w:val="0"/>
          <w:color w:val="5A6B7A"/>
          <w:sz w:val="14"/>
        </w:rPr>
        <w:t>Lexicon source: Gambling_Keywords_Full_English_Categories_V1.xlsx, version V1. Keywords per category: Football Betting 21 · Slots 32 · Casino 14 · Lottery 20 · Playing card 12 · Baccarat 11 · General Gambling 22 · Deposit &amp; Withdrawal 24 · Promotions 27 · Marketing &amp; Acquisition 25 · Affiliate &amp; Agent 20 · Vague-Evasion Terms 20 · Abbreviations 22 · Hashtags 21. Subcategory assignment: 96.7% by model inference, 16.4% assigned to General Gambling. Rows whose status required normalisation from the upstream classifier on ingest: 0. Abbreviation matches flagged as a probable false-positive source: VIP at 40.2% of all Abbreviations matches, BET at 23.6% of all Abbreviations matches. Brand clustering thresholds: crawler seed linkage takes precedence; stems merge on a Jaro–Winkler similarity of 0.90 or above where one stem is a prefix of the other or the two differ only in trailing characters. The pilot reporting period starts at the first exported record, 4 Sep 2026, because no pilot start date was supplied for this run.</w:t>
      </w:r>
    </w:p>
    <w:sectPr w:rsidR="00FC693F" w:rsidRPr="0006063C" w:rsidSect="00034616">
      <w:footerReference w:type="default" r:id="rId17"/>
      <w:footerReference w:type="first" r:id="rId18"/>
      <w:headerReference w:type="default" r:id="rId19"/>
      <w:pgSz w:w="11906" w:h="16838"/>
      <w:pgMar w:top="1134" w:right="1417" w:bottom="1020" w:left="141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s="Calibri"/>
        <w:b w:val="0"/>
        <w:i w:val="0"/>
        <w:color w:val="5A6B7A"/>
        <w:sz w:val="15"/>
      </w:rPr>
      <w:t xml:space="preserve">Data Insights &amp; Patterns · SICPA SA for the Ministry of Digital Economy and Society, Thailand · Source system: SICPADetect  ·  </w:t>
    </w: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s="Calibri"/>
        <w:b w:val="0"/>
        <w:i w:val="0"/>
        <w:color w:val="5A6B7A"/>
        <w:sz w:val="15"/>
      </w:rPr>
      <w:t xml:space="preserve">Data Insights &amp; Patterns · SICPA SA for the Ministry of Digital Economy and Society, Thailand · Source system: SICPADetect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val="0"/>
        <w:i w:val="0"/>
        <w:color w:val="5A6B7A"/>
        <w:sz w:val="15"/>
      </w:rP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2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i w:val="0"/>
      <w:color w:val="1F3F63"/>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i w:val="0"/>
      <w:color w:val="1F3F63"/>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i w:val="0"/>
      <w:color w:val="1F3F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