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SICPADetect® → MDES Evidence Report</w:t>
      </w:r>
    </w:p>
    <w:p>
      <w:pPr>
        <w:pStyle w:val="Heading3"/>
        <w:jc w:val="center"/>
      </w:pPr>
      <w:r>
        <w:t xml:space="preserve">Illegal Online Gambling – Site-Blocking Evidence Batch</w:t>
      </w:r>
    </w:p>
    <w:p>
      <w:pPr>
        <w:spacing w:after="400"/>
      </w:pPr>
    </w:p>
    <w:p>
      <w:pPr>
        <w:pStyle w:val="Heading1"/>
      </w:pPr>
      <w:r>
        <w:t xml:space="preserve">1. Report Identification</w:t>
      </w:r>
    </w:p>
    <w:p>
      <w:pPr>
        <w:spacing w:after="160"/>
      </w:pPr>
      <w:r>
        <w:rPr>
          <w:b/>
          <w:bCs/>
        </w:rPr>
        <w:t xml:space="preserve">Report reference: </w:t>
      </w:r>
      <w:r>
        <w:t xml:space="preserve">[NOT PRESENT IN RECORD] – to be assigned by the submitting entity on certification</w:t>
      </w:r>
    </w:p>
    <w:p>
      <w:pPr>
        <w:spacing w:after="160"/>
      </w:pPr>
      <w:r>
        <w:rPr>
          <w:b/>
          <w:bCs/>
        </w:rPr>
        <w:t xml:space="preserve">Batch reference (saved search ID): </w:t>
      </w:r>
      <w:r>
        <w:t xml:space="preserve">75fefe4b-3d42-4f8b-9300-e07a4ac29ed2</w:t>
      </w:r>
    </w:p>
    <w:p>
      <w:pPr>
        <w:spacing w:after="160"/>
      </w:pPr>
      <w:r>
        <w:rPr>
          <w:b/>
          <w:bCs/>
        </w:rPr>
        <w:t xml:space="preserve">Report rule ID: </w:t>
      </w:r>
      <w:r>
        <w:t xml:space="preserve">cfe198a1-86a7-44fb-ae4a-3d1e5db48427</w:t>
      </w:r>
    </w:p>
    <w:p>
      <w:pPr>
        <w:spacing w:after="160"/>
      </w:pPr>
      <w:r>
        <w:rPr>
          <w:b/>
          <w:bCs/>
        </w:rPr>
        <w:t xml:space="preserve">Reporting period covered: </w:t>
      </w:r>
      <w:r>
        <w:t xml:space="preserve">[NOT PRESENT IN RECORD] – no explicit date range was configured for this batch (execution.rangeFrom/rangeTo not set); detection dates for individual records are given in Sections 7–8</w:t>
      </w:r>
    </w:p>
    <w:p>
      <w:pPr>
        <w:spacing w:after="160"/>
      </w:pPr>
      <w:r>
        <w:rPr>
          <w:b/>
          <w:bCs/>
        </w:rPr>
        <w:t xml:space="preserve">Date of report: </w:t>
      </w:r>
      <w:r>
        <w:t xml:space="preserve">25 August 2026</w:t>
      </w:r>
    </w:p>
    <w:p>
      <w:pPr>
        <w:spacing w:after="160"/>
      </w:pPr>
      <w:r>
        <w:rPr>
          <w:b/>
          <w:bCs/>
        </w:rPr>
        <w:t xml:space="preserve">Prepared by: </w:t>
      </w:r>
      <w:r>
        <w:t xml:space="preserve">[NOT PRESENT IN RECORD] – automated compilation; see Section 13, Certification, for the certifying analyst to complete before submission</w:t>
      </w:r>
    </w:p>
    <w:p>
      <w:pPr>
        <w:spacing w:after="160"/>
      </w:pPr>
      <w:r>
        <w:rPr>
          <w:b/>
          <w:bCs/>
        </w:rPr>
        <w:t xml:space="preserve">Submitting entity (tenant reference): </w:t>
      </w:r>
      <w:r>
        <w:t xml:space="preserve">lotschberg-dev (tenant reference recorded against this batch)</w:t>
      </w:r>
    </w:p>
    <w:p>
      <w:pPr>
        <w:spacing w:after="160"/>
      </w:pPr>
      <w:r>
        <w:rPr>
          <w:b/>
          <w:bCs/>
        </w:rPr>
        <w:t xml:space="preserve">Recipient: </w:t>
      </w:r>
      <w:r>
        <w:t xml:space="preserve">Ministry of Digital Economy and Society (MDES)</w:t>
      </w:r>
    </w:p>
    <w:p>
      <w:pPr>
        <w:spacing w:after="160"/>
      </w:pPr>
      <w:r>
        <w:rPr>
          <w:b/>
          <w:bCs/>
        </w:rPr>
        <w:t xml:space="preserve">Total URLs for which blocking is sought: </w:t>
      </w:r>
      <w:r>
        <w:t xml:space="preserve">2 (both under domain final9poker.com – see Section 7)</w:t>
      </w:r>
    </w:p>
    <w:p>
      <w:pPr>
        <w:spacing w:after="160"/>
      </w:pPr>
      <w:r>
        <w:t xml:space="preserve">This report was compiled automatically from the SICPADetect® registry export for the batch identified above. It has not been reviewed or certified by a human analyst. It must not be submitted to MDES, the Court, or any other authority in this form. Section 13 identifies the certification step required before submission.</w:t>
      </w:r>
    </w:p>
    <w:p>
      <w:pPr>
        <w:pStyle w:val="Heading1"/>
      </w:pPr>
      <w:r>
        <w:t xml:space="preserve">2. Scope and Purpose</w:t>
      </w:r>
    </w:p>
    <w:p>
      <w:pPr>
        <w:spacing w:after="160"/>
      </w:pPr>
      <w:r>
        <w:t xml:space="preserve">This batch comprises 2 classified domain(s) drawn from the SICPADetect® registry (saved search 75fefe4b-3d42-4f8b-9300-e07a4ac29ed2), exported on 2026-08-25T13:50:20.550Z. The purpose of this report is to present the system's classification evidence for each domain so that the recipient authority may consider whether to order the blocking of the listed URLs. Detection activity for the records in this batch took place on 12 August 2026 (see per-record dates in Sections 7–8); no separate reporting-period window was configured for the export itself.</w:t>
      </w:r>
    </w:p>
    <w:p>
      <w:pPr>
        <w:pStyle w:val="Heading1"/>
      </w:pPr>
      <w:r>
        <w:t xml:space="preserve">3. Detection and Classification Methodology</w:t>
      </w:r>
    </w:p>
    <w:p>
      <w:pPr>
        <w:spacing w:after="160"/>
      </w:pPr>
      <w:r>
        <w:t xml:space="preserve">The following description is derived from the fields present in the registry export for this batch. Fields not evidenced in the export are marked accordingly rather than assumed.</w:t>
      </w:r>
    </w:p>
    <w:p>
      <w:pPr>
        <w:pStyle w:val="ListParagraph"/>
        <w:numPr>
          <w:ilvl w:val="0"/>
          <w:numId w:val="1"/>
        </w:numPr>
        <w:spacing w:after="80"/>
      </w:pPr>
      <w:r>
        <w:t xml:space="preserve">Candidate URLs are submitted to SICPADetect® for analysis. Each record carries an initiating-author field; for both records in this batch that field reads “Manual (claude.ai)”, i.e. the URL was submitted for analysis rather than discovered by an automated crawl. [NOT PRESENT IN RECORD] for any upstream discovery source beyond this.</w:t>
      </w:r>
    </w:p>
    <w:p>
      <w:pPr>
        <w:pStyle w:val="ListParagraph"/>
        <w:numPr>
          <w:ilvl w:val="0"/>
          <w:numId w:val="1"/>
        </w:numPr>
        <w:spacing w:after="80"/>
      </w:pPr>
      <w:r>
        <w:t xml:space="preserve">The system performs analysis of the captured screenshot (image and on-page text) and of the URL string itself. Both evidentiary channels (“Screenshot:” and “URL:”) appear explicitly in the reasoning output reproduced in Section 8.</w:t>
      </w:r>
    </w:p>
    <w:p>
      <w:pPr>
        <w:pStyle w:val="ListParagraph"/>
        <w:numPr>
          <w:ilvl w:val="0"/>
          <w:numId w:val="1"/>
        </w:numPr>
        <w:spacing w:after="80"/>
      </w:pPr>
      <w:r>
        <w:t xml:space="preserve">Classification and subcategorisation are produced by the system and recorded as a “classification” value (e.g. ALLOWS_ONLINE_GAMBLING, REQUIRE_MORE_ANALYSIS) together with a “tags” field used for keyword subcategorisation (e.g. “poker”).</w:t>
      </w:r>
    </w:p>
    <w:p>
      <w:pPr>
        <w:pStyle w:val="ListParagraph"/>
        <w:numPr>
          <w:ilvl w:val="0"/>
          <w:numId w:val="1"/>
        </w:numPr>
        <w:spacing w:after="80"/>
      </w:pPr>
      <w:r>
        <w:t xml:space="preserve">A numeric confidence assessment (“confidencePercent”) is attached to each classification. The export does not include the configured numeric confidence threshold itself ([NOT PRESENT IN RECORD]); however, the system's own routing is evidenced directly in the export: the record scored at 95% confidence was routed to status BLACKLISTED with case-management state ILLEGAL_GAMBLING, while the record scored at 30% confidence was routed to status REVIEW_NEEDED for manual review rather than being included in the block schedule. This report follows that system routing rather than re-deriving inclusion from the raw percentage.</w:t>
      </w:r>
    </w:p>
    <w:p>
      <w:pPr>
        <w:pStyle w:val="ListParagraph"/>
        <w:numPr>
          <w:ilvl w:val="0"/>
          <w:numId w:val="1"/>
        </w:numPr>
        <w:spacing w:after="80"/>
      </w:pPr>
      <w:r>
        <w:t xml:space="preserve">Records are held in the registry keyed by a domain identifier, with one or more decision records (one per submitted URL) beneath each domain, and a status/history trail per decision. This structure is used in Sections 7–8 to group URLs by domain.</w:t>
      </w:r>
    </w:p>
    <w:p>
      <w:pPr>
        <w:pStyle w:val="ListParagraph"/>
        <w:numPr>
          <w:ilvl w:val="0"/>
          <w:numId w:val="1"/>
        </w:numPr>
        <w:spacing w:after="80"/>
      </w:pPr>
      <w:r>
        <w:t xml:space="preserve">System version and the keyword/configuration set in force for this batch: [NOT PRESENT IN RECORD] in the export.</w:t>
      </w:r>
    </w:p>
    <w:p>
      <w:pPr>
        <w:pStyle w:val="Heading1"/>
      </w:pPr>
      <w:r>
        <w:t xml:space="preserve">4. Classification Criteria Applied</w:t>
      </w:r>
    </w:p>
    <w:p>
      <w:pPr>
        <w:spacing w:after="160"/>
      </w:pPr>
      <w:r>
        <w:t xml:space="preserve">Keyword / subcategory tags observed in this batch's export (reproduced as they appear; this is not represented as the full MDES keyword list, which was not included in the export):</w:t>
      </w:r>
    </w:p>
    <w:p>
      <w:pPr>
        <w:pStyle w:val="ListParagraph"/>
        <w:numPr>
          <w:ilvl w:val="0"/>
          <w:numId w:val="1"/>
        </w:numPr>
        <w:spacing w:after="80"/>
      </w:pPr>
      <w:r>
        <w:t xml:space="preserve">“poker” – applied to the final9poker.com record</w:t>
      </w:r>
    </w:p>
    <w:p>
      <w:pPr>
        <w:pStyle w:val="ListParagraph"/>
        <w:numPr>
          <w:ilvl w:val="0"/>
          <w:numId w:val="1"/>
        </w:numPr>
        <w:spacing w:after="80"/>
      </w:pPr>
      <w:r>
        <w:t xml:space="preserve">(none) – the new.tonpoker.online record carries an empty tags array</w:t>
      </w:r>
    </w:p>
    <w:p>
      <w:pPr>
        <w:spacing w:after="160"/>
      </w:pPr>
      <w:r>
        <w:rPr>
          <w:b/>
          <w:bCs/>
        </w:rPr>
        <w:t xml:space="preserve">Confidence threshold applied: </w:t>
      </w:r>
      <w:r>
        <w:t xml:space="preserve">[NOT PRESENT IN RECORD] (no numeric threshold value present in the export – see Section 3 for the routing evidence actually present)</w:t>
      </w:r>
    </w:p>
    <w:p>
      <w:pPr>
        <w:spacing w:after="160"/>
      </w:pPr>
      <w:r>
        <w:t xml:space="preserve">Status values observed in this batch, reproduced as they appear in the export, with their evident meaning:</w:t>
      </w:r>
    </w:p>
    <w:p>
      <w:pPr>
        <w:pStyle w:val="ListParagraph"/>
        <w:numPr>
          <w:ilvl w:val="0"/>
          <w:numId w:val="1"/>
        </w:numPr>
        <w:spacing w:after="80"/>
      </w:pPr>
      <w:r>
        <w:t xml:space="preserve">BLACKLISTED – the domain's classification is treated as confirmed and the domain is included in the block schedule (Section 7).</w:t>
      </w:r>
    </w:p>
    <w:p>
      <w:pPr>
        <w:pStyle w:val="ListParagraph"/>
        <w:numPr>
          <w:ilvl w:val="0"/>
          <w:numId w:val="1"/>
        </w:numPr>
        <w:spacing w:after="80"/>
      </w:pPr>
      <w:r>
        <w:t xml:space="preserve">REVIEW_NEEDED – the classification is below the threshold for automatic inclusion and the record is set aside for manual review (Section 7, Annex B).</w:t>
      </w:r>
    </w:p>
    <w:p>
      <w:pPr>
        <w:spacing w:after="160"/>
      </w:pPr>
      <w:r>
        <w:t xml:space="preserve">Other status values may exist in the SICPADetect® workflow (e.g. the intermediate steps PENDING_URL_SCRAPPING, PENDING_DATA_ANALYSIS, ANALYSIS_DONE visible in each record's history, Section 8) but no record in this batch currently holds any status other than the two above.</w:t>
      </w:r>
    </w:p>
    <w:p>
      <w:pPr>
        <w:pStyle w:val="Heading1"/>
      </w:pPr>
      <w:r>
        <w:t xml:space="preserve">5. Exclusions Applied</w:t>
      </w:r>
    </w:p>
    <w:p>
      <w:pPr>
        <w:spacing w:after="160"/>
      </w:pPr>
      <w:r>
        <w:t xml:space="preserve">The following top-level-domain exclusion list applies to this report type: .org, .go.th, .ac.th, .edu, .org.th, .gov, .mi.th. No further batch-specific exclusions were present in the request configuration for this batch ([NOT PRESENT IN RECORD] for any additional exclusion list).</w:t>
      </w:r>
    </w:p>
    <w:p>
      <w:pPr>
        <w:spacing w:after="160"/>
      </w:pPr>
      <w:r>
        <w:rPr>
          <w:b/>
          <w:bCs/>
        </w:rPr>
        <w:t xml:space="preserve">Domains excluded by TLD filter in this batch: </w:t>
      </w:r>
      <w:r>
        <w:t xml:space="preserve">0 of 2 – the two domains in this batch use .com and .online, neither of which is on the exclusion list</w:t>
      </w:r>
    </w:p>
    <w:p>
      <w:pPr>
        <w:spacing w:after="160"/>
      </w:pPr>
      <w:r>
        <w:t xml:space="preserve">No excluded-TLD entries therefore appear in the schedule at Section 7.</w:t>
      </w:r>
    </w:p>
    <w:p>
      <w:pPr>
        <w:pStyle w:val="Heading1"/>
      </w:pPr>
      <w:r>
        <w:t xml:space="preserve">6. Batch Summary</w:t>
      </w:r>
    </w:p>
    <w:p>
      <w:pPr>
        <w:spacing w:after="160"/>
      </w:pPr>
      <w:r>
        <w:t xml:space="preserve">Batch arithmetic:</w:t>
      </w:r>
    </w:p>
    <w:tbl>
      <w:tblPr>
        <w:tblW w:type="dxa" w:w="9000"/>
        <w:tblBorders>
          <w:top w:val="single" w:color="999999" w:sz="1"/>
          <w:left w:val="single" w:color="999999" w:sz="1"/>
          <w:bottom w:val="single" w:color="999999" w:sz="1"/>
          <w:right w:val="single" w:color="999999" w:sz="1"/>
          <w:insideH w:val="single" w:color="999999" w:sz="1"/>
          <w:insideV w:val="single" w:color="999999" w:sz="1"/>
        </w:tblBorders>
      </w:tblPr>
      <w:tblGrid>
        <w:gridCol w:w="5400"/>
        <w:gridCol w:w="3600"/>
      </w:tblGrid>
      <w:tr>
        <w:tc>
          <w:tcPr>
            <w:tcW w:type="dxa" w:w="5400"/>
            <w:shd w:fill="D9E2F3" w:color="auto" w:val="clear"/>
            <w:tcMar>
              <w:top w:type="dxa" w:w="60"/>
              <w:left w:type="dxa" w:w="100"/>
              <w:bottom w:type="dxa" w:w="60"/>
              <w:right w:type="dxa" w:w="100"/>
            </w:tcMar>
            <w:vAlign w:val="center"/>
          </w:tcPr>
          <w:p>
            <w:r>
              <w:rPr>
                <w:b/>
                <w:bCs/>
              </w:rPr>
              <w:t xml:space="preserve">Metric</w:t>
            </w:r>
          </w:p>
        </w:tc>
        <w:tc>
          <w:tcPr>
            <w:tcW w:type="dxa" w:w="3600"/>
            <w:shd w:fill="D9E2F3" w:color="auto" w:val="clear"/>
            <w:tcMar>
              <w:top w:type="dxa" w:w="60"/>
              <w:left w:type="dxa" w:w="100"/>
              <w:bottom w:type="dxa" w:w="60"/>
              <w:right w:type="dxa" w:w="100"/>
            </w:tcMar>
            <w:vAlign w:val="center"/>
          </w:tcPr>
          <w:p>
            <w:r>
              <w:rPr>
                <w:b/>
                <w:bCs/>
              </w:rPr>
              <w:t xml:space="preserve">Count</w:t>
            </w:r>
          </w:p>
        </w:tc>
      </w:tr>
      <w:tr>
        <w:tc>
          <w:tcPr>
            <w:tcW w:type="dxa" w:w="5400"/>
            <w:tcMar>
              <w:top w:type="dxa" w:w="60"/>
              <w:left w:type="dxa" w:w="100"/>
              <w:bottom w:type="dxa" w:w="60"/>
              <w:right w:type="dxa" w:w="100"/>
            </w:tcMar>
            <w:vAlign w:val="center"/>
          </w:tcPr>
          <w:p>
            <w:r>
              <w:rPr>
                <w:b w:val="false"/>
                <w:bCs w:val="false"/>
              </w:rPr>
              <w:t xml:space="preserve">Domains processed</w:t>
            </w:r>
          </w:p>
        </w:tc>
        <w:tc>
          <w:tcPr>
            <w:tcW w:type="dxa" w:w="3600"/>
            <w:tcMar>
              <w:top w:type="dxa" w:w="60"/>
              <w:left w:type="dxa" w:w="100"/>
              <w:bottom w:type="dxa" w:w="60"/>
              <w:right w:type="dxa" w:w="100"/>
            </w:tcMar>
            <w:vAlign w:val="center"/>
          </w:tcPr>
          <w:p>
            <w:r>
              <w:rPr>
                <w:b w:val="false"/>
                <w:bCs w:val="false"/>
              </w:rPr>
              <w:t xml:space="preserve">2</w:t>
            </w:r>
          </w:p>
        </w:tc>
      </w:tr>
      <w:tr>
        <w:tc>
          <w:tcPr>
            <w:tcW w:type="dxa" w:w="5400"/>
            <w:tcMar>
              <w:top w:type="dxa" w:w="60"/>
              <w:left w:type="dxa" w:w="100"/>
              <w:bottom w:type="dxa" w:w="60"/>
              <w:right w:type="dxa" w:w="100"/>
            </w:tcMar>
            <w:vAlign w:val="center"/>
          </w:tcPr>
          <w:p>
            <w:r>
              <w:rPr>
                <w:b w:val="false"/>
                <w:bCs w:val="false"/>
              </w:rPr>
              <w:t xml:space="preserve">URLs processed</w:t>
            </w:r>
          </w:p>
        </w:tc>
        <w:tc>
          <w:tcPr>
            <w:tcW w:type="dxa" w:w="3600"/>
            <w:tcMar>
              <w:top w:type="dxa" w:w="60"/>
              <w:left w:type="dxa" w:w="100"/>
              <w:bottom w:type="dxa" w:w="60"/>
              <w:right w:type="dxa" w:w="100"/>
            </w:tcMar>
            <w:vAlign w:val="center"/>
          </w:tcPr>
          <w:p>
            <w:r>
              <w:rPr>
                <w:b w:val="false"/>
                <w:bCs w:val="false"/>
              </w:rPr>
              <w:t xml:space="preserve">3</w:t>
            </w:r>
          </w:p>
        </w:tc>
      </w:tr>
      <w:tr>
        <w:tc>
          <w:tcPr>
            <w:tcW w:type="dxa" w:w="5400"/>
            <w:tcMar>
              <w:top w:type="dxa" w:w="60"/>
              <w:left w:type="dxa" w:w="100"/>
              <w:bottom w:type="dxa" w:w="60"/>
              <w:right w:type="dxa" w:w="100"/>
            </w:tcMar>
            <w:vAlign w:val="center"/>
          </w:tcPr>
          <w:p>
            <w:r>
              <w:rPr>
                <w:b w:val="false"/>
                <w:bCs w:val="false"/>
              </w:rPr>
              <w:t xml:space="preserve">Domains included in block schedule</w:t>
            </w:r>
          </w:p>
        </w:tc>
        <w:tc>
          <w:tcPr>
            <w:tcW w:type="dxa" w:w="3600"/>
            <w:tcMar>
              <w:top w:type="dxa" w:w="60"/>
              <w:left w:type="dxa" w:w="100"/>
              <w:bottom w:type="dxa" w:w="60"/>
              <w:right w:type="dxa" w:w="100"/>
            </w:tcMar>
            <w:vAlign w:val="center"/>
          </w:tcPr>
          <w:p>
            <w:r>
              <w:rPr>
                <w:b w:val="false"/>
                <w:bCs w:val="false"/>
              </w:rPr>
              <w:t xml:space="preserve">1 (final9poker.com)</w:t>
            </w:r>
          </w:p>
        </w:tc>
      </w:tr>
      <w:tr>
        <w:tc>
          <w:tcPr>
            <w:tcW w:type="dxa" w:w="5400"/>
            <w:tcMar>
              <w:top w:type="dxa" w:w="60"/>
              <w:left w:type="dxa" w:w="100"/>
              <w:bottom w:type="dxa" w:w="60"/>
              <w:right w:type="dxa" w:w="100"/>
            </w:tcMar>
            <w:vAlign w:val="center"/>
          </w:tcPr>
          <w:p>
            <w:r>
              <w:rPr>
                <w:b w:val="false"/>
                <w:bCs w:val="false"/>
              </w:rPr>
              <w:t xml:space="preserve">URLs included in block schedule</w:t>
            </w:r>
          </w:p>
        </w:tc>
        <w:tc>
          <w:tcPr>
            <w:tcW w:type="dxa" w:w="3600"/>
            <w:tcMar>
              <w:top w:type="dxa" w:w="60"/>
              <w:left w:type="dxa" w:w="100"/>
              <w:bottom w:type="dxa" w:w="60"/>
              <w:right w:type="dxa" w:w="100"/>
            </w:tcMar>
            <w:vAlign w:val="center"/>
          </w:tcPr>
          <w:p>
            <w:r>
              <w:rPr>
                <w:b w:val="false"/>
                <w:bCs w:val="false"/>
              </w:rPr>
              <w:t xml:space="preserve">2</w:t>
            </w:r>
          </w:p>
        </w:tc>
      </w:tr>
      <w:tr>
        <w:tc>
          <w:tcPr>
            <w:tcW w:type="dxa" w:w="5400"/>
            <w:tcMar>
              <w:top w:type="dxa" w:w="60"/>
              <w:left w:type="dxa" w:w="100"/>
              <w:bottom w:type="dxa" w:w="60"/>
              <w:right w:type="dxa" w:w="100"/>
            </w:tcMar>
            <w:vAlign w:val="center"/>
          </w:tcPr>
          <w:p>
            <w:r>
              <w:rPr>
                <w:b w:val="false"/>
                <w:bCs w:val="false"/>
              </w:rPr>
              <w:t xml:space="preserve">Domains referred for manual review</w:t>
            </w:r>
          </w:p>
        </w:tc>
        <w:tc>
          <w:tcPr>
            <w:tcW w:type="dxa" w:w="3600"/>
            <w:tcMar>
              <w:top w:type="dxa" w:w="60"/>
              <w:left w:type="dxa" w:w="100"/>
              <w:bottom w:type="dxa" w:w="60"/>
              <w:right w:type="dxa" w:w="100"/>
            </w:tcMar>
            <w:vAlign w:val="center"/>
          </w:tcPr>
          <w:p>
            <w:r>
              <w:rPr>
                <w:b w:val="false"/>
                <w:bCs w:val="false"/>
              </w:rPr>
              <w:t xml:space="preserve">1 (new.tonpoker.online)</w:t>
            </w:r>
          </w:p>
        </w:tc>
      </w:tr>
      <w:tr>
        <w:tc>
          <w:tcPr>
            <w:tcW w:type="dxa" w:w="5400"/>
            <w:tcMar>
              <w:top w:type="dxa" w:w="60"/>
              <w:left w:type="dxa" w:w="100"/>
              <w:bottom w:type="dxa" w:w="60"/>
              <w:right w:type="dxa" w:w="100"/>
            </w:tcMar>
            <w:vAlign w:val="center"/>
          </w:tcPr>
          <w:p>
            <w:r>
              <w:rPr>
                <w:b w:val="false"/>
                <w:bCs w:val="false"/>
              </w:rPr>
              <w:t xml:space="preserve">URLs referred for manual review</w:t>
            </w:r>
          </w:p>
        </w:tc>
        <w:tc>
          <w:tcPr>
            <w:tcW w:type="dxa" w:w="3600"/>
            <w:tcMar>
              <w:top w:type="dxa" w:w="60"/>
              <w:left w:type="dxa" w:w="100"/>
              <w:bottom w:type="dxa" w:w="60"/>
              <w:right w:type="dxa" w:w="100"/>
            </w:tcMar>
            <w:vAlign w:val="center"/>
          </w:tcPr>
          <w:p>
            <w:r>
              <w:rPr>
                <w:b w:val="false"/>
                <w:bCs w:val="false"/>
              </w:rPr>
              <w:t xml:space="preserve">1</w:t>
            </w:r>
          </w:p>
        </w:tc>
      </w:tr>
      <w:tr>
        <w:tc>
          <w:tcPr>
            <w:tcW w:type="dxa" w:w="5400"/>
            <w:tcMar>
              <w:top w:type="dxa" w:w="60"/>
              <w:left w:type="dxa" w:w="100"/>
              <w:bottom w:type="dxa" w:w="60"/>
              <w:right w:type="dxa" w:w="100"/>
            </w:tcMar>
            <w:vAlign w:val="center"/>
          </w:tcPr>
          <w:p>
            <w:r>
              <w:rPr>
                <w:b w:val="false"/>
                <w:bCs w:val="false"/>
              </w:rPr>
              <w:t xml:space="preserve">Domains excluded by TLD filter</w:t>
            </w:r>
          </w:p>
        </w:tc>
        <w:tc>
          <w:tcPr>
            <w:tcW w:type="dxa" w:w="3600"/>
            <w:tcMar>
              <w:top w:type="dxa" w:w="60"/>
              <w:left w:type="dxa" w:w="100"/>
              <w:bottom w:type="dxa" w:w="60"/>
              <w:right w:type="dxa" w:w="100"/>
            </w:tcMar>
            <w:vAlign w:val="center"/>
          </w:tcPr>
          <w:p>
            <w:r>
              <w:rPr>
                <w:b w:val="false"/>
                <w:bCs w:val="false"/>
              </w:rPr>
              <w:t xml:space="preserve">0</w:t>
            </w:r>
          </w:p>
        </w:tc>
      </w:tr>
    </w:tbl>
    <w:p>
      <w:pPr>
        <w:spacing w:after="160"/>
      </w:pPr>
      <w:r>
        <w:t xml:space="preserve"/>
      </w:r>
    </w:p>
    <w:p>
      <w:pPr>
        <w:spacing w:after="160"/>
      </w:pPr>
      <w:r>
        <w:t xml:space="preserve">Reconciliation: 2 domains processed = 1 included + 1 referred for review + 0 excluded. 3 URLs processed = 2 included + 1 referred for review + 0 excluded.</w:t>
      </w:r>
    </w:p>
    <w:p>
      <w:pPr>
        <w:spacing w:after="160"/>
      </w:pPr>
      <w:r>
        <w:t xml:space="preserve"/>
      </w:r>
    </w:p>
    <w:p>
      <w:pPr>
        <w:spacing w:after="160"/>
      </w:pPr>
      <w:r>
        <w:t xml:space="preserve">Included records by subcategory:</w:t>
      </w:r>
    </w:p>
    <w:p>
      <w:pPr>
        <w:pStyle w:val="ListParagraph"/>
        <w:numPr>
          <w:ilvl w:val="0"/>
          <w:numId w:val="1"/>
        </w:numPr>
        <w:spacing w:after="80"/>
      </w:pPr>
      <w:r>
        <w:t xml:space="preserve">poker: 1 domain / 2 URLs</w:t>
      </w:r>
    </w:p>
    <w:p>
      <w:pPr>
        <w:spacing w:after="160"/>
      </w:pPr>
      <w:r>
        <w:t xml:space="preserve">Included records by confidence band:</w:t>
      </w:r>
    </w:p>
    <w:p>
      <w:pPr>
        <w:pStyle w:val="ListParagraph"/>
        <w:numPr>
          <w:ilvl w:val="0"/>
          <w:numId w:val="1"/>
        </w:numPr>
        <w:spacing w:after="80"/>
      </w:pPr>
      <w:r>
        <w:t xml:space="preserve">90–100%: 1 domain / 2 URLs (95%)</w:t>
      </w:r>
    </w:p>
    <w:p>
      <w:pPr>
        <w:spacing w:after="160"/>
      </w:pPr>
      <w:r>
        <w:t xml:space="preserve">Referred-for-review records by confidence band:</w:t>
      </w:r>
    </w:p>
    <w:p>
      <w:pPr>
        <w:pStyle w:val="ListParagraph"/>
        <w:numPr>
          <w:ilvl w:val="0"/>
          <w:numId w:val="1"/>
        </w:numPr>
        <w:spacing w:after="80"/>
      </w:pPr>
      <w:r>
        <w:t xml:space="preserve">0–50%: 1 domain / 1 URL (30%)</w:t>
      </w:r>
    </w:p>
    <w:p>
      <w:pPr>
        <w:pStyle w:val="Heading1"/>
      </w:pPr>
      <w:r>
        <w:t xml:space="preserve">7. Schedule of URLs</w:t>
      </w:r>
    </w:p>
    <w:p>
      <w:pPr>
        <w:pStyle w:val="Heading2"/>
      </w:pPr>
      <w:r>
        <w:t xml:space="preserve">7.1 Operative Block Schedule</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500"/>
        <w:gridCol w:w="1400"/>
        <w:gridCol w:w="2860"/>
        <w:gridCol w:w="1200"/>
        <w:gridCol w:w="900"/>
        <w:gridCol w:w="900"/>
        <w:gridCol w:w="1600"/>
      </w:tblGrid>
      <w:tr>
        <w:tc>
          <w:tcPr>
            <w:tcW w:type="dxa" w:w="500"/>
            <w:shd w:fill="D9E2F3" w:color="auto" w:val="clear"/>
            <w:tcMar>
              <w:top w:type="dxa" w:w="60"/>
              <w:left w:type="dxa" w:w="100"/>
              <w:bottom w:type="dxa" w:w="60"/>
              <w:right w:type="dxa" w:w="100"/>
            </w:tcMar>
            <w:vAlign w:val="center"/>
          </w:tcPr>
          <w:p>
            <w:r>
              <w:rPr>
                <w:b/>
                <w:bCs/>
              </w:rPr>
              <w:t xml:space="preserve">#</w:t>
            </w:r>
          </w:p>
        </w:tc>
        <w:tc>
          <w:tcPr>
            <w:tcW w:type="dxa" w:w="1400"/>
            <w:shd w:fill="D9E2F3" w:color="auto" w:val="clear"/>
            <w:tcMar>
              <w:top w:type="dxa" w:w="60"/>
              <w:left w:type="dxa" w:w="100"/>
              <w:bottom w:type="dxa" w:w="60"/>
              <w:right w:type="dxa" w:w="100"/>
            </w:tcMar>
            <w:vAlign w:val="center"/>
          </w:tcPr>
          <w:p>
            <w:r>
              <w:rPr>
                <w:b/>
                <w:bCs/>
              </w:rPr>
              <w:t xml:space="preserve">Domain</w:t>
            </w:r>
          </w:p>
        </w:tc>
        <w:tc>
          <w:tcPr>
            <w:tcW w:type="dxa" w:w="2860"/>
            <w:shd w:fill="D9E2F3" w:color="auto" w:val="clear"/>
            <w:tcMar>
              <w:top w:type="dxa" w:w="60"/>
              <w:left w:type="dxa" w:w="100"/>
              <w:bottom w:type="dxa" w:w="60"/>
              <w:right w:type="dxa" w:w="100"/>
            </w:tcMar>
            <w:vAlign w:val="center"/>
          </w:tcPr>
          <w:p>
            <w:r>
              <w:rPr>
                <w:b/>
                <w:bCs/>
              </w:rPr>
              <w:t xml:space="preserve">Full URL</w:t>
            </w:r>
          </w:p>
        </w:tc>
        <w:tc>
          <w:tcPr>
            <w:tcW w:type="dxa" w:w="1200"/>
            <w:shd w:fill="D9E2F3" w:color="auto" w:val="clear"/>
            <w:tcMar>
              <w:top w:type="dxa" w:w="60"/>
              <w:left w:type="dxa" w:w="100"/>
              <w:bottom w:type="dxa" w:w="60"/>
              <w:right w:type="dxa" w:w="100"/>
            </w:tcMar>
            <w:vAlign w:val="center"/>
          </w:tcPr>
          <w:p>
            <w:r>
              <w:rPr>
                <w:b/>
                <w:bCs/>
              </w:rPr>
              <w:t xml:space="preserve">Status / Confidence</w:t>
            </w:r>
          </w:p>
        </w:tc>
        <w:tc>
          <w:tcPr>
            <w:tcW w:type="dxa" w:w="900"/>
            <w:shd w:fill="D9E2F3" w:color="auto" w:val="clear"/>
            <w:tcMar>
              <w:top w:type="dxa" w:w="60"/>
              <w:left w:type="dxa" w:w="100"/>
              <w:bottom w:type="dxa" w:w="60"/>
              <w:right w:type="dxa" w:w="100"/>
            </w:tcMar>
            <w:vAlign w:val="center"/>
          </w:tcPr>
          <w:p>
            <w:r>
              <w:rPr>
                <w:b/>
                <w:bCs/>
              </w:rPr>
              <w:t xml:space="preserve">Subcategory</w:t>
            </w:r>
          </w:p>
        </w:tc>
        <w:tc>
          <w:tcPr>
            <w:tcW w:type="dxa" w:w="900"/>
            <w:shd w:fill="D9E2F3" w:color="auto" w:val="clear"/>
            <w:tcMar>
              <w:top w:type="dxa" w:w="60"/>
              <w:left w:type="dxa" w:w="100"/>
              <w:bottom w:type="dxa" w:w="60"/>
              <w:right w:type="dxa" w:w="100"/>
            </w:tcMar>
            <w:vAlign w:val="center"/>
          </w:tcPr>
          <w:p>
            <w:r>
              <w:rPr>
                <w:b/>
                <w:bCs/>
              </w:rPr>
              <w:t xml:space="preserve">Captured</w:t>
            </w:r>
          </w:p>
        </w:tc>
        <w:tc>
          <w:tcPr>
            <w:tcW w:type="dxa" w:w="1600"/>
            <w:shd w:fill="D9E2F3" w:color="auto" w:val="clear"/>
            <w:tcMar>
              <w:top w:type="dxa" w:w="60"/>
              <w:left w:type="dxa" w:w="100"/>
              <w:bottom w:type="dxa" w:w="60"/>
              <w:right w:type="dxa" w:w="100"/>
            </w:tcMar>
            <w:vAlign w:val="center"/>
          </w:tcPr>
          <w:p>
            <w:r>
              <w:rPr>
                <w:b/>
                <w:bCs/>
              </w:rPr>
              <w:t xml:space="preserve">Screenshot ref / live status</w:t>
            </w:r>
          </w:p>
        </w:tc>
      </w:tr>
      <w:tr>
        <w:tc>
          <w:tcPr>
            <w:tcW w:type="dxa" w:w="500"/>
            <w:tcMar>
              <w:top w:type="dxa" w:w="60"/>
              <w:left w:type="dxa" w:w="100"/>
              <w:bottom w:type="dxa" w:w="60"/>
              <w:right w:type="dxa" w:w="100"/>
            </w:tcMar>
            <w:vAlign w:val="center"/>
          </w:tcPr>
          <w:p>
            <w:r>
              <w:rPr>
                <w:b w:val="false"/>
                <w:bCs w:val="false"/>
              </w:rPr>
              <w:t xml:space="preserve">1</w:t>
            </w:r>
          </w:p>
        </w:tc>
        <w:tc>
          <w:tcPr>
            <w:tcW w:type="dxa" w:w="1400"/>
            <w:tcMar>
              <w:top w:type="dxa" w:w="60"/>
              <w:left w:type="dxa" w:w="100"/>
              <w:bottom w:type="dxa" w:w="60"/>
              <w:right w:type="dxa" w:w="100"/>
            </w:tcMar>
            <w:vAlign w:val="center"/>
          </w:tcPr>
          <w:p>
            <w:r>
              <w:rPr>
                <w:b w:val="false"/>
                <w:bCs w:val="false"/>
              </w:rPr>
              <w:t xml:space="preserve">final9poker.com</w:t>
            </w:r>
          </w:p>
        </w:tc>
        <w:tc>
          <w:tcPr>
            <w:tcW w:type="dxa" w:w="2860"/>
            <w:tcMar>
              <w:top w:type="dxa" w:w="60"/>
              <w:left w:type="dxa" w:w="100"/>
              <w:bottom w:type="dxa" w:w="60"/>
              <w:right w:type="dxa" w:w="100"/>
            </w:tcMar>
            <w:vAlign w:val="center"/>
          </w:tcPr>
          <w:p>
            <w:r>
              <w:rPr>
                <w:b w:val="false"/>
                <w:bCs w:val="false"/>
              </w:rPr>
              <w:t xml:space="preserve">https://final9poker.com/?utm_campaign=winter3000</w:t>
            </w:r>
          </w:p>
        </w:tc>
        <w:tc>
          <w:tcPr>
            <w:tcW w:type="dxa" w:w="1200"/>
            <w:tcMar>
              <w:top w:type="dxa" w:w="60"/>
              <w:left w:type="dxa" w:w="100"/>
              <w:bottom w:type="dxa" w:w="60"/>
              <w:right w:type="dxa" w:w="100"/>
            </w:tcMar>
            <w:vAlign w:val="center"/>
          </w:tcPr>
          <w:p>
            <w:r>
              <w:rPr>
                <w:b w:val="false"/>
                <w:bCs w:val="false"/>
              </w:rPr>
              <w:t xml:space="preserve">BLACKLISTED / 95%</w:t>
            </w:r>
          </w:p>
        </w:tc>
        <w:tc>
          <w:tcPr>
            <w:tcW w:type="dxa" w:w="900"/>
            <w:tcMar>
              <w:top w:type="dxa" w:w="60"/>
              <w:left w:type="dxa" w:w="100"/>
              <w:bottom w:type="dxa" w:w="60"/>
              <w:right w:type="dxa" w:w="100"/>
            </w:tcMar>
            <w:vAlign w:val="center"/>
          </w:tcPr>
          <w:p>
            <w:r>
              <w:rPr>
                <w:b w:val="false"/>
                <w:bCs w:val="false"/>
              </w:rPr>
              <w:t xml:space="preserve">poker</w:t>
            </w:r>
          </w:p>
        </w:tc>
        <w:tc>
          <w:tcPr>
            <w:tcW w:type="dxa" w:w="900"/>
            <w:tcMar>
              <w:top w:type="dxa" w:w="60"/>
              <w:left w:type="dxa" w:w="100"/>
              <w:bottom w:type="dxa" w:w="60"/>
              <w:right w:type="dxa" w:w="100"/>
            </w:tcMar>
            <w:vAlign w:val="center"/>
          </w:tcPr>
          <w:p>
            <w:r>
              <w:rPr>
                <w:b w:val="false"/>
                <w:bCs w:val="false"/>
              </w:rPr>
              <w:t xml:space="preserve">2026-08-12 14:25 UTC</w:t>
            </w:r>
          </w:p>
        </w:tc>
        <w:tc>
          <w:tcPr>
            <w:tcW w:type="dxa" w:w="1600"/>
            <w:tcMar>
              <w:top w:type="dxa" w:w="60"/>
              <w:left w:type="dxa" w:w="100"/>
              <w:bottom w:type="dxa" w:w="60"/>
              <w:right w:type="dxa" w:w="100"/>
            </w:tcMar>
            <w:vAlign w:val="center"/>
          </w:tcPr>
          <w:p>
            <w:r>
              <w:rPr>
                <w:b w:val="false"/>
                <w:bCs w:val="false"/>
              </w:rPr>
              <w:t xml:space="preserve">Exhibit 1 / [NOT PRESENT IN RECORD] (live status not re-checked at report time)</w:t>
            </w:r>
          </w:p>
        </w:tc>
      </w:tr>
      <w:tr>
        <w:tc>
          <w:tcPr>
            <w:tcW w:type="dxa" w:w="500"/>
            <w:tcMar>
              <w:top w:type="dxa" w:w="60"/>
              <w:left w:type="dxa" w:w="100"/>
              <w:bottom w:type="dxa" w:w="60"/>
              <w:right w:type="dxa" w:w="100"/>
            </w:tcMar>
            <w:vAlign w:val="center"/>
          </w:tcPr>
          <w:p>
            <w:r>
              <w:rPr>
                <w:b w:val="false"/>
                <w:bCs w:val="false"/>
              </w:rPr>
              <w:t xml:space="preserve">2</w:t>
            </w:r>
          </w:p>
        </w:tc>
        <w:tc>
          <w:tcPr>
            <w:tcW w:type="dxa" w:w="1400"/>
            <w:tcMar>
              <w:top w:type="dxa" w:w="60"/>
              <w:left w:type="dxa" w:w="100"/>
              <w:bottom w:type="dxa" w:w="60"/>
              <w:right w:type="dxa" w:w="100"/>
            </w:tcMar>
            <w:vAlign w:val="center"/>
          </w:tcPr>
          <w:p>
            <w:r>
              <w:rPr>
                <w:b w:val="false"/>
                <w:bCs w:val="false"/>
              </w:rPr>
              <w:t xml:space="preserve">final9poker.com</w:t>
            </w:r>
          </w:p>
        </w:tc>
        <w:tc>
          <w:tcPr>
            <w:tcW w:type="dxa" w:w="2860"/>
            <w:tcMar>
              <w:top w:type="dxa" w:w="60"/>
              <w:left w:type="dxa" w:w="100"/>
              <w:bottom w:type="dxa" w:w="60"/>
              <w:right w:type="dxa" w:w="100"/>
            </w:tcMar>
            <w:vAlign w:val="center"/>
          </w:tcPr>
          <w:p>
            <w:r>
              <w:rPr>
                <w:b w:val="false"/>
                <w:bCs w:val="false"/>
              </w:rPr>
              <w:t xml:space="preserve">https://final9poker.com/</w:t>
            </w:r>
          </w:p>
        </w:tc>
        <w:tc>
          <w:tcPr>
            <w:tcW w:type="dxa" w:w="1200"/>
            <w:tcMar>
              <w:top w:type="dxa" w:w="60"/>
              <w:left w:type="dxa" w:w="100"/>
              <w:bottom w:type="dxa" w:w="60"/>
              <w:right w:type="dxa" w:w="100"/>
            </w:tcMar>
            <w:vAlign w:val="center"/>
          </w:tcPr>
          <w:p>
            <w:r>
              <w:rPr>
                <w:b w:val="false"/>
                <w:bCs w:val="false"/>
              </w:rPr>
              <w:t xml:space="preserve">BLACKLISTED / 95%</w:t>
            </w:r>
          </w:p>
        </w:tc>
        <w:tc>
          <w:tcPr>
            <w:tcW w:type="dxa" w:w="900"/>
            <w:tcMar>
              <w:top w:type="dxa" w:w="60"/>
              <w:left w:type="dxa" w:w="100"/>
              <w:bottom w:type="dxa" w:w="60"/>
              <w:right w:type="dxa" w:w="100"/>
            </w:tcMar>
            <w:vAlign w:val="center"/>
          </w:tcPr>
          <w:p>
            <w:r>
              <w:rPr>
                <w:b w:val="false"/>
                <w:bCs w:val="false"/>
              </w:rPr>
              <w:t xml:space="preserve">poker</w:t>
            </w:r>
          </w:p>
        </w:tc>
        <w:tc>
          <w:tcPr>
            <w:tcW w:type="dxa" w:w="900"/>
            <w:tcMar>
              <w:top w:type="dxa" w:w="60"/>
              <w:left w:type="dxa" w:w="100"/>
              <w:bottom w:type="dxa" w:w="60"/>
              <w:right w:type="dxa" w:w="100"/>
            </w:tcMar>
            <w:vAlign w:val="center"/>
          </w:tcPr>
          <w:p>
            <w:r>
              <w:rPr>
                <w:b w:val="false"/>
                <w:bCs w:val="false"/>
              </w:rPr>
              <w:t xml:space="preserve">2026-08-12 14:15 UTC</w:t>
            </w:r>
          </w:p>
        </w:tc>
        <w:tc>
          <w:tcPr>
            <w:tcW w:type="dxa" w:w="1600"/>
            <w:tcMar>
              <w:top w:type="dxa" w:w="60"/>
              <w:left w:type="dxa" w:w="100"/>
              <w:bottom w:type="dxa" w:w="60"/>
              <w:right w:type="dxa" w:w="100"/>
            </w:tcMar>
            <w:vAlign w:val="center"/>
          </w:tcPr>
          <w:p>
            <w:r>
              <w:rPr>
                <w:b w:val="false"/>
                <w:bCs w:val="false"/>
              </w:rPr>
              <w:t xml:space="preserve">Exhibit 1 (identical capture) / [NOT PRESENT IN RECORD]</w:t>
            </w:r>
          </w:p>
        </w:tc>
      </w:tr>
    </w:tbl>
    <w:p>
      <w:pPr>
        <w:spacing w:after="160"/>
      </w:pPr>
      <w:r>
        <w:t xml:space="preserve"/>
      </w:r>
    </w:p>
    <w:p>
      <w:pPr>
        <w:spacing w:after="160"/>
      </w:pPr>
      <w:r>
        <w:t xml:space="preserve">URLs are reproduced character-for-character from the registry export.</w:t>
      </w:r>
    </w:p>
    <w:p>
      <w:pPr>
        <w:pStyle w:val="Heading2"/>
      </w:pPr>
      <w:r>
        <w:t xml:space="preserve">7.2 Annex B – Referred for Manual Review (not part of the block schedule)</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500"/>
        <w:gridCol w:w="1600"/>
        <w:gridCol w:w="3060"/>
        <w:gridCol w:w="1400"/>
        <w:gridCol w:w="900"/>
        <w:gridCol w:w="1900"/>
      </w:tblGrid>
      <w:tr>
        <w:tc>
          <w:tcPr>
            <w:tcW w:type="dxa" w:w="500"/>
            <w:shd w:fill="F2E2C4" w:color="auto" w:val="clear"/>
            <w:tcMar>
              <w:top w:type="dxa" w:w="60"/>
              <w:left w:type="dxa" w:w="100"/>
              <w:bottom w:type="dxa" w:w="60"/>
              <w:right w:type="dxa" w:w="100"/>
            </w:tcMar>
            <w:vAlign w:val="center"/>
          </w:tcPr>
          <w:p>
            <w:r>
              <w:rPr>
                <w:b/>
                <w:bCs/>
              </w:rPr>
              <w:t xml:space="preserve">#</w:t>
            </w:r>
          </w:p>
        </w:tc>
        <w:tc>
          <w:tcPr>
            <w:tcW w:type="dxa" w:w="1600"/>
            <w:shd w:fill="F2E2C4" w:color="auto" w:val="clear"/>
            <w:tcMar>
              <w:top w:type="dxa" w:w="60"/>
              <w:left w:type="dxa" w:w="100"/>
              <w:bottom w:type="dxa" w:w="60"/>
              <w:right w:type="dxa" w:w="100"/>
            </w:tcMar>
            <w:vAlign w:val="center"/>
          </w:tcPr>
          <w:p>
            <w:r>
              <w:rPr>
                <w:b/>
                <w:bCs/>
              </w:rPr>
              <w:t xml:space="preserve">Domain</w:t>
            </w:r>
          </w:p>
        </w:tc>
        <w:tc>
          <w:tcPr>
            <w:tcW w:type="dxa" w:w="3060"/>
            <w:shd w:fill="F2E2C4" w:color="auto" w:val="clear"/>
            <w:tcMar>
              <w:top w:type="dxa" w:w="60"/>
              <w:left w:type="dxa" w:w="100"/>
              <w:bottom w:type="dxa" w:w="60"/>
              <w:right w:type="dxa" w:w="100"/>
            </w:tcMar>
            <w:vAlign w:val="center"/>
          </w:tcPr>
          <w:p>
            <w:r>
              <w:rPr>
                <w:b/>
                <w:bCs/>
              </w:rPr>
              <w:t xml:space="preserve">Full URL</w:t>
            </w:r>
          </w:p>
        </w:tc>
        <w:tc>
          <w:tcPr>
            <w:tcW w:type="dxa" w:w="1400"/>
            <w:shd w:fill="F2E2C4" w:color="auto" w:val="clear"/>
            <w:tcMar>
              <w:top w:type="dxa" w:w="60"/>
              <w:left w:type="dxa" w:w="100"/>
              <w:bottom w:type="dxa" w:w="60"/>
              <w:right w:type="dxa" w:w="100"/>
            </w:tcMar>
            <w:vAlign w:val="center"/>
          </w:tcPr>
          <w:p>
            <w:r>
              <w:rPr>
                <w:b/>
                <w:bCs/>
              </w:rPr>
              <w:t xml:space="preserve">Status / Confidence</w:t>
            </w:r>
          </w:p>
        </w:tc>
        <w:tc>
          <w:tcPr>
            <w:tcW w:type="dxa" w:w="900"/>
            <w:shd w:fill="F2E2C4" w:color="auto" w:val="clear"/>
            <w:tcMar>
              <w:top w:type="dxa" w:w="60"/>
              <w:left w:type="dxa" w:w="100"/>
              <w:bottom w:type="dxa" w:w="60"/>
              <w:right w:type="dxa" w:w="100"/>
            </w:tcMar>
            <w:vAlign w:val="center"/>
          </w:tcPr>
          <w:p>
            <w:r>
              <w:rPr>
                <w:b/>
                <w:bCs/>
              </w:rPr>
              <w:t xml:space="preserve">Subcategory</w:t>
            </w:r>
          </w:p>
        </w:tc>
        <w:tc>
          <w:tcPr>
            <w:tcW w:type="dxa" w:w="1900"/>
            <w:shd w:fill="F2E2C4" w:color="auto" w:val="clear"/>
            <w:tcMar>
              <w:top w:type="dxa" w:w="60"/>
              <w:left w:type="dxa" w:w="100"/>
              <w:bottom w:type="dxa" w:w="60"/>
              <w:right w:type="dxa" w:w="100"/>
            </w:tcMar>
            <w:vAlign w:val="center"/>
          </w:tcPr>
          <w:p>
            <w:r>
              <w:rPr>
                <w:b/>
                <w:bCs/>
              </w:rPr>
              <w:t xml:space="preserve">Captured</w:t>
            </w:r>
          </w:p>
        </w:tc>
      </w:tr>
      <w:tr>
        <w:tc>
          <w:tcPr>
            <w:tcW w:type="dxa" w:w="500"/>
            <w:tcMar>
              <w:top w:type="dxa" w:w="60"/>
              <w:left w:type="dxa" w:w="100"/>
              <w:bottom w:type="dxa" w:w="60"/>
              <w:right w:type="dxa" w:w="100"/>
            </w:tcMar>
            <w:vAlign w:val="center"/>
          </w:tcPr>
          <w:p>
            <w:r>
              <w:rPr>
                <w:b w:val="false"/>
                <w:bCs w:val="false"/>
              </w:rPr>
              <w:t xml:space="preserve">1</w:t>
            </w:r>
          </w:p>
        </w:tc>
        <w:tc>
          <w:tcPr>
            <w:tcW w:type="dxa" w:w="1600"/>
            <w:tcMar>
              <w:top w:type="dxa" w:w="60"/>
              <w:left w:type="dxa" w:w="100"/>
              <w:bottom w:type="dxa" w:w="60"/>
              <w:right w:type="dxa" w:w="100"/>
            </w:tcMar>
            <w:vAlign w:val="center"/>
          </w:tcPr>
          <w:p>
            <w:r>
              <w:rPr>
                <w:b w:val="false"/>
                <w:bCs w:val="false"/>
              </w:rPr>
              <w:t xml:space="preserve">new.tonpoker.online</w:t>
            </w:r>
          </w:p>
        </w:tc>
        <w:tc>
          <w:tcPr>
            <w:tcW w:type="dxa" w:w="3060"/>
            <w:tcMar>
              <w:top w:type="dxa" w:w="60"/>
              <w:left w:type="dxa" w:w="100"/>
              <w:bottom w:type="dxa" w:w="60"/>
              <w:right w:type="dxa" w:w="100"/>
            </w:tcMar>
            <w:vAlign w:val="center"/>
          </w:tcPr>
          <w:p>
            <w:r>
              <w:rPr>
                <w:b w:val="false"/>
                <w:bCs w:val="false"/>
              </w:rPr>
              <w:t xml:space="preserve">https://new.tonpoker.online/en</w:t>
            </w:r>
          </w:p>
        </w:tc>
        <w:tc>
          <w:tcPr>
            <w:tcW w:type="dxa" w:w="1400"/>
            <w:tcMar>
              <w:top w:type="dxa" w:w="60"/>
              <w:left w:type="dxa" w:w="100"/>
              <w:bottom w:type="dxa" w:w="60"/>
              <w:right w:type="dxa" w:w="100"/>
            </w:tcMar>
            <w:vAlign w:val="center"/>
          </w:tcPr>
          <w:p>
            <w:r>
              <w:rPr>
                <w:b w:val="false"/>
                <w:bCs w:val="false"/>
              </w:rPr>
              <w:t xml:space="preserve">REVIEW_NEEDED / 30%</w:t>
            </w:r>
          </w:p>
        </w:tc>
        <w:tc>
          <w:tcPr>
            <w:tcW w:type="dxa" w:w="900"/>
            <w:tcMar>
              <w:top w:type="dxa" w:w="60"/>
              <w:left w:type="dxa" w:w="100"/>
              <w:bottom w:type="dxa" w:w="60"/>
              <w:right w:type="dxa" w:w="100"/>
            </w:tcMar>
            <w:vAlign w:val="center"/>
          </w:tcPr>
          <w:p>
            <w:r>
              <w:rPr>
                <w:b w:val="false"/>
                <w:bCs w:val="false"/>
              </w:rPr>
              <w:t xml:space="preserve">(none tagged)</w:t>
            </w:r>
          </w:p>
        </w:tc>
        <w:tc>
          <w:tcPr>
            <w:tcW w:type="dxa" w:w="1900"/>
            <w:tcMar>
              <w:top w:type="dxa" w:w="60"/>
              <w:left w:type="dxa" w:w="100"/>
              <w:bottom w:type="dxa" w:w="60"/>
              <w:right w:type="dxa" w:w="100"/>
            </w:tcMar>
            <w:vAlign w:val="center"/>
          </w:tcPr>
          <w:p>
            <w:r>
              <w:rPr>
                <w:b w:val="false"/>
                <w:bCs w:val="false"/>
              </w:rPr>
              <w:t xml:space="preserve">2026-08-12 14:21 UTC</w:t>
            </w:r>
          </w:p>
        </w:tc>
      </w:tr>
    </w:tbl>
    <w:p>
      <w:pPr>
        <w:pStyle w:val="Heading1"/>
      </w:pPr>
      <w:r>
        <w:t xml:space="preserve">8. Per-Domain Evidence Records</w:t>
      </w:r>
    </w:p>
    <w:p>
      <w:pPr>
        <w:pStyle w:val="Heading2"/>
      </w:pPr>
      <w:r>
        <w:t xml:space="preserve">8.1 final9poker.com</w:t>
      </w:r>
    </w:p>
    <w:p>
      <w:pPr>
        <w:spacing w:after="160"/>
      </w:pPr>
      <w:r>
        <w:rPr>
          <w:b/>
          <w:bCs/>
        </w:rPr>
        <w:t xml:space="preserve">Domain identifier: </w:t>
      </w:r>
      <w:r>
        <w:t xml:space="preserve">49b643b2-25af-426d-928c-85edba4e3d7c</w:t>
      </w:r>
    </w:p>
    <w:p>
      <w:pPr>
        <w:spacing w:after="160"/>
      </w:pPr>
      <w:r>
        <w:rPr>
          <w:b/>
          <w:bCs/>
        </w:rPr>
        <w:t xml:space="preserve">Title of classification: </w:t>
      </w:r>
      <w:r>
        <w:t xml:space="preserve">ALLOWS_ONLINE_GAMBLING (system classification; no separate free-text title field is present in the export)</w:t>
      </w:r>
    </w:p>
    <w:p>
      <w:pPr>
        <w:spacing w:after="160"/>
      </w:pPr>
      <w:r>
        <w:rPr>
          <w:b/>
          <w:bCs/>
        </w:rPr>
        <w:t xml:space="preserve">Source where the URL was found: </w:t>
      </w:r>
      <w:r>
        <w:t xml:space="preserve">Manual (claude.ai) – reproduced from the record's initiating-author field</w:t>
      </w:r>
    </w:p>
    <w:p>
      <w:pPr>
        <w:spacing w:after="160"/>
      </w:pPr>
      <w:r>
        <w:rPr>
          <w:b/>
          <w:bCs/>
        </w:rPr>
        <w:t xml:space="preserve">URLs under this domain: </w:t>
      </w:r>
      <w:r>
        <w:t xml:space="preserve">https://final9poker.com/?utm_campaign=winter3000 (current); https://final9poker.com/ (prior, non-current)</w:t>
      </w:r>
    </w:p>
    <w:p>
      <w:pPr>
        <w:spacing w:after="160"/>
      </w:pPr>
      <w:r>
        <w:rPr>
          <w:b/>
          <w:bCs/>
        </w:rPr>
        <w:t xml:space="preserve">Status: </w:t>
      </w:r>
      <w:r>
        <w:t xml:space="preserve">BLACKLISTED</w:t>
      </w:r>
    </w:p>
    <w:p>
      <w:pPr>
        <w:spacing w:after="160"/>
      </w:pPr>
      <w:r>
        <w:rPr>
          <w:b/>
          <w:bCs/>
        </w:rPr>
        <w:t xml:space="preserve">Confidence level: </w:t>
      </w:r>
      <w:r>
        <w:t xml:space="preserve">95%</w:t>
      </w:r>
    </w:p>
    <w:p>
      <w:pPr>
        <w:spacing w:after="160"/>
      </w:pPr>
      <w:r>
        <w:rPr>
          <w:b/>
          <w:bCs/>
        </w:rPr>
        <w:t xml:space="preserve">Subcategory: </w:t>
      </w:r>
      <w:r>
        <w:t xml:space="preserve">poker</w:t>
      </w:r>
    </w:p>
    <w:p>
      <w:pPr>
        <w:spacing w:after="160"/>
      </w:pPr>
      <w:r>
        <w:rPr>
          <w:b/>
          <w:bCs/>
        </w:rPr>
        <w:t xml:space="preserve">Case-management state: </w:t>
      </w:r>
      <w:r>
        <w:t xml:space="preserve">ILLEGAL_GAMBLING</w:t>
      </w:r>
    </w:p>
    <w:p>
      <w:pPr>
        <w:spacing w:after="160"/>
      </w:pPr>
      <w:r>
        <w:rPr>
          <w:b/>
          <w:bCs/>
        </w:rPr>
        <w:t xml:space="preserve">Country / language (system-detected): </w:t>
      </w:r>
      <w:r>
        <w:t xml:space="preserve">IE / ru</w:t>
      </w:r>
    </w:p>
    <w:p>
      <w:pPr>
        <w:spacing w:after="160"/>
      </w:pPr>
      <w:r>
        <w:rPr>
          <w:b/>
          <w:bCs/>
        </w:rPr>
        <w:t xml:space="preserve">LLM reasoning output – https://final9poker.com/?utm_campaign=winter3000 (current decision, reproduced verbatim, original-language quotations preserved):</w:t>
      </w:r>
    </w:p>
    <w:p>
      <w:pPr>
        <w:spacing w:after="160"/>
      </w:pPr>
      <w:r>
        <w:t xml:space="preserve">“Screenshot: The website prominently features poker chips and cards, which are directly associated with gambling activities. Screenshot: The text includes phrases like ‘Final 9 – финансовое спокойствие для MTT-регуляров, даже когда нет заносов’ (English gloss added by this report, not the registry: ‘Final 9 – financial peace of mind for MTT regulars, even when there’s no windfall’), indicating involvement in multi-table tournament (MTT) poker, a form of online gambling. Screenshot: The button ‘Оставить заявку в Final 9’ (‘Submit an application to Final 9’) suggests users can sign up or participate in some form of gambling activity. URL: The URL includes ‘poker’, which is a direct indicator of gambling activities related to poker games.”</w:t>
      </w:r>
    </w:p>
    <w:p>
      <w:pPr>
        <w:spacing w:after="160"/>
      </w:pPr>
      <w:r>
        <w:rPr>
          <w:b/>
          <w:bCs/>
        </w:rPr>
        <w:t xml:space="preserve">Matched keywords: </w:t>
      </w:r>
      <w:r>
        <w:t xml:space="preserve">poker (URL and on-page text); MTT / мтт-регуляров (on-page text, poker-tournament terminology)</w:t>
      </w:r>
    </w:p>
    <w:p>
      <w:pPr>
        <w:spacing w:after="160"/>
      </w:pPr>
      <w:r>
        <w:rPr>
          <w:b/>
          <w:bCs/>
        </w:rPr>
        <w:t xml:space="preserve">LLM reasoning output – https://final9poker.com/ (prior decision, reproduced verbatim):</w:t>
      </w:r>
    </w:p>
    <w:p>
      <w:pPr>
        <w:spacing w:after="160"/>
      </w:pPr>
      <w:r>
        <w:t xml:space="preserve">“Screenshot: The website prominently features a button labeled ‘Оставить заявку в Final 9’ (Leave an application in Final 9), which suggests an actionable step for users to engage with the site, indicative of online gambling activities. Screenshot: The presence of poker chips and a table with individuals seated around it reinforces the theme of poker gambling. Screenshot: The text ‘Final 9 – финансовое спокойствие для MTT-регуляров, даже когда нет заносов’ (Final 9 – financial peace for MTT regulars, even when there are no big wins) implies a focus on financial aspects related to gambling. URL: The URL ‘final9poker.com’ directly references poker, a form of online gambling.”</w:t>
      </w:r>
    </w:p>
    <w:p>
      <w:pPr>
        <w:spacing w:after="160"/>
      </w:pPr>
      <w:r>
        <w:rPr>
          <w:b/>
          <w:bCs/>
        </w:rPr>
        <w:t xml:space="preserve">Screenshot reference: </w:t>
      </w:r>
      <w:r>
        <w:t xml:space="preserve">Exhibit 1 (Section 9). Both decisions above reference a byte-identical capture (SHA-256 e52858fe591b4b722296096fbaf1a0f1ae7a04e18a26e97a2a1f91cfd17f2fda, PNG, 1,378,612 bytes), stored under paths evidence/49b643b2-25af-426d-928c-85edba4e3d7c/211ae86a-0f96-468c-bd39-c3a7a73f8b53/homepage and evidence/49b643b2-25af-426d-928c-85edba4e3d7c/1e7fcab0-4d2c-44ec-b8da-e1a51a5473f7/homepage respectively.</w:t>
      </w:r>
    </w:p>
    <w:p>
      <w:pPr>
        <w:spacing w:after="160"/>
      </w:pPr>
      <w:r>
        <w:rPr>
          <w:b/>
          <w:bCs/>
        </w:rPr>
        <w:t xml:space="preserve">Registry history: </w:t>
      </w:r>
      <w:r>
        <w:t xml:space="preserve">Each decision's history shows a single pass through the standard workflow (ANALYSIS_REQUESTED → PENDING_URL_SCRAPPING → PENDING_DATA_ANALYSIS → ANALYSIS_DONE → BLACKLISTED), first inserted 2026-08-12. No prior classification cycle, no prior submission to MDES, and no analyst comment or manual intervention is present in the export for this domain ([NOT PRESENT IN RECORD] for any of the three).</w:t>
      </w:r>
    </w:p>
    <w:p>
      <w:pPr>
        <w:spacing w:after="160"/>
      </w:pPr>
      <w:r>
        <w:rPr>
          <w:b/>
          <w:bCs/>
        </w:rPr>
        <w:t xml:space="preserve">Open-source enrichment: </w:t>
      </w:r>
      <w:r>
        <w:t xml:space="preserve">Not instructed for this batch (see Section 3 of the prompt specification); none performed. [NOT PRESENT IN RECORD].</w:t>
      </w:r>
    </w:p>
    <w:p>
      <w:pPr>
        <w:pStyle w:val="Heading2"/>
      </w:pPr>
      <w:r>
        <w:t xml:space="preserve">8.2 new.tonpoker.online – referred for manual review</w:t>
      </w:r>
    </w:p>
    <w:p>
      <w:pPr>
        <w:spacing w:after="160"/>
      </w:pPr>
      <w:r>
        <w:t xml:space="preserve">This domain did not meet the routing evidenced for inclusion in the block schedule (Section 3) and is presented here, and in Annex B, for completeness only. It is not part of the block schedule.</w:t>
      </w:r>
    </w:p>
    <w:p>
      <w:pPr>
        <w:spacing w:after="160"/>
      </w:pPr>
      <w:r>
        <w:rPr>
          <w:b/>
          <w:bCs/>
        </w:rPr>
        <w:t xml:space="preserve">Domain identifier: </w:t>
      </w:r>
      <w:r>
        <w:t xml:space="preserve">630e2438-8bc7-4861-ba20-596b710f9be1</w:t>
      </w:r>
    </w:p>
    <w:p>
      <w:pPr>
        <w:spacing w:after="160"/>
      </w:pPr>
      <w:r>
        <w:rPr>
          <w:b/>
          <w:bCs/>
        </w:rPr>
        <w:t xml:space="preserve">Title of classification: </w:t>
      </w:r>
      <w:r>
        <w:t xml:space="preserve">REQUIRE_MORE_ANALYSIS (system classification)</w:t>
      </w:r>
    </w:p>
    <w:p>
      <w:pPr>
        <w:spacing w:after="160"/>
      </w:pPr>
      <w:r>
        <w:rPr>
          <w:b/>
          <w:bCs/>
        </w:rPr>
        <w:t xml:space="preserve">Source where the URL was found: </w:t>
      </w:r>
      <w:r>
        <w:t xml:space="preserve">Manual (claude.ai)</w:t>
      </w:r>
    </w:p>
    <w:p>
      <w:pPr>
        <w:spacing w:after="160"/>
      </w:pPr>
      <w:r>
        <w:rPr>
          <w:b/>
          <w:bCs/>
        </w:rPr>
        <w:t xml:space="preserve">URL: </w:t>
      </w:r>
      <w:r>
        <w:t xml:space="preserve">https://new.tonpoker.online/en</w:t>
      </w:r>
    </w:p>
    <w:p>
      <w:pPr>
        <w:spacing w:after="160"/>
      </w:pPr>
      <w:r>
        <w:rPr>
          <w:b/>
          <w:bCs/>
        </w:rPr>
        <w:t xml:space="preserve">Status: </w:t>
      </w:r>
      <w:r>
        <w:t xml:space="preserve">REVIEW_NEEDED</w:t>
      </w:r>
    </w:p>
    <w:p>
      <w:pPr>
        <w:spacing w:after="160"/>
      </w:pPr>
      <w:r>
        <w:rPr>
          <w:b/>
          <w:bCs/>
        </w:rPr>
        <w:t xml:space="preserve">Confidence level: </w:t>
      </w:r>
      <w:r>
        <w:t xml:space="preserve">30%</w:t>
      </w:r>
    </w:p>
    <w:p>
      <w:pPr>
        <w:spacing w:after="160"/>
      </w:pPr>
      <w:r>
        <w:rPr>
          <w:b/>
          <w:bCs/>
        </w:rPr>
        <w:t xml:space="preserve">Subcategory: </w:t>
      </w:r>
      <w:r>
        <w:t xml:space="preserve">(none tagged)</w:t>
      </w:r>
    </w:p>
    <w:p>
      <w:pPr>
        <w:spacing w:after="160"/>
      </w:pPr>
      <w:r>
        <w:rPr>
          <w:b/>
          <w:bCs/>
        </w:rPr>
        <w:t xml:space="preserve">Case-management state: </w:t>
      </w:r>
      <w:r>
        <w:t xml:space="preserve">[NOT PRESENT IN RECORD]</w:t>
      </w:r>
    </w:p>
    <w:p>
      <w:pPr>
        <w:spacing w:after="160"/>
      </w:pPr>
      <w:r>
        <w:rPr>
          <w:b/>
          <w:bCs/>
        </w:rPr>
        <w:t xml:space="preserve">Country / language (system-detected): </w:t>
      </w:r>
      <w:r>
        <w:t xml:space="preserve">US / en</w:t>
      </w:r>
    </w:p>
    <w:p>
      <w:pPr>
        <w:spacing w:after="160"/>
      </w:pPr>
      <w:r>
        <w:rPr>
          <w:b/>
          <w:bCs/>
        </w:rPr>
        <w:t xml:space="preserve">LLM reasoning output (reproduced verbatim):</w:t>
      </w:r>
    </w:p>
    <w:p>
      <w:pPr>
        <w:spacing w:after="160"/>
      </w:pPr>
      <w:r>
        <w:t xml:space="preserve">“URL: The URL contains ‘poker’, indicating the site is related to gambling. Screenshot: The text ‘TON Poker’ and poker card icons indicate the site is about poker gambling. Screenshot: The site mentions ‘play without restrictions’ but lacks direct betting actions like ‘place bet’ or ‘deposit’. Screenshot: The site is informational, focusing on registering for early access rather than allowing online gambling actions.”</w:t>
      </w:r>
    </w:p>
    <w:p>
      <w:pPr>
        <w:spacing w:after="160"/>
      </w:pPr>
      <w:r>
        <w:rPr>
          <w:b/>
          <w:bCs/>
        </w:rPr>
        <w:t xml:space="preserve">Matched keywords: </w:t>
      </w:r>
      <w:r>
        <w:t xml:space="preserve">poker (URL and on-page text)</w:t>
      </w:r>
    </w:p>
    <w:p>
      <w:pPr>
        <w:spacing w:after="160"/>
      </w:pPr>
      <w:r>
        <w:rPr>
          <w:b/>
          <w:bCs/>
        </w:rPr>
        <w:t xml:space="preserve">Screenshot reference: </w:t>
      </w:r>
      <w:r>
        <w:t xml:space="preserve">Exhibit 2 (Section 9), SHA-256 946a4ff3a758e06c601f364c3c2114040987842b1a5bfe48b1adf43a25fe4585, PNG, 241,982 bytes, stored at evidence/630e2438-8bc7-4861-ba20-596b710f9be1/ba47aa70-7d9d-44a4-8a22-281fc30a5501/homepage.</w:t>
      </w:r>
    </w:p>
    <w:p>
      <w:pPr>
        <w:spacing w:after="160"/>
      </w:pPr>
      <w:r>
        <w:rPr>
          <w:b/>
          <w:bCs/>
        </w:rPr>
        <w:t xml:space="preserve">Registry history: </w:t>
      </w:r>
      <w:r>
        <w:t xml:space="preserve">Single workflow pass (ANALYSIS_REQUESTED → PENDING_URL_SCRAPPING → PENDING_DATA_ANALYSIS → ANALYSIS_DONE → REVIEW_NEEDED), first inserted 2026-08-12. No prior classification cycle, no prior submission, no analyst comment or manual intervention present ([NOT PRESENT IN RECORD] for any of the three).</w:t>
      </w:r>
    </w:p>
    <w:p>
      <w:pPr>
        <w:spacing w:after="160"/>
      </w:pPr>
      <w:r>
        <w:rPr>
          <w:b/>
          <w:bCs/>
        </w:rPr>
        <w:t xml:space="preserve">Open-source enrichment: </w:t>
      </w:r>
      <w:r>
        <w:t xml:space="preserve">Not instructed for this batch; none performed. [NOT PRESENT IN RECORD].</w:t>
      </w:r>
    </w:p>
    <w:p>
      <w:r>
        <w:br w:type="page"/>
      </w:r>
    </w:p>
    <w:p>
      <w:pPr>
        <w:pStyle w:val="Heading1"/>
      </w:pPr>
      <w:r>
        <w:t xml:space="preserve">9. Screenshot Evidence and Capture Integrity</w:t>
      </w:r>
    </w:p>
    <w:p>
      <w:pPr>
        <w:spacing w:after="160"/>
      </w:pPr>
      <w:r>
        <w:t xml:space="preserve">Exhibit 1 – final9poker.com. This capture is used as the screenshot evidence for both decision records listed at Section 8.1 (the two decisions reference byte-identical image files). The URL is not overlaid on the captured image itself; it is recorded separately in the registry field reproduced in Section 7–8. The capture date/time is likewise a registry field, not a visible page overlay, and is reproduced in Sections 7–8 rather than read off the image. The matched keyword “poker” and the MTT-poker terminology quoted in the reasoning output are legible in the image (Russian-language marketing copy, poker branding and iconography, and a call-to-action button).</w:t>
      </w:r>
    </w:p>
    <w:p>
      <w:pPr>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sz w:val="18"/>
          <w:szCs w:val="18"/>
        </w:rPr>
        <w:t xml:space="preserve">Exhibit 1 – final9poker.com homepage, PNG, SHA-256 e52858fe591b4b722296096fbaf1a0f1ae7a04e18a26e97a2a1f91cfd17f2fda</w:t>
      </w:r>
    </w:p>
    <w:p>
      <w:pPr>
        <w:spacing w:after="160"/>
      </w:pPr>
      <w:r>
        <w:t xml:space="preserve">Capture note: the image includes photographs of individuals seated at a table, used as marketing imagery by the site operator. No individual is named, and this report does not identify or make any claim about any person shown. No other personal data (names, contact details, account or payment information) is visible in this capture.</w:t>
      </w:r>
    </w:p>
    <w:p>
      <w:pPr>
        <w:spacing w:after="160"/>
      </w:pPr>
      <w:r>
        <w:t xml:space="preserve">Exhibit 2 – new.tonpoker.online. The matched keyword “poker” and the “TON Poker” branding referenced in the reasoning output are legible in the image. No betting, deposit or account-registration action is visible beyond an early-access sign-up form; the form fields are empty placeholder fields and contain no submitted personal data.</w:t>
      </w:r>
    </w:p>
    <w:p>
      <w:pPr>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sz w:val="18"/>
          <w:szCs w:val="18"/>
        </w:rPr>
        <w:t xml:space="preserve">Exhibit 2 – new.tonpoker.online homepage, PNG, SHA-256 946a4ff3a758e06c601f364c3c2114040987842b1a5bfe48b1adf43a25fe4585</w:t>
      </w:r>
    </w:p>
    <w:p>
      <w:pPr>
        <w:spacing w:after="160"/>
      </w:pPr>
      <w:r>
        <w:t xml:space="preserve">Capture method, exact file name on disk, and any additional integrity metadata beyond byte content and the SHA-256 values stated above: [NOT PRESENT IN RECORD].</w:t>
      </w:r>
    </w:p>
    <w:p>
      <w:pPr>
        <w:pStyle w:val="Heading1"/>
      </w:pPr>
      <w:r>
        <w:t xml:space="preserve">10. Chain of Custody and Audit Trail</w:t>
      </w:r>
    </w:p>
    <w:p>
      <w:pPr>
        <w:spacing w:after="160"/>
      </w:pPr>
      <w:r>
        <w:t xml:space="preserve">The registry export underlying this report records, for each decision, a full status history with a timestamp and an “author” value for every step (“System” for automated analysis steps; “Manual (claude.ai)” for the initiating request). This history is reproduced in summary at Section 8 for each domain. The export does not include information on who else may access or amend registry records, or on registry-level access controls ([NOT PRESENT IN RECORD] for both).</w:t>
      </w:r>
    </w:p>
    <w:p>
      <w:pPr>
        <w:spacing w:after="160"/>
      </w:pPr>
      <w:r>
        <w:t xml:space="preserve">This report was produced from an export fetched at 2026-08-25T13:50:20.550Z (saved search 75fefe4b-3d42-4f8b-9300-e07a4ac29ed2), containing 3 evidence file(s) totalling 2999206 bytes. The export can be re-verified against the registry by saved-search ID and by the domain and decision identifiers quoted throughout this report. The SHA-256 hashes quoted in Sections 8–9 allow the two screenshot exhibits to be independently verified against the source files.</w:t>
      </w:r>
    </w:p>
    <w:p>
      <w:pPr>
        <w:pStyle w:val="Heading1"/>
      </w:pPr>
      <w:r>
        <w:t xml:space="preserve">11. Limitations</w:t>
      </w:r>
    </w:p>
    <w:p>
      <w:pPr>
        <w:pStyle w:val="ListParagraph"/>
        <w:numPr>
          <w:ilvl w:val="0"/>
          <w:numId w:val="1"/>
        </w:numPr>
        <w:spacing w:after="80"/>
      </w:pPr>
      <w:r>
        <w:t xml:space="preserve">Classification in this batch is automated and confidence-scored; it has not been adjudicated by a court or, for the BLACKLISTED record, confirmed by a human reviewer. No record in this batch shows a human review step beyond the initiating request.</w:t>
      </w:r>
    </w:p>
    <w:p>
      <w:pPr>
        <w:pStyle w:val="ListParagraph"/>
        <w:numPr>
          <w:ilvl w:val="0"/>
          <w:numId w:val="1"/>
        </w:numPr>
        <w:spacing w:after="80"/>
      </w:pPr>
      <w:r>
        <w:t xml:space="preserve">A site's content and availability may change after capture. Both captures in this batch were taken on 12 August 2026; live/current status of either URL was not re-checked at the time this report was compiled ([NOT PRESENT IN RECORD]).</w:t>
      </w:r>
    </w:p>
    <w:p>
      <w:pPr>
        <w:pStyle w:val="ListParagraph"/>
        <w:numPr>
          <w:ilvl w:val="0"/>
          <w:numId w:val="1"/>
        </w:numPr>
        <w:spacing w:after="80"/>
      </w:pPr>
      <w:r>
        <w:t xml:space="preserve">Each screenshot evidences the state of the page at a single moment in time and does not establish continuous or ongoing operation of the site.</w:t>
      </w:r>
    </w:p>
    <w:p>
      <w:pPr>
        <w:pStyle w:val="ListParagraph"/>
        <w:numPr>
          <w:ilvl w:val="0"/>
          <w:numId w:val="1"/>
        </w:numPr>
        <w:spacing w:after="80"/>
      </w:pPr>
      <w:r>
        <w:t xml:space="preserve">The new.tonpoker.online record is included in this report only for completeness (Section 8.2, Annex B). It is explicitly excluded from the block schedule and should not be treated as a positive gambling determination.</w:t>
      </w:r>
    </w:p>
    <w:p>
      <w:pPr>
        <w:pStyle w:val="ListParagraph"/>
        <w:numPr>
          <w:ilvl w:val="0"/>
          <w:numId w:val="1"/>
        </w:numPr>
        <w:spacing w:after="80"/>
      </w:pPr>
      <w:r>
        <w:t xml:space="preserve">This report itself has not been reviewed or certified by a human analyst (see Section 1 and Section 13) and must not be treated as submission-ready.</w:t>
      </w:r>
    </w:p>
    <w:p>
      <w:pPr>
        <w:pStyle w:val="ListParagraph"/>
        <w:numPr>
          <w:ilvl w:val="0"/>
          <w:numId w:val="1"/>
        </w:numPr>
        <w:spacing w:after="80"/>
      </w:pPr>
      <w:r>
        <w:t xml:space="preserve">The confidence threshold, system version, and full keyword/configuration set for this batch were not present in the underlying export; Sections 3–4 state this explicitly rather than inferring values.</w:t>
      </w:r>
    </w:p>
    <w:p>
      <w:pPr>
        <w:pStyle w:val="Heading1"/>
      </w:pPr>
      <w:r>
        <w:t xml:space="preserve">12. Annexes</w:t>
      </w:r>
    </w:p>
    <w:p>
      <w:pPr>
        <w:pStyle w:val="ListParagraph"/>
        <w:numPr>
          <w:ilvl w:val="0"/>
          <w:numId w:val="1"/>
        </w:numPr>
        <w:spacing w:after="80"/>
      </w:pPr>
      <w:r>
        <w:t xml:space="preserve">Annex A – Screenshot exhibits: Exhibit 1 (final9poker.com), Exhibit 2 (new.tonpoker.online) – reproduced in Section 9.</w:t>
      </w:r>
    </w:p>
    <w:p>
      <w:pPr>
        <w:pStyle w:val="ListParagraph"/>
        <w:numPr>
          <w:ilvl w:val="0"/>
          <w:numId w:val="1"/>
        </w:numPr>
        <w:spacing w:after="80"/>
      </w:pPr>
      <w:r>
        <w:t xml:space="preserve">Annex B – Records referred for manual review – Section 7.2.</w:t>
      </w:r>
    </w:p>
    <w:p>
      <w:pPr>
        <w:pStyle w:val="ListParagraph"/>
        <w:numPr>
          <w:ilvl w:val="0"/>
          <w:numId w:val="1"/>
        </w:numPr>
        <w:spacing w:after="80"/>
      </w:pPr>
      <w:r>
        <w:t xml:space="preserve">Annex C – Excluded-URL log – empty for this batch (0 exclusions, Section 5).</w:t>
      </w:r>
    </w:p>
    <w:p>
      <w:pPr>
        <w:pStyle w:val="ListParagraph"/>
        <w:numPr>
          <w:ilvl w:val="0"/>
          <w:numId w:val="1"/>
        </w:numPr>
        <w:spacing w:after="80"/>
      </w:pPr>
      <w:r>
        <w:t xml:space="preserve">Annex D – Keyword configuration – [NOT PRESENT IN RECORD] in the export beyond the per-record “tags” values reproduced in Sections 7–8.</w:t>
      </w:r>
    </w:p>
    <w:p>
      <w:pPr>
        <w:pStyle w:val="ListParagraph"/>
        <w:numPr>
          <w:ilvl w:val="0"/>
          <w:numId w:val="1"/>
        </w:numPr>
        <w:spacing w:after="80"/>
      </w:pPr>
      <w:r>
        <w:t xml:space="preserve">Annex E – Open-source enrichment sources – not applicable; enrichment was not instructed for this batch (Section 8).</w:t>
      </w:r>
    </w:p>
    <w:p>
      <w:pPr>
        <w:pStyle w:val="Heading1"/>
      </w:pPr>
      <w:r>
        <w:t xml:space="preserve">13. Certification</w:t>
      </w:r>
    </w:p>
    <w:p>
      <w:pPr>
        <w:spacing w:after="160"/>
      </w:pPr>
      <w:r>
        <w:t xml:space="preserve">This section must be completed by a named, qualified analyst before this document is submitted to MDES or any other authority. It has been left unsigned because this report was compiled automatically, without human review, as stated in Section 1.</w:t>
      </w:r>
    </w:p>
    <w:p>
      <w:pPr>
        <w:spacing w:after="160"/>
      </w:pPr>
      <w:r>
        <w:t xml:space="preserve"/>
      </w:r>
    </w:p>
    <w:p>
      <w:pPr>
        <w:spacing w:after="160"/>
      </w:pPr>
      <w:r>
        <w:t xml:space="preserve">I certify that the contents of this report are a true and faithful reproduction of the SICPADetect® registry records for the batch identified in Section 1, subject to the limitations stated in Section 11.</w:t>
      </w:r>
    </w:p>
    <w:p>
      <w:pPr>
        <w:spacing w:after="160"/>
      </w:pPr>
      <w:r>
        <w:t xml:space="preserve"/>
      </w:r>
    </w:p>
    <w:p>
      <w:pPr>
        <w:spacing w:after="160"/>
      </w:pPr>
      <w:r>
        <w:t xml:space="preserve">Signature: _______________________________</w:t>
      </w:r>
    </w:p>
    <w:p>
      <w:pPr>
        <w:spacing w:after="160"/>
      </w:pPr>
      <w:r>
        <w:t xml:space="preserve">Name: _______________________________</w:t>
      </w:r>
    </w:p>
    <w:p>
      <w:pPr>
        <w:spacing w:after="160"/>
      </w:pPr>
      <w:r>
        <w:t xml:space="preserve">Role: _______________________________</w:t>
      </w:r>
    </w:p>
    <w:p>
      <w:pPr>
        <w:spacing w:after="160"/>
      </w:pPr>
      <w:r>
        <w:t xml:space="preserve">Date: _______________________________</w:t>
      </w:r>
    </w:p>
    <w:p>
      <w:pPr>
        <w:spacing w:after="160"/>
      </w:pPr>
      <w:r>
        <w:t xml:space="preserve">Place: _______________________________</w:t>
      </w:r>
    </w:p>
    <w:p>
      <w:r>
        <w:br w:type="page"/>
      </w:r>
    </w:p>
    <w:p>
      <w:pPr>
        <w:shd w:fill="FCE8E6" w:color="auto" w:val="clear"/>
        <w:spacing w:after="200"/>
      </w:pPr>
      <w:r>
        <w:rPr>
          <w:b/>
          <w:bCs/>
        </w:rPr>
        <w:t xml:space="preserve">INTERNAL USE ONLY – NOT PART OF THE CERTIFIED REPORT – DO NOT SUBMIT THIS PAGE</w:t>
      </w:r>
    </w:p>
    <w:p>
      <w:pPr>
        <w:pStyle w:val="Heading2"/>
      </w:pPr>
      <w:r>
        <w:t xml:space="preserve">Quality Note</w:t>
      </w:r>
    </w:p>
    <w:p>
      <w:pPr>
        <w:pStyle w:val="ListParagraph"/>
        <w:numPr>
          <w:ilvl w:val="0"/>
          <w:numId w:val="1"/>
        </w:numPr>
        <w:spacing w:after="80"/>
      </w:pPr>
      <w:r>
        <w:t xml:space="preserve">Batch reconciliation: confirmed (2 domains / 3 URLs in, accounted for as 1 included + 1 referred + 0 excluded; see Section 6).</w:t>
      </w:r>
    </w:p>
    <w:p>
      <w:pPr>
        <w:pStyle w:val="ListParagraph"/>
        <w:numPr>
          <w:ilvl w:val="0"/>
          <w:numId w:val="1"/>
        </w:numPr>
        <w:spacing w:after="80"/>
      </w:pPr>
      <w:r>
        <w:t xml:space="preserve">This report was generated by an unattended pipeline with no human review step; it is not submission-ready (see Sections 1 and 13).</w:t>
      </w:r>
    </w:p>
    <w:p>
      <w:pPr>
        <w:pStyle w:val="ListParagraph"/>
        <w:numPr>
          <w:ilvl w:val="0"/>
          <w:numId w:val="1"/>
        </w:numPr>
        <w:spacing w:after="80"/>
      </w:pPr>
      <w:r>
        <w:t xml:space="preserve">Missing mandatory fields: report reference, preparer name, system version, keyword configuration, confidence threshold, and reporting-period dates are all absent from the source export ([NOT PRESENT IN RECORD] throughout – see Sections 1, 3–4).</w:t>
      </w:r>
    </w:p>
    <w:p>
      <w:pPr>
        <w:pStyle w:val="ListParagraph"/>
        <w:numPr>
          <w:ilvl w:val="0"/>
          <w:numId w:val="1"/>
        </w:numPr>
        <w:spacing w:after="80"/>
      </w:pPr>
      <w:r>
        <w:t xml:space="preserve">No screenshot failed the keyword-visibility test; both exhibits show the quoted keywords legibly (Section 9).</w:t>
      </w:r>
    </w:p>
    <w:p>
      <w:pPr>
        <w:pStyle w:val="ListParagraph"/>
        <w:numPr>
          <w:ilvl w:val="0"/>
          <w:numId w:val="1"/>
        </w:numPr>
        <w:spacing w:after="80"/>
      </w:pPr>
      <w:r>
        <w:t xml:space="preserve">final9poker.com's two decision records share a byte-identical screenshot capture – confirm this is expected (a single homepage capture reused across the tracked URL variants) rather than a re-capture that should have produced a distinct image.</w:t>
      </w:r>
    </w:p>
    <w:p>
      <w:pPr>
        <w:pStyle w:val="ListParagraph"/>
        <w:numPr>
          <w:ilvl w:val="0"/>
          <w:numId w:val="1"/>
        </w:numPr>
        <w:spacing w:after="80"/>
      </w:pPr>
      <w:r>
        <w:t xml:space="preserve">new.tonpoker.online sits at 30% confidence, well below the 95% of the included record, but the export does not state the numeric threshold itself – a reviewer should confirm REVIEW_NEEDED is the correct treatment rather than exclusion or inclusion.</w:t>
      </w:r>
    </w:p>
    <w:p>
      <w:pPr>
        <w:pStyle w:val="ListParagraph"/>
        <w:numPr>
          <w:ilvl w:val="0"/>
          <w:numId w:val="1"/>
        </w:numPr>
        <w:spacing w:after="80"/>
      </w:pPr>
      <w:r>
        <w:t xml:space="preserve">The final9poker.com screenshot contains photographs of unnamed individuals (marketing imagery). No redaction was applied because no identifying personal data (name, contact detail, account/payment data) is legible; a human reviewer should confirm this judgement (Section 9).</w:t>
      </w:r>
    </w:p>
    <w:p>
      <w:pPr>
        <w:pStyle w:val="ListParagraph"/>
        <w:numPr>
          <w:ilvl w:val="0"/>
          <w:numId w:val="1"/>
        </w:numPr>
        <w:spacing w:after="80"/>
      </w:pPr>
      <w:r>
        <w:t xml:space="preserve">No open-source enrichment was performed; confirm whether Step 2 enrichment was intended for this batch before submission.</w:t>
      </w:r>
    </w:p>
    <w:p>
      <w:pPr>
        <w:pStyle w:val="ListParagraph"/>
        <w:numPr>
          <w:ilvl w:val="0"/>
          <w:numId w:val="1"/>
        </w:numPr>
        <w:spacing w:after="80"/>
      </w:pPr>
      <w:r>
        <w:t xml:space="preserve">A reviewing authority is likely to query the absence of a stated confidence threshold and system version – recommend sourcing these from the SICPADetect® configuration before this report is finalised.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SICPADetect® Evidence Report – Illegal Gambling Sites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5f18a2e49b300ad1db692f4cc3a5310cff62cf.png"/><Relationship Id="rId10" Type="http://schemas.openxmlformats.org/officeDocument/2006/relationships/image" Target="media/8592a1b1e873286dc39286c221a18ceb3fc4b9d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2026-08-25T14:03:39.502Z</dcterms:created>
  <dcterms:modified xsi:type="dcterms:W3CDTF">2026-08-25T14:03:39.502Z</dcterms:modified>
</cp:coreProperties>
</file>

<file path=docProps/custom.xml><?xml version="1.0" encoding="utf-8"?>
<Properties xmlns="http://schemas.openxmlformats.org/officeDocument/2006/custom-properties" xmlns:vt="http://schemas.openxmlformats.org/officeDocument/2006/docPropsVTypes"/>
</file>