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jc w:val="right"/>
      </w:pPr>
      <w:r>
        <w:rPr>
          <w:rFonts w:ascii="Arial" w:cs="Arial" w:eastAsia="Arial" w:hAnsi="Arial"/>
          <w:b/>
          <w:bCs/>
          <w:color w:val="033B5A"/>
          <w:sz w:val="20"/>
          <w:szCs w:val="20"/>
        </w:rPr>
        <w:t xml:space="preserve">Ministry of Digital Economy and Society</w:t>
      </w:r>
    </w:p>
    <w:p>
      <w:pPr>
        <w:pBdr>
          <w:bottom w:val="single" w:color="033B5A" w:sz="18" w:space="8"/>
        </w:pBdr>
        <w:spacing w:after="200"/>
      </w:pPr>
      <w:r>
        <w:rPr>
          <w:rFonts w:ascii="Arial" w:cs="Arial" w:eastAsia="Arial" w:hAnsi="Arial"/>
          <w:b/>
          <w:bCs/>
          <w:color w:val="033B5A"/>
          <w:sz w:val="44"/>
          <w:szCs w:val="44"/>
        </w:rPr>
        <w:t xml:space="preserve">DATA INSIGHTS &amp; PATTERNS</w:t>
      </w:r>
    </w:p>
    <w:p>
      <w:pPr>
        <w:spacing w:after="900"/>
      </w:pPr>
      <w:r>
        <w:rPr>
          <w:rFonts w:ascii="Aptos" w:cs="Leelawadee UI" w:eastAsia="Aptos" w:hAnsi="Aptos"/>
          <w:sz w:val="26"/>
          <w:szCs w:val="26"/>
        </w:rPr>
        <w:t xml:space="preserve">21,978 URLs · 4 Sept 2026 – 5 Oct 2026</w:t>
      </w:r>
    </w:p>
    <w:p>
      <w:pPr>
        <w:spacing w:after="120"/>
      </w:pPr>
      <w:r>
        <w:rPr>
          <w:rFonts w:ascii="Arial" w:cs="Arial" w:eastAsia="Arial" w:hAnsi="Arial"/>
          <w:b/>
          <w:bCs/>
          <w:color w:val="033B5A"/>
          <w:sz w:val="20"/>
          <w:szCs w:val="20"/>
        </w:rPr>
        <w:t xml:space="preserve">Issued to: </w:t>
      </w:r>
      <w:r>
        <w:rPr>
          <w:rFonts w:ascii="Aptos" w:cs="Leelawadee UI" w:eastAsia="Aptos" w:hAnsi="Aptos"/>
          <w:sz w:val="22"/>
          <w:szCs w:val="22"/>
        </w:rPr>
        <w:t xml:space="preserve">Ministry of Digital Economy and Society, Thailand</w:t>
      </w:r>
    </w:p>
    <w:p>
      <w:pPr>
        <w:spacing w:after="120"/>
      </w:pPr>
      <w:r>
        <w:rPr>
          <w:rFonts w:ascii="Arial" w:cs="Arial" w:eastAsia="Arial" w:hAnsi="Arial"/>
          <w:b/>
          <w:bCs/>
          <w:color w:val="033B5A"/>
          <w:sz w:val="20"/>
          <w:szCs w:val="20"/>
        </w:rPr>
        <w:t xml:space="preserve">Prepared by: </w:t>
      </w:r>
      <w:r>
        <w:rPr>
          <w:rFonts w:ascii="Aptos" w:cs="Leelawadee UI" w:eastAsia="Aptos" w:hAnsi="Aptos"/>
          <w:sz w:val="22"/>
          <w:szCs w:val="22"/>
        </w:rPr>
        <w:t xml:space="preserve">SICPA SA</w:t>
      </w:r>
    </w:p>
    <w:p>
      <w:pPr>
        <w:spacing w:after="120"/>
      </w:pPr>
      <w:r>
        <w:rPr>
          <w:rFonts w:ascii="Arial" w:cs="Arial" w:eastAsia="Arial" w:hAnsi="Arial"/>
          <w:b/>
          <w:bCs/>
          <w:color w:val="033B5A"/>
          <w:sz w:val="20"/>
          <w:szCs w:val="20"/>
        </w:rPr>
        <w:t xml:space="preserve">Date of issue: </w:t>
      </w:r>
      <w:r>
        <w:rPr>
          <w:rFonts w:ascii="Aptos" w:cs="Leelawadee UI" w:eastAsia="Aptos" w:hAnsi="Aptos"/>
          <w:sz w:val="22"/>
          <w:szCs w:val="22"/>
        </w:rPr>
        <w:t xml:space="preserve">06/10/2026</w:t>
      </w:r>
    </w:p>
    <w:p>
      <w:pPr>
        <w:spacing w:after="120"/>
      </w:pPr>
      <w:r>
        <w:rPr>
          <w:rFonts w:ascii="Arial" w:cs="Arial" w:eastAsia="Arial" w:hAnsi="Arial"/>
          <w:b/>
          <w:bCs/>
          <w:color w:val="033B5A"/>
          <w:sz w:val="20"/>
          <w:szCs w:val="20"/>
        </w:rPr>
        <w:t xml:space="preserve">Source system: </w:t>
      </w:r>
      <w:r>
        <w:rPr>
          <w:rFonts w:ascii="Aptos" w:cs="Leelawadee UI" w:eastAsia="Aptos" w:hAnsi="Aptos"/>
          <w:sz w:val="22"/>
          <w:szCs w:val="22"/>
        </w:rPr>
        <w:t xml:space="preserve">SICPADetect, lexicon V1</w:t>
      </w:r>
    </w:p>
    <w:p>
      <w:r>
        <w:br w:type="page"/>
      </w:r>
    </w:p>
    <w:p>
      <w:pPr>
        <w:pStyle w:val="Heading1"/>
        <w:spacing w:after="200"/>
      </w:pPr>
      <w:r>
        <w:rPr>
          <w:rFonts w:ascii="Arial" w:cs="Arial" w:eastAsia="Arial" w:hAnsi="Arial"/>
          <w:b/>
          <w:bCs/>
          <w:color w:val="033B5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hd w:fill="F2F2F2" w:val="clear"/>
        <w:spacing w:after="140" w:before="360"/>
      </w:pPr>
      <w:r>
        <w:rPr>
          <w:rFonts w:ascii="Arial" w:cs="Arial" w:eastAsia="Arial" w:hAnsi="Arial"/>
          <w:b/>
          <w:bCs/>
          <w:color w:val="033B5A"/>
          <w:sz w:val="32"/>
          <w:szCs w:val="32"/>
        </w:rPr>
        <w:t xml:space="preserve">EXECUTIVE SUMMARY</w:t>
      </w:r>
    </w:p>
    <w:p>
      <w:pPr>
        <w:spacing w:after="100"/>
      </w:pPr>
      <w:r>
        <w:rPr>
          <w:rFonts w:ascii="Arial" w:cs="Arial" w:eastAsia="Arial" w:hAnsi="Arial"/>
          <w:b/>
          <w:bCs/>
          <w:color w:val="033B5A"/>
          <w:sz w:val="24"/>
          <w:szCs w:val="24"/>
        </w:rPr>
        <w:t xml:space="preserve">Insights and trends</w:t>
      </w:r>
    </w:p>
    <w:p>
      <w:pPr>
        <w:spacing w:after="140" w:line="276"/>
      </w:pPr>
      <w:r>
        <w:rPr>
          <w:rFonts w:ascii="Aptos" w:cs="Leelawadee UI" w:eastAsia="Aptos" w:hAnsi="Aptos"/>
          <w:sz w:val="22"/>
          <w:szCs w:val="22"/>
        </w:rPr>
        <w:t xml:space="preserve">The estate analysed comprises 21,978 distinct URLs recorded between 4 Sept 2026 and 5 Oct 2026. Of these, 9,858 are classified as gambling (44.9%) and the remainder as not gambling.</w:t>
      </w:r>
    </w:p>
    <w:p>
      <w:pPr>
        <w:spacing w:after="140" w:line="276"/>
      </w:pPr>
      <w:r>
        <w:rPr>
          <w:rFonts w:ascii="Aptos" w:cs="Leelawadee UI" w:eastAsia="Aptos" w:hAnsi="Aptos"/>
          <w:sz w:val="22"/>
          <w:szCs w:val="22"/>
        </w:rPr>
        <w:t xml:space="preserve">Slots is the largest product subcategory, followed by Football Betting and General Gambling, and no single product holds a majority of gambling sites. Most subcategory assignments rest on reasoning inference, so the product figures are indicative only.</w:t>
      </w:r>
    </w:p>
    <w:p>
      <w:pPr>
        <w:spacing w:after="140" w:line="276"/>
      </w:pPr>
      <w:r>
        <w:rPr>
          <w:rFonts w:ascii="Aptos" w:cs="Leelawadee UI" w:eastAsia="Aptos" w:hAnsi="Aptos"/>
          <w:sz w:val="22"/>
          <w:szCs w:val="22"/>
        </w:rPr>
        <w:t xml:space="preserve">The gambling URLs reduce to 2,273 brand clusters, of which 1,138 hold more than one domain. 108 clusters cover half of all gambling URLs, so a limited number of operations account for a large share of the estate.</w:t>
      </w:r>
    </w:p>
    <w:p>
      <w:pPr>
        <w:spacing w:after="140" w:line="276"/>
      </w:pPr>
      <w:r>
        <w:rPr>
          <w:rFonts w:ascii="Aptos" w:cs="Leelawadee UI" w:eastAsia="Aptos" w:hAnsi="Aptos"/>
          <w:sz w:val="22"/>
          <w:szCs w:val="22"/>
        </w:rPr>
        <w:t xml:space="preserve">Gambling sites are marketed mainly through Abbreviations and Marketing &amp; Acquisition language. No page in this sample carries a regulatory blocking indicator. The source feed carries no crawl lineage, so the report cannot say how the estate is grown through redirects or variants.</w:t>
      </w:r>
    </w:p>
    <w:p>
      <w:pPr>
        <w:spacing w:after="100" w:before="100"/>
      </w:pPr>
      <w:r>
        <w:rPr>
          <w:rFonts w:ascii="Arial" w:cs="Arial" w:eastAsia="Arial" w:hAnsi="Arial"/>
          <w:b/>
          <w:bCs/>
          <w:color w:val="033B5A"/>
          <w:sz w:val="24"/>
          <w:szCs w:val="24"/>
        </w:rPr>
        <w:t xml:space="preserve">Key figures</w:t>
      </w:r>
    </w:p>
    <w:p>
      <w:pPr>
        <w:keepNext/>
        <w:spacing w:after="200" w:before="60"/>
      </w:pPr>
      <w:r>
        <w:rPr>
          <w:rFonts w:ascii="Arial" w:cs="Arial" w:eastAsia="Arial" w:hAnsi="Arial"/>
          <w:i/>
          <w:iCs/>
          <w:color w:val="555555"/>
          <w:sz w:val="18"/>
          <w:szCs w:val="18"/>
        </w:rPr>
        <w:t xml:space="preserve">Table 1. Key figures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cantSplit/>
          <w:tblHeader/>
        </w:trPr>
        <w:tc>
          <w:tcPr>
            <w:tcW w:type="dxa" w:w="470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Figure</w:t>
            </w:r>
          </w:p>
        </w:tc>
        <w:tc>
          <w:tcPr>
            <w:tcW w:type="dxa" w:w="470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Value</w:t>
            </w:r>
          </w:p>
        </w:tc>
      </w:tr>
      <w:tr>
        <w:trPr>
          <w:cantSplit/>
        </w:trPr>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URLs analysed</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21,978</w:t>
            </w:r>
          </w:p>
        </w:tc>
      </w:tr>
      <w:tr>
        <w:trPr>
          <w:cantSplit/>
        </w:trPr>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Gambling sites and share</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9,858 (44.9%)</w:t>
            </w:r>
          </w:p>
        </w:tc>
      </w:tr>
      <w:tr>
        <w:trPr>
          <w:cantSplit/>
        </w:trPr>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Not gambling</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12,120</w:t>
            </w:r>
          </w:p>
        </w:tc>
      </w:tr>
      <w:tr>
        <w:trPr>
          <w:cantSplit/>
        </w:trPr>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Brand clusters identified</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2,273</w:t>
            </w:r>
          </w:p>
        </w:tc>
      </w:tr>
      <w:tr>
        <w:trPr>
          <w:cantSplit/>
        </w:trPr>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Clusters holding more than one domain</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1,138</w:t>
            </w:r>
          </w:p>
        </w:tc>
      </w:tr>
      <w:tr>
        <w:trPr>
          <w:cantSplit/>
        </w:trPr>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Clusters needed to cover half of gambling URLs</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108</w:t>
            </w:r>
          </w:p>
        </w:tc>
      </w:tr>
      <w:tr>
        <w:trPr>
          <w:cantSplit/>
        </w:trPr>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Largest cluster</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a3game (507 domains)</w:t>
            </w:r>
          </w:p>
        </w:tc>
      </w:tr>
      <w:tr>
        <w:trPr>
          <w:cantSplit/>
        </w:trPr>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Dominant product subcategory</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(31.4% of gambling sites)</w:t>
            </w:r>
          </w:p>
        </w:tc>
      </w:tr>
      <w:tr>
        <w:trPr>
          <w:cantSplit/>
        </w:trPr>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Most common signal tag</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Abbreviations (34.2%)</w:t>
            </w:r>
          </w:p>
        </w:tc>
      </w:tr>
      <w:tr>
        <w:trPr>
          <w:cantSplit/>
        </w:trPr>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Sites showing blocking indicators</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Keyword assigned versus inferred</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395 keyword, 9,463 inferred</w:t>
            </w:r>
          </w:p>
        </w:tc>
      </w:tr>
    </w:tbl>
    <w:p>
      <w:r>
        <w:br w:type="page"/>
      </w:r>
    </w:p>
    <w:p>
      <w:pPr>
        <w:pStyle w:val="Heading1"/>
        <w:keepNext/>
        <w:numPr>
          <w:ilvl w:val="0"/>
          <w:numId w:val="2"/>
        </w:numPr>
        <w:shd w:fill="F2F2F2" w:val="clear"/>
        <w:spacing w:after="140" w:before="360"/>
      </w:pPr>
      <w:r>
        <w:rPr>
          <w:rFonts w:ascii="Arial" w:cs="Arial" w:eastAsia="Arial" w:hAnsi="Arial"/>
          <w:b/>
          <w:bCs/>
          <w:color w:val="033B5A"/>
          <w:sz w:val="32"/>
          <w:szCs w:val="32"/>
        </w:rPr>
        <w:t xml:space="preserve">MODEL INSIGHTS</w:t>
      </w:r>
    </w:p>
    <w:p>
      <w:pPr>
        <w:pStyle w:val="Heading2"/>
        <w:keepNext/>
        <w:numPr>
          <w:ilvl w:val="1"/>
          <w:numId w:val="2"/>
        </w:numPr>
        <w:spacing w:after="140" w:before="240"/>
      </w:pPr>
      <w:r>
        <w:rPr>
          <w:rFonts w:ascii="Arial" w:cs="Arial" w:eastAsia="Arial" w:hAnsi="Arial"/>
          <w:b/>
          <w:bCs/>
          <w:color w:val="033B5A"/>
          <w:sz w:val="24"/>
          <w:szCs w:val="24"/>
        </w:rPr>
        <w:t xml:space="preserve">INTRODUCTION</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pStyle w:val="Heading2"/>
        <w:keepNext/>
        <w:numPr>
          <w:ilvl w:val="1"/>
          <w:numId w:val="2"/>
        </w:numPr>
        <w:spacing w:after="140" w:before="240"/>
      </w:pPr>
      <w:r>
        <w:rPr>
          <w:rFonts w:ascii="Arial" w:cs="Arial" w:eastAsia="Arial" w:hAnsi="Arial"/>
          <w:b/>
          <w:bCs/>
          <w:color w:val="033B5A"/>
          <w:sz w:val="24"/>
          <w:szCs w:val="24"/>
        </w:rPr>
        <w:t xml:space="preserve">INSIGHTS</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pStyle w:val="Heading2"/>
        <w:keepNext/>
        <w:numPr>
          <w:ilvl w:val="1"/>
          <w:numId w:val="2"/>
        </w:numPr>
        <w:spacing w:after="140" w:before="240"/>
      </w:pPr>
      <w:r>
        <w:rPr>
          <w:rFonts w:ascii="Arial" w:cs="Arial" w:eastAsia="Arial" w:hAnsi="Arial"/>
          <w:b/>
          <w:bCs/>
          <w:color w:val="033B5A"/>
          <w:sz w:val="24"/>
          <w:szCs w:val="24"/>
        </w:rPr>
        <w:t xml:space="preserve">PERFORMANCE</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spacing w:after="140" w:line="276"/>
      </w:pPr>
      <w:r>
        <w:rPr>
          <w:rFonts w:ascii="Aptos" w:cs="Leelawadee UI" w:eastAsia="Aptos" w:hAnsi="Aptos"/>
          <w:sz w:val="22"/>
          <w:szCs w:val="22"/>
        </w:rPr>
        <w:t xml:space="preserve"> </w:t>
      </w:r>
    </w:p>
    <w:p>
      <w:pPr>
        <w:pStyle w:val="Heading1"/>
        <w:keepNext/>
        <w:numPr>
          <w:ilvl w:val="0"/>
          <w:numId w:val="2"/>
        </w:numPr>
        <w:shd w:fill="F2F2F2" w:val="clear"/>
        <w:spacing w:after="140" w:before="360"/>
      </w:pPr>
      <w:r>
        <w:rPr>
          <w:rFonts w:ascii="Arial" w:cs="Arial" w:eastAsia="Arial" w:hAnsi="Arial"/>
          <w:b/>
          <w:bCs/>
          <w:color w:val="033B5A"/>
          <w:sz w:val="32"/>
          <w:szCs w:val="32"/>
        </w:rPr>
        <w:t xml:space="preserve">THE NUMBERS</w:t>
      </w:r>
    </w:p>
    <w:p>
      <w:pPr>
        <w:pStyle w:val="Heading2"/>
        <w:keepNext/>
        <w:numPr>
          <w:ilvl w:val="1"/>
          <w:numId w:val="2"/>
        </w:numPr>
        <w:spacing w:after="140" w:before="240"/>
      </w:pPr>
      <w:r>
        <w:rPr>
          <w:rFonts w:ascii="Arial" w:cs="Arial" w:eastAsia="Arial" w:hAnsi="Arial"/>
          <w:b/>
          <w:bCs/>
          <w:color w:val="033B5A"/>
          <w:sz w:val="24"/>
          <w:szCs w:val="24"/>
        </w:rPr>
        <w:t xml:space="preserve">ESTATE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36"/>
        <w:gridCol w:w="2136"/>
        <w:gridCol w:w="2136"/>
        <w:gridCol w:w="2991"/>
      </w:tblGrid>
      <w:tr>
        <w:trPr>
          <w:cantSplit/>
          <w:tblHeader/>
        </w:trPr>
        <w:tc>
          <w:tcPr>
            <w:tcW w:type="dxa" w:w="2136"/>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Total URLs analysed</w:t>
            </w:r>
          </w:p>
        </w:tc>
        <w:tc>
          <w:tcPr>
            <w:tcW w:type="dxa" w:w="2136"/>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Gambling sites</w:t>
            </w:r>
          </w:p>
        </w:tc>
        <w:tc>
          <w:tcPr>
            <w:tcW w:type="dxa" w:w="2136"/>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Brand clusters</w:t>
            </w:r>
          </w:p>
        </w:tc>
        <w:tc>
          <w:tcPr>
            <w:tcW w:type="dxa" w:w="2991"/>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Evaluation period</w:t>
            </w:r>
          </w:p>
        </w:tc>
      </w:tr>
      <w:tr>
        <w:trPr>
          <w:cantSplit/>
        </w:trPr>
        <w:tc>
          <w:tcPr>
            <w:tcW w:type="dxa" w:w="2136"/>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21,978</w:t>
            </w:r>
          </w:p>
        </w:tc>
        <w:tc>
          <w:tcPr>
            <w:tcW w:type="dxa" w:w="2136"/>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9,858</w:t>
            </w:r>
          </w:p>
        </w:tc>
        <w:tc>
          <w:tcPr>
            <w:tcW w:type="dxa" w:w="2136"/>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2,273</w:t>
            </w:r>
          </w:p>
        </w:tc>
        <w:tc>
          <w:tcPr>
            <w:tcW w:type="dxa" w:w="299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32 days (2026-09-04 to 2026-10-05)</w:t>
            </w:r>
          </w:p>
        </w:tc>
      </w:tr>
    </w:tbl>
    <w:p>
      <w:pPr>
        <w:keepNext/>
        <w:spacing w:after="200" w:before="60"/>
      </w:pPr>
      <w:r>
        <w:rPr>
          <w:rFonts w:ascii="Arial" w:cs="Arial" w:eastAsia="Arial" w:hAnsi="Arial"/>
          <w:i/>
          <w:iCs/>
          <w:color w:val="555555"/>
          <w:sz w:val="18"/>
          <w:szCs w:val="18"/>
        </w:rPr>
        <w:t xml:space="preserve">Table 2. Headline figures, referenced in the executive summary.</w:t>
      </w:r>
    </w:p>
    <w:p>
      <w:pPr>
        <w:pStyle w:val="Heading2"/>
        <w:keepNext/>
        <w:numPr>
          <w:ilvl w:val="1"/>
          <w:numId w:val="2"/>
        </w:numPr>
        <w:spacing w:after="140" w:before="240"/>
      </w:pPr>
      <w:r>
        <w:rPr>
          <w:rFonts w:ascii="Arial" w:cs="Arial" w:eastAsia="Arial" w:hAnsi="Arial"/>
          <w:b/>
          <w:bCs/>
          <w:color w:val="033B5A"/>
          <w:sz w:val="24"/>
          <w:szCs w:val="24"/>
        </w:rPr>
        <w:t xml:space="preserve">URLS ANALYSED PER DAY</w:t>
      </w:r>
    </w:p>
    <w:p>
      <w:pPr>
        <w:spacing w:after="140" w:line="276"/>
      </w:pPr>
      <w:r>
        <w:rPr>
          <w:rFonts w:ascii="Aptos" w:cs="Leelawadee UI" w:eastAsia="Aptos" w:hAnsi="Aptos"/>
          <w:sz w:val="22"/>
          <w:szCs w:val="22"/>
        </w:rPr>
        <w:t xml:space="preserve">Daily count of URLs analysed across the evaluation period. Each point is one calendar day.</w:t>
      </w:r>
    </w:p>
    <w:p>
      <w:pPr>
        <w:keepNext/>
        <w:jc w:val="center"/>
      </w:pPr>
      <w:r>
        <w:drawing>
          <wp:inline distT="0" distB="0" distL="0" distR="0">
            <wp:extent cx="5852732" cy="1950911"/>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732" cy="1950911"/>
                    </a:xfrm>
                    <a:prstGeom prst="rect">
                      <a:avLst/>
                    </a:prstGeom>
                  </pic:spPr>
                </pic:pic>
              </a:graphicData>
            </a:graphic>
          </wp:inline>
        </w:drawing>
      </w:r>
    </w:p>
    <w:p>
      <w:pPr>
        <w:keepNext w:val="false"/>
        <w:spacing w:after="200" w:before="60"/>
      </w:pPr>
      <w:r>
        <w:rPr>
          <w:rFonts w:ascii="Arial" w:cs="Arial" w:eastAsia="Arial" w:hAnsi="Arial"/>
          <w:i/>
          <w:iCs/>
          <w:color w:val="555555"/>
          <w:sz w:val="18"/>
          <w:szCs w:val="18"/>
        </w:rPr>
        <w:t xml:space="preserve">Figure 1. URLs analysed per day.</w:t>
      </w:r>
    </w:p>
    <w:p>
      <w:pPr>
        <w:pStyle w:val="Heading2"/>
        <w:keepNext/>
        <w:numPr>
          <w:ilvl w:val="1"/>
          <w:numId w:val="2"/>
        </w:numPr>
        <w:spacing w:after="140" w:before="240"/>
      </w:pPr>
      <w:r>
        <w:rPr>
          <w:rFonts w:ascii="Arial" w:cs="Arial" w:eastAsia="Arial" w:hAnsi="Arial"/>
          <w:b/>
          <w:bCs/>
          <w:color w:val="033B5A"/>
          <w:sz w:val="24"/>
          <w:szCs w:val="24"/>
        </w:rPr>
        <w:t xml:space="preserve">STATUS DISTRIBUTION</w:t>
      </w:r>
    </w:p>
    <w:p>
      <w:pPr>
        <w:spacing w:after="140" w:line="276"/>
      </w:pPr>
      <w:r>
        <w:rPr>
          <w:rFonts w:ascii="Aptos" w:cs="Leelawadee UI" w:eastAsia="Aptos" w:hAnsi="Aptos"/>
          <w:sz w:val="22"/>
          <w:szCs w:val="22"/>
        </w:rPr>
        <w:t xml:space="preserve">Share of the estate by classification status. Each segment is one status and the table carries the counts.</w:t>
      </w:r>
    </w:p>
    <w:p>
      <w:pPr>
        <w:keepNext/>
        <w:jc w:val="center"/>
      </w:pPr>
      <w:r>
        <w:drawing>
          <wp:inline distT="0" distB="0" distL="0" distR="0">
            <wp:extent cx="5852732" cy="1950911"/>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732" cy="1950911"/>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29"/>
        <w:gridCol w:w="2686"/>
        <w:gridCol w:w="2686"/>
      </w:tblGrid>
      <w:tr>
        <w:trPr>
          <w:cantSplit/>
          <w:tblHeader/>
        </w:trPr>
        <w:tc>
          <w:tcPr>
            <w:tcW w:type="dxa" w:w="402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Status</w:t>
            </w:r>
          </w:p>
        </w:tc>
        <w:tc>
          <w:tcPr>
            <w:tcW w:type="dxa" w:w="2686"/>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Count</w:t>
            </w:r>
          </w:p>
        </w:tc>
        <w:tc>
          <w:tcPr>
            <w:tcW w:type="dxa" w:w="2686"/>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Share</w:t>
            </w:r>
          </w:p>
        </w:tc>
      </w:tr>
      <w:tr>
        <w:trPr>
          <w:cantSplit/>
        </w:trPr>
        <w:tc>
          <w:tcPr>
            <w:tcW w:type="dxa" w:w="402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Not gambling</w:t>
            </w:r>
          </w:p>
        </w:tc>
        <w:tc>
          <w:tcPr>
            <w:tcW w:type="dxa" w:w="2686"/>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12,120</w:t>
            </w:r>
          </w:p>
        </w:tc>
        <w:tc>
          <w:tcPr>
            <w:tcW w:type="dxa" w:w="2686"/>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55.1%</w:t>
            </w:r>
          </w:p>
        </w:tc>
      </w:tr>
      <w:tr>
        <w:trPr>
          <w:cantSplit/>
        </w:trPr>
        <w:tc>
          <w:tcPr>
            <w:tcW w:type="dxa" w:w="402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Gambling</w:t>
            </w:r>
          </w:p>
        </w:tc>
        <w:tc>
          <w:tcPr>
            <w:tcW w:type="dxa" w:w="2686"/>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9,858</w:t>
            </w:r>
          </w:p>
        </w:tc>
        <w:tc>
          <w:tcPr>
            <w:tcW w:type="dxa" w:w="2686"/>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44.9%</w:t>
            </w:r>
          </w:p>
        </w:tc>
      </w:tr>
    </w:tbl>
    <w:p>
      <w:pPr>
        <w:keepNext w:val="false"/>
        <w:spacing w:after="200" w:before="60"/>
      </w:pPr>
      <w:r>
        <w:rPr>
          <w:rFonts w:ascii="Arial" w:cs="Arial" w:eastAsia="Arial" w:hAnsi="Arial"/>
          <w:i/>
          <w:iCs/>
          <w:color w:val="555555"/>
          <w:sz w:val="18"/>
          <w:szCs w:val="18"/>
        </w:rPr>
        <w:t xml:space="preserve">Figure 2. Status distribution (Table 3 gives the counts).</w:t>
      </w:r>
    </w:p>
    <w:p>
      <w:pPr>
        <w:pStyle w:val="Heading2"/>
        <w:keepNext/>
        <w:numPr>
          <w:ilvl w:val="1"/>
          <w:numId w:val="2"/>
        </w:numPr>
        <w:spacing w:after="140" w:before="240"/>
      </w:pPr>
      <w:r>
        <w:rPr>
          <w:rFonts w:ascii="Arial" w:cs="Arial" w:eastAsia="Arial" w:hAnsi="Arial"/>
          <w:b/>
          <w:bCs/>
          <w:color w:val="033B5A"/>
          <w:sz w:val="24"/>
          <w:szCs w:val="24"/>
        </w:rPr>
        <w:t xml:space="preserve">TOP 10 URL SUFFIXES</w:t>
      </w:r>
    </w:p>
    <w:p>
      <w:pPr>
        <w:spacing w:after="140" w:line="276"/>
      </w:pPr>
      <w:r>
        <w:rPr>
          <w:rFonts w:ascii="Aptos" w:cs="Leelawadee UI" w:eastAsia="Aptos" w:hAnsi="Aptos"/>
          <w:sz w:val="22"/>
          <w:szCs w:val="22"/>
        </w:rPr>
        <w:t xml:space="preserve">The ten most common URL suffixes in the estate. Bar length is the total count and the table separates the gambling share.</w:t>
      </w:r>
    </w:p>
    <w:p>
      <w:pPr>
        <w:keepNext/>
        <w:jc w:val="center"/>
      </w:pPr>
      <w:r>
        <w:drawing>
          <wp:inline distT="0" distB="0" distL="0" distR="0">
            <wp:extent cx="5852732" cy="2341093"/>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52732" cy="2341093"/>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1880"/>
        <w:gridCol w:w="1880"/>
        <w:gridCol w:w="1880"/>
      </w:tblGrid>
      <w:tr>
        <w:trPr>
          <w:cantSplit/>
          <w:tblHeader/>
        </w:trPr>
        <w:tc>
          <w:tcPr>
            <w:tcW w:type="dxa" w:w="188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Suffix</w:t>
            </w:r>
          </w:p>
        </w:tc>
        <w:tc>
          <w:tcPr>
            <w:tcW w:type="dxa" w:w="188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Total</w:t>
            </w:r>
          </w:p>
        </w:tc>
        <w:tc>
          <w:tcPr>
            <w:tcW w:type="dxa" w:w="188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 of all</w:t>
            </w:r>
          </w:p>
        </w:tc>
        <w:tc>
          <w:tcPr>
            <w:tcW w:type="dxa" w:w="188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Gambling</w:t>
            </w:r>
          </w:p>
        </w:tc>
        <w:tc>
          <w:tcPr>
            <w:tcW w:type="dxa" w:w="188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 gambling</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org</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5,799</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26.4%</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0.2%</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3,529</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16.1%</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1,534</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43.5%</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net</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1,536</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7.0%</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998</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65.0%</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cc</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1,084</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4.9%</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653</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60.2%</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vip</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976</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4.4%</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886</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90.8%</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app</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774</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3.5%</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578</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74.7%</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pro</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715</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3.3%</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620</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86.7%</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698</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3.2%</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437</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62.6%</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bet</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664</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3.0%</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642</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96.7%</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top</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581</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2.6%</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314</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54.0%</w:t>
            </w:r>
          </w:p>
        </w:tc>
      </w:tr>
    </w:tbl>
    <w:p>
      <w:pPr>
        <w:keepNext/>
        <w:spacing w:after="200" w:before="60"/>
      </w:pPr>
      <w:r>
        <w:rPr>
          <w:rFonts w:ascii="Arial" w:cs="Arial" w:eastAsia="Arial" w:hAnsi="Arial"/>
          <w:i/>
          <w:iCs/>
          <w:color w:val="555555"/>
          <w:sz w:val="18"/>
          <w:szCs w:val="18"/>
        </w:rPr>
        <w:t xml:space="preserve">Table 3. Top 10 URL suffixes.</w:t>
      </w:r>
    </w:p>
    <w:p>
      <w:pPr>
        <w:pStyle w:val="Heading1"/>
        <w:keepNext/>
        <w:numPr>
          <w:ilvl w:val="0"/>
          <w:numId w:val="2"/>
        </w:numPr>
        <w:shd w:fill="F2F2F2" w:val="clear"/>
        <w:spacing w:after="140" w:before="360"/>
      </w:pPr>
      <w:r>
        <w:rPr>
          <w:rFonts w:ascii="Arial" w:cs="Arial" w:eastAsia="Arial" w:hAnsi="Arial"/>
          <w:b/>
          <w:bCs/>
          <w:color w:val="033B5A"/>
          <w:sz w:val="32"/>
          <w:szCs w:val="32"/>
        </w:rPr>
        <w:t xml:space="preserve">SUBCATEGORIES</w:t>
      </w:r>
    </w:p>
    <w:p>
      <w:pPr>
        <w:pStyle w:val="Heading2"/>
        <w:keepNext/>
        <w:numPr>
          <w:ilvl w:val="1"/>
          <w:numId w:val="2"/>
        </w:numPr>
        <w:spacing w:after="140" w:before="240"/>
      </w:pPr>
      <w:r>
        <w:rPr>
          <w:rFonts w:ascii="Arial" w:cs="Arial" w:eastAsia="Arial" w:hAnsi="Arial"/>
          <w:b/>
          <w:bCs/>
          <w:color w:val="033B5A"/>
          <w:sz w:val="24"/>
          <w:szCs w:val="24"/>
        </w:rPr>
        <w:t xml:space="preserve">GAMBLING SITES BY PRODUCT SUBCATEGORY</w:t>
      </w:r>
    </w:p>
    <w:p>
      <w:pPr>
        <w:spacing w:after="140" w:line="276"/>
      </w:pPr>
      <w:r>
        <w:rPr>
          <w:rFonts w:ascii="Aptos" w:cs="Leelawadee UI" w:eastAsia="Aptos" w:hAnsi="Aptos"/>
          <w:sz w:val="22"/>
          <w:szCs w:val="22"/>
        </w:rPr>
        <w:t xml:space="preserve">Gambling sites by product subcategory. Bar length is the site count and each label carries the count and the share of gambling rows.</w:t>
      </w:r>
    </w:p>
    <w:p>
      <w:pPr>
        <w:keepNext/>
        <w:jc w:val="center"/>
      </w:pPr>
      <w:r>
        <w:drawing>
          <wp:inline distT="0" distB="0" distL="0" distR="0">
            <wp:extent cx="5852732" cy="1677783"/>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732" cy="1677783"/>
                    </a:xfrm>
                    <a:prstGeom prst="rect">
                      <a:avLst/>
                    </a:prstGeom>
                  </pic:spPr>
                </pic:pic>
              </a:graphicData>
            </a:graphic>
          </wp:inline>
        </w:drawing>
      </w:r>
    </w:p>
    <w:p>
      <w:pPr>
        <w:keepNext w:val="false"/>
        <w:spacing w:after="200" w:before="60"/>
      </w:pPr>
      <w:r>
        <w:rPr>
          <w:rFonts w:ascii="Arial" w:cs="Arial" w:eastAsia="Arial" w:hAnsi="Arial"/>
          <w:i/>
          <w:iCs/>
          <w:color w:val="555555"/>
          <w:sz w:val="18"/>
          <w:szCs w:val="18"/>
        </w:rPr>
        <w:t xml:space="preserve">Figure 3. Gambling sites by product subcategory, share of gambling rows.</w:t>
      </w:r>
    </w:p>
    <w:p>
      <w:pPr>
        <w:pStyle w:val="Heading2"/>
        <w:keepNext/>
        <w:numPr>
          <w:ilvl w:val="1"/>
          <w:numId w:val="2"/>
        </w:numPr>
        <w:spacing w:after="140" w:before="240"/>
      </w:pPr>
      <w:r>
        <w:rPr>
          <w:rFonts w:ascii="Arial" w:cs="Arial" w:eastAsia="Arial" w:hAnsi="Arial"/>
          <w:b/>
          <w:bCs/>
          <w:color w:val="033B5A"/>
          <w:sz w:val="24"/>
          <w:szCs w:val="24"/>
        </w:rPr>
        <w:t xml:space="preserve">ASSIGNMENT METHOD BY SUBCATEGORY</w:t>
      </w:r>
    </w:p>
    <w:p>
      <w:pPr>
        <w:spacing w:after="140" w:line="276"/>
      </w:pPr>
      <w:r>
        <w:rPr>
          <w:rFonts w:ascii="Aptos" w:cs="Leelawadee UI" w:eastAsia="Aptos" w:hAnsi="Aptos"/>
          <w:sz w:val="22"/>
          <w:szCs w:val="22"/>
        </w:rPr>
        <w:t xml:space="preserve">How each subcategory was assigned. Solid fill is a lexicon keyword match and the lighter fill is reasoning inference.</w:t>
      </w:r>
    </w:p>
    <w:p>
      <w:pPr>
        <w:keepNext/>
        <w:jc w:val="center"/>
      </w:pPr>
      <w:r>
        <w:drawing>
          <wp:inline distT="0" distB="0" distL="0" distR="0">
            <wp:extent cx="5852732" cy="214600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732" cy="2146002"/>
                    </a:xfrm>
                    <a:prstGeom prst="rect">
                      <a:avLst/>
                    </a:prstGeom>
                  </pic:spPr>
                </pic:pic>
              </a:graphicData>
            </a:graphic>
          </wp:inline>
        </w:drawing>
      </w:r>
    </w:p>
    <w:p>
      <w:pPr>
        <w:spacing w:after="60"/>
      </w:pPr>
      <w:r>
        <w:rPr>
          <w:rFonts w:ascii="Arial" w:cs="Arial" w:eastAsia="Arial" w:hAnsi="Arial"/>
          <w:b/>
          <w:bCs/>
          <w:color w:val="033B5A"/>
          <w:sz w:val="22"/>
          <w:szCs w:val="22"/>
        </w:rPr>
        <w:t xml:space="preserve">What a lexicon match means</w:t>
      </w:r>
    </w:p>
    <w:p>
      <w:pPr>
        <w:spacing w:after="140" w:line="276"/>
      </w:pPr>
      <w:r>
        <w:rPr>
          <w:rFonts w:ascii="Aptos" w:cs="Leelawadee UI" w:eastAsia="Aptos" w:hAnsi="Aptos"/>
          <w:sz w:val="22"/>
          <w:szCs w:val="22"/>
        </w:rPr>
        <w:t xml:space="preserve">A site is assigned to a subcategory by lexicon match when a word or phrase from the gambling keyword lexicon appears in what was recorded about the site, such as the model description or the domain, and that word belongs to the product category the site was assigned. A description containing บาคาร่าออนไลน์ is assigned to Baccarat by lexicon match. The lexicon is the SICPADetect Thai gambling keyword lexicon, version V1, with 286 keywords in 14 categories, mostly in Thai script. Seven categories describe the gambling product and decide the subcategory. The other seven describe how a site markets or operates and are reported as signal tags. A lexicon match rests on a word that can be pointed to, so it can be checked and repeated. An inferred assignment rests on the model reading of its own description and carries lower confidence.</w:t>
      </w:r>
    </w:p>
    <w:p>
      <w:pPr>
        <w:keepNext w:val="false"/>
        <w:spacing w:after="200" w:before="60"/>
      </w:pPr>
      <w:r>
        <w:rPr>
          <w:rFonts w:ascii="Arial" w:cs="Arial" w:eastAsia="Arial" w:hAnsi="Arial"/>
          <w:i/>
          <w:iCs/>
          <w:color w:val="555555"/>
          <w:sz w:val="18"/>
          <w:szCs w:val="18"/>
        </w:rPr>
        <w:t xml:space="preserve">Figure 4. Assignment method by subcategory. Inferred share 96.0%, general gambling share 19.1%.</w:t>
      </w:r>
    </w:p>
    <w:p>
      <w:pPr>
        <w:pStyle w:val="Heading2"/>
        <w:keepNext/>
        <w:numPr>
          <w:ilvl w:val="1"/>
          <w:numId w:val="2"/>
        </w:numPr>
        <w:spacing w:after="140" w:before="240"/>
      </w:pPr>
      <w:r>
        <w:rPr>
          <w:rFonts w:ascii="Arial" w:cs="Arial" w:eastAsia="Arial" w:hAnsi="Arial"/>
          <w:b/>
          <w:bCs/>
          <w:color w:val="033B5A"/>
          <w:sz w:val="24"/>
          <w:szCs w:val="24"/>
        </w:rPr>
        <w:t xml:space="preserve">SUBCATEGORY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64"/>
        <w:gridCol w:w="1282"/>
        <w:gridCol w:w="1709"/>
        <w:gridCol w:w="1282"/>
        <w:gridCol w:w="1282"/>
        <w:gridCol w:w="1282"/>
      </w:tblGrid>
      <w:tr>
        <w:trPr>
          <w:cantSplit/>
          <w:tblHeader/>
        </w:trPr>
        <w:tc>
          <w:tcPr>
            <w:tcW w:type="dxa" w:w="2564"/>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Subcategory</w:t>
            </w:r>
          </w:p>
        </w:tc>
        <w:tc>
          <w:tcPr>
            <w:tcW w:type="dxa" w:w="1282"/>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Count</w:t>
            </w:r>
          </w:p>
        </w:tc>
        <w:tc>
          <w:tcPr>
            <w:tcW w:type="dxa" w:w="170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 of gambling</w:t>
            </w:r>
          </w:p>
        </w:tc>
        <w:tc>
          <w:tcPr>
            <w:tcW w:type="dxa" w:w="1282"/>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Keyword</w:t>
            </w:r>
          </w:p>
        </w:tc>
        <w:tc>
          <w:tcPr>
            <w:tcW w:type="dxa" w:w="1282"/>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Inferred</w:t>
            </w:r>
          </w:p>
        </w:tc>
        <w:tc>
          <w:tcPr>
            <w:tcW w:type="dxa" w:w="1282"/>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Clusters</w:t>
            </w:r>
          </w:p>
        </w:tc>
      </w:tr>
      <w:tr>
        <w:trPr>
          <w:cantSplit/>
        </w:trPr>
        <w:tc>
          <w:tcPr>
            <w:tcW w:type="dxa" w:w="256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3,095</w:t>
            </w:r>
          </w:p>
        </w:tc>
        <w:tc>
          <w:tcPr>
            <w:tcW w:type="dxa" w:w="170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31.4%</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200</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2,895</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1,017</w:t>
            </w:r>
          </w:p>
        </w:tc>
      </w:tr>
      <w:tr>
        <w:trPr>
          <w:cantSplit/>
        </w:trPr>
        <w:tc>
          <w:tcPr>
            <w:tcW w:type="dxa" w:w="256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Football Betting</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2,509</w:t>
            </w:r>
          </w:p>
        </w:tc>
        <w:tc>
          <w:tcPr>
            <w:tcW w:type="dxa" w:w="170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25.5%</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2,500</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905</w:t>
            </w:r>
          </w:p>
        </w:tc>
      </w:tr>
      <w:tr>
        <w:trPr>
          <w:cantSplit/>
        </w:trPr>
        <w:tc>
          <w:tcPr>
            <w:tcW w:type="dxa" w:w="256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General Gambling</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1,887</w:t>
            </w:r>
          </w:p>
        </w:tc>
        <w:tc>
          <w:tcPr>
            <w:tcW w:type="dxa" w:w="170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19.1%</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18</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1,869</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716</w:t>
            </w:r>
          </w:p>
        </w:tc>
      </w:tr>
      <w:tr>
        <w:trPr>
          <w:cantSplit/>
        </w:trPr>
        <w:tc>
          <w:tcPr>
            <w:tcW w:type="dxa" w:w="256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Casino</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1,361</w:t>
            </w:r>
          </w:p>
        </w:tc>
        <w:tc>
          <w:tcPr>
            <w:tcW w:type="dxa" w:w="170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13.8%</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115</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1,246</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563</w:t>
            </w:r>
          </w:p>
        </w:tc>
      </w:tr>
      <w:tr>
        <w:trPr>
          <w:cantSplit/>
        </w:trPr>
        <w:tc>
          <w:tcPr>
            <w:tcW w:type="dxa" w:w="256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Playing card</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364</w:t>
            </w:r>
          </w:p>
        </w:tc>
        <w:tc>
          <w:tcPr>
            <w:tcW w:type="dxa" w:w="170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3.7%</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357</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218</w:t>
            </w:r>
          </w:p>
        </w:tc>
      </w:tr>
      <w:tr>
        <w:trPr>
          <w:cantSplit/>
        </w:trPr>
        <w:tc>
          <w:tcPr>
            <w:tcW w:type="dxa" w:w="256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Baccarat</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328</w:t>
            </w:r>
          </w:p>
        </w:tc>
        <w:tc>
          <w:tcPr>
            <w:tcW w:type="dxa" w:w="170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3.3%</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33</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295</w:t>
            </w:r>
          </w:p>
        </w:tc>
        <w:tc>
          <w:tcPr>
            <w:tcW w:type="dxa" w:w="1282"/>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228</w:t>
            </w:r>
          </w:p>
        </w:tc>
      </w:tr>
      <w:tr>
        <w:trPr>
          <w:cantSplit/>
        </w:trPr>
        <w:tc>
          <w:tcPr>
            <w:tcW w:type="dxa" w:w="256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Lottery</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314</w:t>
            </w:r>
          </w:p>
        </w:tc>
        <w:tc>
          <w:tcPr>
            <w:tcW w:type="dxa" w:w="170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3.2%</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301</w:t>
            </w:r>
          </w:p>
        </w:tc>
        <w:tc>
          <w:tcPr>
            <w:tcW w:type="dxa" w:w="1282"/>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107</w:t>
            </w:r>
          </w:p>
        </w:tc>
      </w:tr>
    </w:tbl>
    <w:p>
      <w:pPr>
        <w:keepNext/>
        <w:spacing w:after="200" w:before="60"/>
      </w:pPr>
      <w:r>
        <w:rPr>
          <w:rFonts w:ascii="Arial" w:cs="Arial" w:eastAsia="Arial" w:hAnsi="Arial"/>
          <w:i/>
          <w:iCs/>
          <w:color w:val="555555"/>
          <w:sz w:val="18"/>
          <w:szCs w:val="18"/>
        </w:rPr>
        <w:t xml:space="preserve">Table 4. Subcategory assignment counts.</w:t>
      </w:r>
    </w:p>
    <w:p>
      <w:pPr>
        <w:pStyle w:val="Heading2"/>
        <w:keepNext/>
        <w:numPr>
          <w:ilvl w:val="1"/>
          <w:numId w:val="2"/>
        </w:numPr>
        <w:spacing w:after="140" w:before="240"/>
      </w:pPr>
      <w:r>
        <w:rPr>
          <w:rFonts w:ascii="Arial" w:cs="Arial" w:eastAsia="Arial" w:hAnsi="Arial"/>
          <w:b/>
          <w:bCs/>
          <w:color w:val="033B5A"/>
          <w:sz w:val="24"/>
          <w:szCs w:val="24"/>
        </w:rPr>
        <w:t xml:space="preserve">KEYWORD BY SUBCATEGORY HEAT MAP</w:t>
      </w:r>
    </w:p>
    <w:p>
      <w:pPr>
        <w:spacing w:after="140" w:line="276"/>
      </w:pPr>
      <w:r>
        <w:rPr>
          <w:rFonts w:ascii="Aptos" w:cs="Leelawadee UI" w:eastAsia="Aptos" w:hAnsi="Aptos"/>
          <w:sz w:val="22"/>
          <w:szCs w:val="22"/>
        </w:rPr>
        <w:t xml:space="preserve">Matched keywords against product subcategory. Each cell is the number of gambling sites carrying that keyword in that subcategory.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74"/>
        <w:gridCol w:w="989"/>
        <w:gridCol w:w="989"/>
        <w:gridCol w:w="989"/>
        <w:gridCol w:w="989"/>
        <w:gridCol w:w="989"/>
        <w:gridCol w:w="989"/>
        <w:gridCol w:w="989"/>
      </w:tblGrid>
      <w:tr>
        <w:trPr>
          <w:cantSplit/>
          <w:tblHeader/>
        </w:trPr>
        <w:tc>
          <w:tcPr>
            <w:tcW w:type="dxa" w:w="2474"/>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Football Betting</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Slots</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Casino</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Lottery</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Playing card</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Baccarat</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General Gambling</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VIP (Abbreviations)</w:t>
            </w:r>
          </w:p>
        </w:tc>
        <w:tc>
          <w:tcPr>
            <w:tcW w:type="dxa" w:w="989"/>
            <w:tcBorders>
              <w:top w:val="single" w:color="C9D2DB" w:sz="4"/>
              <w:left w:val="single" w:color="C9D2DB" w:sz="4"/>
              <w:bottom w:val="single" w:color="C9D2DB" w:sz="4"/>
              <w:right w:val="single" w:color="C9D2DB" w:sz="4"/>
            </w:tcBorders>
            <w:shd w:fill="8c9ca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357</w:t>
            </w:r>
          </w:p>
        </w:tc>
        <w:tc>
          <w:tcPr>
            <w:tcW w:type="dxa" w:w="989"/>
            <w:tcBorders>
              <w:top w:val="single" w:color="C9D2DB" w:sz="4"/>
              <w:left w:val="single" w:color="C9D2DB" w:sz="4"/>
              <w:bottom w:val="single" w:color="C9D2DB" w:sz="4"/>
              <w:right w:val="single" w:color="C9D2DB" w:sz="4"/>
            </w:tcBorders>
            <w:shd w:fill="1f3f63" w:val="clear"/>
            <w:tcMar>
              <w:top w:type="dxa" w:w="50"/>
              <w:left w:type="dxa" w:w="80"/>
              <w:bottom w:type="dxa" w:w="50"/>
              <w:right w:type="dxa" w:w="80"/>
            </w:tcMar>
            <w:vAlign w:val="center"/>
          </w:tcPr>
          <w:p>
            <w:pPr>
              <w:jc w:val="right"/>
            </w:pPr>
            <w:r>
              <w:rPr>
                <w:rFonts w:ascii="Aptos" w:cs="Leelawadee UI" w:hAnsi="Aptos"/>
                <w:b w:val="false"/>
                <w:bCs w:val="false"/>
                <w:color w:val="FFFFFF"/>
                <w:sz w:val="19"/>
                <w:szCs w:val="19"/>
              </w:rPr>
              <w:t xml:space="preserve">755</w:t>
            </w:r>
          </w:p>
        </w:tc>
        <w:tc>
          <w:tcPr>
            <w:tcW w:type="dxa" w:w="989"/>
            <w:tcBorders>
              <w:top w:val="single" w:color="C9D2DB" w:sz="4"/>
              <w:left w:val="single" w:color="C9D2DB" w:sz="4"/>
              <w:bottom w:val="single" w:color="C9D2DB" w:sz="4"/>
              <w:right w:val="single" w:color="C9D2DB" w:sz="4"/>
            </w:tcBorders>
            <w:shd w:fill="acb8c5"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237</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18</w:t>
            </w:r>
          </w:p>
        </w:tc>
        <w:tc>
          <w:tcPr>
            <w:tcW w:type="dxa" w:w="989"/>
            <w:tcBorders>
              <w:top w:val="single" w:color="C9D2DB" w:sz="4"/>
              <w:left w:val="single" w:color="C9D2DB" w:sz="4"/>
              <w:bottom w:val="single" w:color="C9D2DB" w:sz="4"/>
              <w:right w:val="single" w:color="C9D2DB" w:sz="4"/>
            </w:tcBorders>
            <w:shd w:fill="e5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30</w:t>
            </w:r>
          </w:p>
        </w:tc>
        <w:tc>
          <w:tcPr>
            <w:tcW w:type="dxa" w:w="989"/>
            <w:tcBorders>
              <w:top w:val="single" w:color="C9D2DB" w:sz="4"/>
              <w:left w:val="single" w:color="C9D2DB" w:sz="4"/>
              <w:bottom w:val="single" w:color="C9D2DB" w:sz="4"/>
              <w:right w:val="single" w:color="C9D2DB" w:sz="4"/>
            </w:tcBorders>
            <w:shd w:fill="e6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w:t>
            </w:r>
          </w:p>
        </w:tc>
        <w:tc>
          <w:tcPr>
            <w:tcW w:type="dxa" w:w="989"/>
            <w:tcBorders>
              <w:top w:val="single" w:color="C9D2DB" w:sz="4"/>
              <w:left w:val="single" w:color="C9D2DB" w:sz="4"/>
              <w:bottom w:val="single" w:color="C9D2DB" w:sz="4"/>
              <w:right w:val="single" w:color="C9D2DB" w:sz="4"/>
            </w:tcBorders>
            <w:shd w:fill="9dabb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295</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BET (Abbreviations)</w:t>
            </w:r>
          </w:p>
        </w:tc>
        <w:tc>
          <w:tcPr>
            <w:tcW w:type="dxa" w:w="989"/>
            <w:tcBorders>
              <w:top w:val="single" w:color="C9D2DB" w:sz="4"/>
              <w:left w:val="single" w:color="C9D2DB" w:sz="4"/>
              <w:bottom w:val="single" w:color="C9D2DB" w:sz="4"/>
              <w:right w:val="single" w:color="C9D2DB" w:sz="4"/>
            </w:tcBorders>
            <w:shd w:fill="9aa8b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305</w:t>
            </w:r>
          </w:p>
        </w:tc>
        <w:tc>
          <w:tcPr>
            <w:tcW w:type="dxa" w:w="989"/>
            <w:tcBorders>
              <w:top w:val="single" w:color="C9D2DB" w:sz="4"/>
              <w:left w:val="single" w:color="C9D2DB" w:sz="4"/>
              <w:bottom w:val="single" w:color="C9D2DB" w:sz="4"/>
              <w:right w:val="single" w:color="C9D2DB" w:sz="4"/>
            </w:tcBorders>
            <w:shd w:fill="a6b2c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262</w:t>
            </w:r>
          </w:p>
        </w:tc>
        <w:tc>
          <w:tcPr>
            <w:tcW w:type="dxa" w:w="989"/>
            <w:tcBorders>
              <w:top w:val="single" w:color="C9D2DB" w:sz="4"/>
              <w:left w:val="single" w:color="C9D2DB" w:sz="4"/>
              <w:bottom w:val="single" w:color="C9D2DB" w:sz="4"/>
              <w:right w:val="single" w:color="C9D2DB" w:sz="4"/>
            </w:tcBorders>
            <w:shd w:fill="c4ccd6"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152</w:t>
            </w:r>
          </w:p>
        </w:tc>
        <w:tc>
          <w:tcPr>
            <w:tcW w:type="dxa" w:w="989"/>
            <w:tcBorders>
              <w:top w:val="single" w:color="C9D2DB" w:sz="4"/>
              <w:left w:val="single" w:color="C9D2DB" w:sz="4"/>
              <w:bottom w:val="single" w:color="C9D2DB" w:sz="4"/>
              <w:right w:val="single" w:color="C9D2DB" w:sz="4"/>
            </w:tcBorders>
            <w:shd w:fill="e6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27</w:t>
            </w:r>
          </w:p>
        </w:tc>
        <w:tc>
          <w:tcPr>
            <w:tcW w:type="dxa" w:w="989"/>
            <w:tcBorders>
              <w:top w:val="single" w:color="C9D2DB" w:sz="4"/>
              <w:left w:val="single" w:color="C9D2DB" w:sz="4"/>
              <w:bottom w:val="single" w:color="C9D2DB" w:sz="4"/>
              <w:right w:val="single" w:color="C9D2DB" w:sz="4"/>
            </w:tcBorders>
            <w:shd w:fill="e5e8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31</w:t>
            </w:r>
          </w:p>
        </w:tc>
        <w:tc>
          <w:tcPr>
            <w:tcW w:type="dxa" w:w="989"/>
            <w:tcBorders>
              <w:top w:val="single" w:color="C9D2DB" w:sz="4"/>
              <w:left w:val="single" w:color="C9D2DB" w:sz="4"/>
              <w:bottom w:val="single" w:color="C9D2DB" w:sz="4"/>
              <w:right w:val="single" w:color="C9D2DB" w:sz="4"/>
            </w:tcBorders>
            <w:shd w:fill="e0e4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48</w:t>
            </w:r>
          </w:p>
        </w:tc>
        <w:tc>
          <w:tcPr>
            <w:tcW w:type="dxa" w:w="989"/>
            <w:tcBorders>
              <w:top w:val="single" w:color="C9D2DB" w:sz="4"/>
              <w:left w:val="single" w:color="C9D2DB" w:sz="4"/>
              <w:bottom w:val="single" w:color="C9D2DB" w:sz="4"/>
              <w:right w:val="single" w:color="C9D2DB" w:sz="4"/>
            </w:tcBorders>
            <w:shd w:fill="b6c1c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200</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WIN (Abbreviations)</w:t>
            </w:r>
          </w:p>
        </w:tc>
        <w:tc>
          <w:tcPr>
            <w:tcW w:type="dxa" w:w="989"/>
            <w:tcBorders>
              <w:top w:val="single" w:color="C9D2DB" w:sz="4"/>
              <w:left w:val="single" w:color="C9D2DB" w:sz="4"/>
              <w:bottom w:val="single" w:color="C9D2DB" w:sz="4"/>
              <w:right w:val="single" w:color="C9D2DB" w:sz="4"/>
            </w:tcBorders>
            <w:shd w:fill="e2e6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42</w:t>
            </w:r>
          </w:p>
        </w:tc>
        <w:tc>
          <w:tcPr>
            <w:tcW w:type="dxa" w:w="989"/>
            <w:tcBorders>
              <w:top w:val="single" w:color="C9D2DB" w:sz="4"/>
              <w:left w:val="single" w:color="C9D2DB" w:sz="4"/>
              <w:bottom w:val="single" w:color="C9D2DB" w:sz="4"/>
              <w:right w:val="single" w:color="C9D2DB" w:sz="4"/>
            </w:tcBorders>
            <w:shd w:fill="a3b0b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273</w:t>
            </w:r>
          </w:p>
        </w:tc>
        <w:tc>
          <w:tcPr>
            <w:tcW w:type="dxa" w:w="989"/>
            <w:tcBorders>
              <w:top w:val="single" w:color="C9D2DB" w:sz="4"/>
              <w:left w:val="single" w:color="C9D2DB" w:sz="4"/>
              <w:bottom w:val="single" w:color="C9D2DB" w:sz="4"/>
              <w:right w:val="single" w:color="C9D2DB" w:sz="4"/>
            </w:tcBorders>
            <w:shd w:fill="dee3e8"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54</w:t>
            </w:r>
          </w:p>
        </w:tc>
        <w:tc>
          <w:tcPr>
            <w:tcW w:type="dxa" w:w="989"/>
            <w:tcBorders>
              <w:top w:val="single" w:color="C9D2DB" w:sz="4"/>
              <w:left w:val="single" w:color="C9D2DB" w:sz="4"/>
              <w:bottom w:val="single" w:color="C9D2DB" w:sz="4"/>
              <w:right w:val="single" w:color="C9D2DB" w:sz="4"/>
            </w:tcBorders>
            <w:shd w:fill="e7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23</w:t>
            </w:r>
          </w:p>
        </w:tc>
        <w:tc>
          <w:tcPr>
            <w:tcW w:type="dxa" w:w="989"/>
            <w:tcBorders>
              <w:top w:val="single" w:color="C9D2DB" w:sz="4"/>
              <w:left w:val="single" w:color="C9D2DB" w:sz="4"/>
              <w:bottom w:val="single" w:color="C9D2DB" w:sz="4"/>
              <w:right w:val="single" w:color="C9D2DB" w:sz="4"/>
            </w:tcBorders>
            <w:shd w:fill="e9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16</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c>
          <w:tcPr>
            <w:tcW w:type="dxa" w:w="989"/>
            <w:tcBorders>
              <w:top w:val="single" w:color="C9D2DB" w:sz="4"/>
              <w:left w:val="single" w:color="C9D2DB" w:sz="4"/>
              <w:bottom w:val="single" w:color="C9D2DB" w:sz="4"/>
              <w:right w:val="single" w:color="C9D2DB" w:sz="4"/>
            </w:tcBorders>
            <w:shd w:fill="cfd5d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112</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สมัครสมาชิก (Marketing &amp; Acquisition)</w:t>
            </w:r>
          </w:p>
        </w:tc>
        <w:tc>
          <w:tcPr>
            <w:tcW w:type="dxa" w:w="989"/>
            <w:tcBorders>
              <w:top w:val="single" w:color="C9D2DB" w:sz="4"/>
              <w:left w:val="single" w:color="C9D2DB" w:sz="4"/>
              <w:bottom w:val="single" w:color="C9D2DB" w:sz="4"/>
              <w:right w:val="single" w:color="C9D2DB" w:sz="4"/>
            </w:tcBorders>
            <w:shd w:fill="e8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17</w:t>
            </w:r>
          </w:p>
        </w:tc>
        <w:tc>
          <w:tcPr>
            <w:tcW w:type="dxa" w:w="989"/>
            <w:tcBorders>
              <w:top w:val="single" w:color="C9D2DB" w:sz="4"/>
              <w:left w:val="single" w:color="C9D2DB" w:sz="4"/>
              <w:bottom w:val="single" w:color="C9D2DB" w:sz="4"/>
              <w:right w:val="single" w:color="C9D2DB" w:sz="4"/>
            </w:tcBorders>
            <w:shd w:fill="c9d1d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133</w:t>
            </w:r>
          </w:p>
        </w:tc>
        <w:tc>
          <w:tcPr>
            <w:tcW w:type="dxa" w:w="989"/>
            <w:tcBorders>
              <w:top w:val="single" w:color="C9D2DB" w:sz="4"/>
              <w:left w:val="single" w:color="C9D2DB" w:sz="4"/>
              <w:bottom w:val="single" w:color="C9D2DB" w:sz="4"/>
              <w:right w:val="single" w:color="C9D2DB" w:sz="4"/>
            </w:tcBorders>
            <w:shd w:fill="dfe3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52</w:t>
            </w:r>
          </w:p>
        </w:tc>
        <w:tc>
          <w:tcPr>
            <w:tcW w:type="dxa" w:w="989"/>
            <w:tcBorders>
              <w:top w:val="single" w:color="C9D2DB" w:sz="4"/>
              <w:left w:val="single" w:color="C9D2DB" w:sz="4"/>
              <w:bottom w:val="single" w:color="C9D2DB" w:sz="4"/>
              <w:right w:val="single" w:color="C9D2DB" w:sz="4"/>
            </w:tcBorders>
            <w:shd w:fill="e1e5e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45</w:t>
            </w:r>
          </w:p>
        </w:tc>
        <w:tc>
          <w:tcPr>
            <w:tcW w:type="dxa" w:w="989"/>
            <w:tcBorders>
              <w:top w:val="single" w:color="C9D2DB" w:sz="4"/>
              <w:left w:val="single" w:color="C9D2DB" w:sz="4"/>
              <w:bottom w:val="single" w:color="C9D2DB" w:sz="4"/>
              <w:right w:val="single" w:color="C9D2DB" w:sz="4"/>
            </w:tcBorders>
            <w:shd w:fill="ea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w:t>
            </w:r>
          </w:p>
        </w:tc>
        <w:tc>
          <w:tcPr>
            <w:tcW w:type="dxa" w:w="989"/>
            <w:tcBorders>
              <w:top w:val="single" w:color="C9D2DB" w:sz="4"/>
              <w:left w:val="single" w:color="C9D2DB" w:sz="4"/>
              <w:bottom w:val="single" w:color="C9D2DB" w:sz="4"/>
              <w:right w:val="single" w:color="C9D2DB" w:sz="4"/>
            </w:tcBorders>
            <w:shd w:fill="e6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27</w:t>
            </w:r>
          </w:p>
        </w:tc>
        <w:tc>
          <w:tcPr>
            <w:tcW w:type="dxa" w:w="989"/>
            <w:tcBorders>
              <w:top w:val="single" w:color="C9D2DB" w:sz="4"/>
              <w:left w:val="single" w:color="C9D2DB" w:sz="4"/>
              <w:bottom w:val="single" w:color="C9D2DB" w:sz="4"/>
              <w:right w:val="single" w:color="C9D2DB" w:sz="4"/>
            </w:tcBorders>
            <w:shd w:fill="dee3e8"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56</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สล็อต (Slots)</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c>
          <w:tcPr>
            <w:tcW w:type="dxa" w:w="989"/>
            <w:tcBorders>
              <w:top w:val="single" w:color="C9D2DB" w:sz="4"/>
              <w:left w:val="single" w:color="C9D2DB" w:sz="4"/>
              <w:bottom w:val="single" w:color="C9D2DB" w:sz="4"/>
              <w:right w:val="single" w:color="C9D2DB" w:sz="4"/>
            </w:tcBorders>
            <w:shd w:fill="b6c1c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200</w:t>
            </w:r>
          </w:p>
        </w:tc>
        <w:tc>
          <w:tcPr>
            <w:tcW w:type="dxa" w:w="989"/>
            <w:tcBorders>
              <w:top w:val="single" w:color="C9D2DB" w:sz="4"/>
              <w:left w:val="single" w:color="C9D2DB" w:sz="4"/>
              <w:bottom w:val="single" w:color="C9D2DB" w:sz="4"/>
              <w:right w:val="single" w:color="C9D2DB" w:sz="4"/>
            </w:tcBorders>
            <w:shd w:fill="dde2e7"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e6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(Abbreviations)</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w:t>
            </w:r>
          </w:p>
        </w:tc>
        <w:tc>
          <w:tcPr>
            <w:tcW w:type="dxa" w:w="989"/>
            <w:tcBorders>
              <w:top w:val="single" w:color="C9D2DB" w:sz="4"/>
              <w:left w:val="single" w:color="C9D2DB" w:sz="4"/>
              <w:bottom w:val="single" w:color="C9D2DB" w:sz="4"/>
              <w:right w:val="single" w:color="C9D2DB" w:sz="4"/>
            </w:tcBorders>
            <w:shd w:fill="e0e4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49</w:t>
            </w:r>
          </w:p>
        </w:tc>
        <w:tc>
          <w:tcPr>
            <w:tcW w:type="dxa" w:w="989"/>
            <w:tcBorders>
              <w:top w:val="single" w:color="C9D2DB" w:sz="4"/>
              <w:left w:val="single" w:color="C9D2DB" w:sz="4"/>
              <w:bottom w:val="single" w:color="C9D2DB" w:sz="4"/>
              <w:right w:val="single" w:color="C9D2DB" w:sz="4"/>
            </w:tcBorders>
            <w:shd w:fill="e4e8ec"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32</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c>
          <w:tcPr>
            <w:tcW w:type="dxa" w:w="989"/>
            <w:tcBorders>
              <w:top w:val="single" w:color="C9D2DB" w:sz="4"/>
              <w:left w:val="single" w:color="C9D2DB" w:sz="4"/>
              <w:bottom w:val="single" w:color="C9D2DB" w:sz="4"/>
              <w:right w:val="single" w:color="C9D2DB" w:sz="4"/>
            </w:tcBorders>
            <w:shd w:fill="e2e7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39</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(Deposit &amp; Withdrawal)</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w:t>
            </w:r>
          </w:p>
        </w:tc>
        <w:tc>
          <w:tcPr>
            <w:tcW w:type="dxa" w:w="989"/>
            <w:tcBorders>
              <w:top w:val="single" w:color="C9D2DB" w:sz="4"/>
              <w:left w:val="single" w:color="C9D2DB" w:sz="4"/>
              <w:bottom w:val="single" w:color="C9D2DB" w:sz="4"/>
              <w:right w:val="single" w:color="C9D2DB" w:sz="4"/>
            </w:tcBorders>
            <w:shd w:fill="e0e4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49</w:t>
            </w:r>
          </w:p>
        </w:tc>
        <w:tc>
          <w:tcPr>
            <w:tcW w:type="dxa" w:w="989"/>
            <w:tcBorders>
              <w:top w:val="single" w:color="C9D2DB" w:sz="4"/>
              <w:left w:val="single" w:color="C9D2DB" w:sz="4"/>
              <w:bottom w:val="single" w:color="C9D2DB" w:sz="4"/>
              <w:right w:val="single" w:color="C9D2DB" w:sz="4"/>
            </w:tcBorders>
            <w:shd w:fill="e4e8ec"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32</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c>
          <w:tcPr>
            <w:tcW w:type="dxa" w:w="989"/>
            <w:tcBorders>
              <w:top w:val="single" w:color="C9D2DB" w:sz="4"/>
              <w:left w:val="single" w:color="C9D2DB" w:sz="4"/>
              <w:bottom w:val="single" w:color="C9D2DB" w:sz="4"/>
              <w:right w:val="single" w:color="C9D2DB" w:sz="4"/>
            </w:tcBorders>
            <w:shd w:fill="e2e7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39</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คาสิโน (Casino)</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6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w:t>
            </w:r>
          </w:p>
        </w:tc>
        <w:tc>
          <w:tcPr>
            <w:tcW w:type="dxa" w:w="989"/>
            <w:tcBorders>
              <w:top w:val="single" w:color="C9D2DB" w:sz="4"/>
              <w:left w:val="single" w:color="C9D2DB" w:sz="4"/>
              <w:bottom w:val="single" w:color="C9D2DB" w:sz="4"/>
              <w:right w:val="single" w:color="C9D2DB" w:sz="4"/>
            </w:tcBorders>
            <w:shd w:fill="ced5d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115</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PRAGMATIC (Abbreviations)</w:t>
            </w:r>
          </w:p>
        </w:tc>
        <w:tc>
          <w:tcPr>
            <w:tcW w:type="dxa" w:w="989"/>
            <w:tcBorders>
              <w:top w:val="single" w:color="C9D2DB" w:sz="4"/>
              <w:left w:val="single" w:color="C9D2DB" w:sz="4"/>
              <w:bottom w:val="single" w:color="C9D2DB" w:sz="4"/>
              <w:right w:val="single" w:color="C9D2DB" w:sz="4"/>
            </w:tcBorders>
            <w:shd w:fill="e6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27</w:t>
            </w:r>
          </w:p>
        </w:tc>
        <w:tc>
          <w:tcPr>
            <w:tcW w:type="dxa" w:w="989"/>
            <w:tcBorders>
              <w:top w:val="single" w:color="C9D2DB" w:sz="4"/>
              <w:left w:val="single" w:color="C9D2DB" w:sz="4"/>
              <w:bottom w:val="single" w:color="C9D2DB" w:sz="4"/>
              <w:right w:val="single" w:color="C9D2DB" w:sz="4"/>
            </w:tcBorders>
            <w:shd w:fill="e1e5e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45</w:t>
            </w:r>
          </w:p>
        </w:tc>
        <w:tc>
          <w:tcPr>
            <w:tcW w:type="dxa" w:w="989"/>
            <w:tcBorders>
              <w:top w:val="single" w:color="C9D2DB" w:sz="4"/>
              <w:left w:val="single" w:color="C9D2DB" w:sz="4"/>
              <w:bottom w:val="single" w:color="C9D2DB" w:sz="4"/>
              <w:right w:val="single" w:color="C9D2DB" w:sz="4"/>
            </w:tcBorders>
            <w:shd w:fill="e9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16</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9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16</w:t>
            </w:r>
          </w:p>
        </w:tc>
        <w:tc>
          <w:tcPr>
            <w:tcW w:type="dxa" w:w="989"/>
            <w:tcBorders>
              <w:top w:val="single" w:color="C9D2DB" w:sz="4"/>
              <w:left w:val="single" w:color="C9D2DB" w:sz="4"/>
              <w:bottom w:val="single" w:color="C9D2DB" w:sz="4"/>
              <w:right w:val="single" w:color="C9D2DB" w:sz="4"/>
            </w:tcBorders>
            <w:shd w:fill="e5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29</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คาสิโนออนไลน์ (Casino)</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d6dce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86</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สล็อตออนไลน์ (Slots)</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d8dde4"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78</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เกมสล็อต (Slots)</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be0e6"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67</w:t>
            </w:r>
          </w:p>
        </w:tc>
        <w:tc>
          <w:tcPr>
            <w:tcW w:type="dxa" w:w="989"/>
            <w:tcBorders>
              <w:top w:val="single" w:color="C9D2DB" w:sz="4"/>
              <w:left w:val="single" w:color="C9D2DB" w:sz="4"/>
              <w:bottom w:val="single" w:color="C9D2DB" w:sz="4"/>
              <w:right w:val="single" w:color="C9D2DB" w:sz="4"/>
            </w:tcBorders>
            <w:shd w:fill="ea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บาคาร่า (Baccarat)</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8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17</w:t>
            </w:r>
          </w:p>
        </w:tc>
        <w:tc>
          <w:tcPr>
            <w:tcW w:type="dxa" w:w="989"/>
            <w:tcBorders>
              <w:top w:val="single" w:color="C9D2DB" w:sz="4"/>
              <w:left w:val="single" w:color="C9D2DB" w:sz="4"/>
              <w:bottom w:val="single" w:color="C9D2DB" w:sz="4"/>
              <w:right w:val="single" w:color="C9D2DB" w:sz="4"/>
            </w:tcBorders>
            <w:shd w:fill="ea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e4e8ec"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33</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เล่นสล็อต (Slots)</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0e4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48</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JILI (Abbreviations)</w:t>
            </w:r>
          </w:p>
        </w:tc>
        <w:tc>
          <w:tcPr>
            <w:tcW w:type="dxa" w:w="989"/>
            <w:tcBorders>
              <w:top w:val="single" w:color="C9D2DB" w:sz="4"/>
              <w:left w:val="single" w:color="C9D2DB" w:sz="4"/>
              <w:bottom w:val="single" w:color="C9D2DB" w:sz="4"/>
              <w:right w:val="single" w:color="C9D2DB" w:sz="4"/>
            </w:tcBorders>
            <w:shd w:fill="e7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22</w:t>
            </w:r>
          </w:p>
        </w:tc>
        <w:tc>
          <w:tcPr>
            <w:tcW w:type="dxa" w:w="989"/>
            <w:tcBorders>
              <w:top w:val="single" w:color="C9D2DB" w:sz="4"/>
              <w:left w:val="single" w:color="C9D2DB" w:sz="4"/>
              <w:bottom w:val="single" w:color="C9D2DB" w:sz="4"/>
              <w:right w:val="single" w:color="C9D2DB" w:sz="4"/>
            </w:tcBorders>
            <w:shd w:fill="e9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16</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Affiliate (Affiliate &amp; Agent)</w:t>
            </w:r>
          </w:p>
        </w:tc>
        <w:tc>
          <w:tcPr>
            <w:tcW w:type="dxa" w:w="989"/>
            <w:tcBorders>
              <w:top w:val="single" w:color="C9D2DB" w:sz="4"/>
              <w:left w:val="single" w:color="C9D2DB" w:sz="4"/>
              <w:bottom w:val="single" w:color="C9D2DB" w:sz="4"/>
              <w:right w:val="single" w:color="C9D2DB" w:sz="4"/>
            </w:tcBorders>
            <w:shd w:fill="ecee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e8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17</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cee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เดิมพัน (General Gambling)</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c>
          <w:tcPr>
            <w:tcW w:type="dxa" w:w="989"/>
            <w:tcBorders>
              <w:top w:val="single" w:color="C9D2DB" w:sz="4"/>
              <w:left w:val="single" w:color="C9D2DB" w:sz="4"/>
              <w:bottom w:val="single" w:color="C9D2DB" w:sz="4"/>
              <w:right w:val="single" w:color="C9D2DB" w:sz="4"/>
            </w:tcBorders>
            <w:shd w:fill="eaed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14</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พนัน (General Gambling)</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aed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w:t>
            </w:r>
          </w:p>
        </w:tc>
        <w:tc>
          <w:tcPr>
            <w:tcW w:type="dxa" w:w="989"/>
            <w:tcBorders>
              <w:top w:val="single" w:color="C9D2DB" w:sz="4"/>
              <w:left w:val="single" w:color="C9D2DB" w:sz="4"/>
              <w:bottom w:val="single" w:color="C9D2DB" w:sz="4"/>
              <w:right w:val="single" w:color="C9D2DB" w:sz="4"/>
            </w:tcBorders>
            <w:shd w:fill="eaed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JDB (Abbreviations)</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14</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RTP (Abbreviations)</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15</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เครดิตฟรี (Promotions)</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cee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SEXY (Abbreviations)</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สมาชิกใหม่ (Marketing &amp; Acquisition)</w:t>
            </w:r>
          </w:p>
        </w:tc>
        <w:tc>
          <w:tcPr>
            <w:tcW w:type="dxa" w:w="989"/>
            <w:tcBorders>
              <w:top w:val="single" w:color="C9D2DB" w:sz="4"/>
              <w:left w:val="single" w:color="C9D2DB" w:sz="4"/>
              <w:bottom w:val="single" w:color="C9D2DB" w:sz="4"/>
              <w:right w:val="single" w:color="C9D2DB" w:sz="4"/>
            </w:tcBorders>
            <w:shd w:fill="ecee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AUTO (Abbreviations)</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การพนัน (General Gambling)</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r>
    </w:tbl>
    <w:p>
      <w:pPr>
        <w:keepNext/>
        <w:spacing w:after="200" w:before="60"/>
      </w:pPr>
      <w:r>
        <w:rPr>
          <w:rFonts w:ascii="Arial" w:cs="Arial" w:eastAsia="Arial" w:hAnsi="Arial"/>
          <w:i/>
          <w:iCs/>
          <w:color w:val="555555"/>
          <w:sz w:val="18"/>
          <w:szCs w:val="18"/>
        </w:rPr>
        <w:t xml:space="preserve">Table 5. Top 25 matched keywords by product subcategory, with the lexicon category in brackets. Zero cells are white.</w:t>
      </w:r>
    </w:p>
    <w:p>
      <w:pPr>
        <w:pStyle w:val="Heading2"/>
        <w:keepNext/>
        <w:numPr>
          <w:ilvl w:val="1"/>
          <w:numId w:val="2"/>
        </w:numPr>
        <w:spacing w:after="140" w:before="240"/>
      </w:pPr>
      <w:r>
        <w:rPr>
          <w:rFonts w:ascii="Arial" w:cs="Arial" w:eastAsia="Arial" w:hAnsi="Arial"/>
          <w:b/>
          <w:bCs/>
          <w:color w:val="033B5A"/>
          <w:sz w:val="24"/>
          <w:szCs w:val="24"/>
        </w:rPr>
        <w:t xml:space="preserve">SIGNAL TAG BY SUBCATEGORY HEAT MAP</w:t>
      </w:r>
    </w:p>
    <w:p>
      <w:pPr>
        <w:spacing w:after="140" w:line="276"/>
      </w:pPr>
      <w:r>
        <w:rPr>
          <w:rFonts w:ascii="Aptos" w:cs="Leelawadee UI" w:eastAsia="Aptos" w:hAnsi="Aptos"/>
          <w:sz w:val="22"/>
          <w:szCs w:val="22"/>
        </w:rPr>
        <w:t xml:space="preserve">Signal tags against product subcategory. Each cell is the number of gambling sites carrying that tag in that subcategory.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74"/>
        <w:gridCol w:w="989"/>
        <w:gridCol w:w="989"/>
        <w:gridCol w:w="989"/>
        <w:gridCol w:w="989"/>
        <w:gridCol w:w="989"/>
        <w:gridCol w:w="989"/>
        <w:gridCol w:w="989"/>
      </w:tblGrid>
      <w:tr>
        <w:trPr>
          <w:cantSplit/>
          <w:tblHeader/>
        </w:trPr>
        <w:tc>
          <w:tcPr>
            <w:tcW w:type="dxa" w:w="2474"/>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Football Betting</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Slots</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Casino</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Lottery</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Playing card</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Baccarat</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General Gambling</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Deposit &amp; Withdrawal</w:t>
            </w:r>
          </w:p>
        </w:tc>
        <w:tc>
          <w:tcPr>
            <w:tcW w:type="dxa" w:w="989"/>
            <w:tcBorders>
              <w:top w:val="single" w:color="C9D2DB" w:sz="4"/>
              <w:left w:val="single" w:color="C9D2DB" w:sz="4"/>
              <w:bottom w:val="single" w:color="C9D2DB" w:sz="4"/>
              <w:right w:val="single" w:color="C9D2DB" w:sz="4"/>
            </w:tcBorders>
            <w:shd w:fill="ea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w:t>
            </w:r>
          </w:p>
        </w:tc>
        <w:tc>
          <w:tcPr>
            <w:tcW w:type="dxa" w:w="989"/>
            <w:tcBorders>
              <w:top w:val="single" w:color="C9D2DB" w:sz="4"/>
              <w:left w:val="single" w:color="C9D2DB" w:sz="4"/>
              <w:bottom w:val="single" w:color="C9D2DB" w:sz="4"/>
              <w:right w:val="single" w:color="C9D2DB" w:sz="4"/>
            </w:tcBorders>
            <w:shd w:fill="e5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50</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33</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df0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cee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c>
          <w:tcPr>
            <w:tcW w:type="dxa" w:w="989"/>
            <w:tcBorders>
              <w:top w:val="single" w:color="C9D2DB" w:sz="4"/>
              <w:left w:val="single" w:color="C9D2DB" w:sz="4"/>
              <w:bottom w:val="single" w:color="C9D2DB" w:sz="4"/>
              <w:right w:val="single" w:color="C9D2DB" w:sz="4"/>
            </w:tcBorders>
            <w:shd w:fill="e7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40</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Promotions</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Marketing &amp; Acquisition</w:t>
            </w:r>
          </w:p>
        </w:tc>
        <w:tc>
          <w:tcPr>
            <w:tcW w:type="dxa" w:w="989"/>
            <w:tcBorders>
              <w:top w:val="single" w:color="C9D2DB" w:sz="4"/>
              <w:left w:val="single" w:color="C9D2DB" w:sz="4"/>
              <w:bottom w:val="single" w:color="C9D2DB" w:sz="4"/>
              <w:right w:val="single" w:color="C9D2DB" w:sz="4"/>
            </w:tcBorders>
            <w:shd w:fill="e9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23</w:t>
            </w:r>
          </w:p>
        </w:tc>
        <w:tc>
          <w:tcPr>
            <w:tcW w:type="dxa" w:w="989"/>
            <w:tcBorders>
              <w:top w:val="single" w:color="C9D2DB" w:sz="4"/>
              <w:left w:val="single" w:color="C9D2DB" w:sz="4"/>
              <w:bottom w:val="single" w:color="C9D2DB" w:sz="4"/>
              <w:right w:val="single" w:color="C9D2DB" w:sz="4"/>
            </w:tcBorders>
            <w:shd w:fill="d6dce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146</w:t>
            </w:r>
          </w:p>
        </w:tc>
        <w:tc>
          <w:tcPr>
            <w:tcW w:type="dxa" w:w="989"/>
            <w:tcBorders>
              <w:top w:val="single" w:color="C9D2DB" w:sz="4"/>
              <w:left w:val="single" w:color="C9D2DB" w:sz="4"/>
              <w:bottom w:val="single" w:color="C9D2DB" w:sz="4"/>
              <w:right w:val="single" w:color="C9D2DB" w:sz="4"/>
            </w:tcBorders>
            <w:shd w:fill="e4e7ec"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60</w:t>
            </w:r>
          </w:p>
        </w:tc>
        <w:tc>
          <w:tcPr>
            <w:tcW w:type="dxa" w:w="989"/>
            <w:tcBorders>
              <w:top w:val="single" w:color="C9D2DB" w:sz="4"/>
              <w:left w:val="single" w:color="C9D2DB" w:sz="4"/>
              <w:bottom w:val="single" w:color="C9D2DB" w:sz="4"/>
              <w:right w:val="single" w:color="C9D2DB" w:sz="4"/>
            </w:tcBorders>
            <w:shd w:fill="e6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45</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14</w:t>
            </w:r>
          </w:p>
        </w:tc>
        <w:tc>
          <w:tcPr>
            <w:tcW w:type="dxa" w:w="989"/>
            <w:tcBorders>
              <w:top w:val="single" w:color="C9D2DB" w:sz="4"/>
              <w:left w:val="single" w:color="C9D2DB" w:sz="4"/>
              <w:bottom w:val="single" w:color="C9D2DB" w:sz="4"/>
              <w:right w:val="single" w:color="C9D2DB" w:sz="4"/>
            </w:tcBorders>
            <w:shd w:fill="e8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30</w:t>
            </w:r>
          </w:p>
        </w:tc>
        <w:tc>
          <w:tcPr>
            <w:tcW w:type="dxa" w:w="989"/>
            <w:tcBorders>
              <w:top w:val="single" w:color="C9D2DB" w:sz="4"/>
              <w:left w:val="single" w:color="C9D2DB" w:sz="4"/>
              <w:bottom w:val="single" w:color="C9D2DB" w:sz="4"/>
              <w:right w:val="single" w:color="C9D2DB" w:sz="4"/>
            </w:tcBorders>
            <w:shd w:fill="e4e7ec"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60</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Affiliate &amp; Agent</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c>
          <w:tcPr>
            <w:tcW w:type="dxa" w:w="989"/>
            <w:tcBorders>
              <w:top w:val="single" w:color="C9D2DB" w:sz="4"/>
              <w:left w:val="single" w:color="C9D2DB" w:sz="4"/>
              <w:bottom w:val="single" w:color="C9D2DB" w:sz="4"/>
              <w:right w:val="single" w:color="C9D2DB" w:sz="4"/>
            </w:tcBorders>
            <w:shd w:fill="ea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22</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w:t>
            </w:r>
          </w:p>
        </w:tc>
        <w:tc>
          <w:tcPr>
            <w:tcW w:type="dxa" w:w="989"/>
            <w:tcBorders>
              <w:top w:val="single" w:color="C9D2DB" w:sz="4"/>
              <w:left w:val="single" w:color="C9D2DB" w:sz="4"/>
              <w:bottom w:val="single" w:color="C9D2DB" w:sz="4"/>
              <w:right w:val="single" w:color="C9D2DB" w:sz="4"/>
            </w:tcBorders>
            <w:shd w:fill="edf0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df0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ea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Vague-Evasion Terms</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Abbreviations</w:t>
            </w:r>
          </w:p>
        </w:tc>
        <w:tc>
          <w:tcPr>
            <w:tcW w:type="dxa" w:w="989"/>
            <w:tcBorders>
              <w:top w:val="single" w:color="C9D2DB" w:sz="4"/>
              <w:left w:val="single" w:color="C9D2DB" w:sz="4"/>
              <w:bottom w:val="single" w:color="C9D2DB" w:sz="4"/>
              <w:right w:val="single" w:color="C9D2DB" w:sz="4"/>
            </w:tcBorders>
            <w:shd w:fill="788ba1" w:val="clear"/>
            <w:tcMar>
              <w:top w:type="dxa" w:w="50"/>
              <w:left w:type="dxa" w:w="80"/>
              <w:bottom w:type="dxa" w:w="50"/>
              <w:right w:type="dxa" w:w="80"/>
            </w:tcMar>
            <w:vAlign w:val="center"/>
          </w:tcPr>
          <w:p>
            <w:pPr>
              <w:jc w:val="right"/>
            </w:pPr>
            <w:r>
              <w:rPr>
                <w:rFonts w:ascii="Aptos" w:cs="Leelawadee UI" w:hAnsi="Aptos"/>
                <w:b w:val="false"/>
                <w:bCs w:val="false"/>
                <w:color w:val="FFFFFF"/>
                <w:sz w:val="19"/>
                <w:szCs w:val="19"/>
              </w:rPr>
              <w:t xml:space="preserve">740</w:t>
            </w:r>
          </w:p>
        </w:tc>
        <w:tc>
          <w:tcPr>
            <w:tcW w:type="dxa" w:w="989"/>
            <w:tcBorders>
              <w:top w:val="single" w:color="C9D2DB" w:sz="4"/>
              <w:left w:val="single" w:color="C9D2DB" w:sz="4"/>
              <w:bottom w:val="single" w:color="C9D2DB" w:sz="4"/>
              <w:right w:val="single" w:color="C9D2DB" w:sz="4"/>
            </w:tcBorders>
            <w:shd w:fill="1f3f63" w:val="clear"/>
            <w:tcMar>
              <w:top w:type="dxa" w:w="50"/>
              <w:left w:type="dxa" w:w="80"/>
              <w:bottom w:type="dxa" w:w="50"/>
              <w:right w:type="dxa" w:w="80"/>
            </w:tcMar>
            <w:vAlign w:val="center"/>
          </w:tcPr>
          <w:p>
            <w:pPr>
              <w:jc w:val="right"/>
            </w:pPr>
            <w:r>
              <w:rPr>
                <w:rFonts w:ascii="Aptos" w:cs="Leelawadee UI" w:hAnsi="Aptos"/>
                <w:b w:val="false"/>
                <w:bCs w:val="false"/>
                <w:color w:val="FFFFFF"/>
                <w:sz w:val="19"/>
                <w:szCs w:val="19"/>
              </w:rPr>
              <w:t xml:space="preserve">1300</w:t>
            </w:r>
          </w:p>
        </w:tc>
        <w:tc>
          <w:tcPr>
            <w:tcW w:type="dxa" w:w="989"/>
            <w:tcBorders>
              <w:top w:val="single" w:color="C9D2DB" w:sz="4"/>
              <w:left w:val="single" w:color="C9D2DB" w:sz="4"/>
              <w:bottom w:val="single" w:color="C9D2DB" w:sz="4"/>
              <w:right w:val="single" w:color="C9D2DB" w:sz="4"/>
            </w:tcBorders>
            <w:shd w:fill="a4b1b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464</w:t>
            </w:r>
          </w:p>
        </w:tc>
        <w:tc>
          <w:tcPr>
            <w:tcW w:type="dxa" w:w="989"/>
            <w:tcBorders>
              <w:top w:val="single" w:color="C9D2DB" w:sz="4"/>
              <w:left w:val="single" w:color="C9D2DB" w:sz="4"/>
              <w:bottom w:val="single" w:color="C9D2DB" w:sz="4"/>
              <w:right w:val="single" w:color="C9D2DB" w:sz="4"/>
            </w:tcBorders>
            <w:shd w:fill="e3e7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66</w:t>
            </w:r>
          </w:p>
        </w:tc>
        <w:tc>
          <w:tcPr>
            <w:tcW w:type="dxa" w:w="989"/>
            <w:tcBorders>
              <w:top w:val="single" w:color="C9D2DB" w:sz="4"/>
              <w:left w:val="single" w:color="C9D2DB" w:sz="4"/>
              <w:bottom w:val="single" w:color="C9D2DB" w:sz="4"/>
              <w:right w:val="single" w:color="C9D2DB" w:sz="4"/>
            </w:tcBorders>
            <w:shd w:fill="e2e6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72</w:t>
            </w:r>
          </w:p>
        </w:tc>
        <w:tc>
          <w:tcPr>
            <w:tcW w:type="dxa" w:w="989"/>
            <w:tcBorders>
              <w:top w:val="single" w:color="C9D2DB" w:sz="4"/>
              <w:left w:val="single" w:color="C9D2DB" w:sz="4"/>
              <w:bottom w:val="single" w:color="C9D2DB" w:sz="4"/>
              <w:right w:val="single" w:color="C9D2DB" w:sz="4"/>
            </w:tcBorders>
            <w:shd w:fill="dae0e5"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118</w:t>
            </w:r>
          </w:p>
        </w:tc>
        <w:tc>
          <w:tcPr>
            <w:tcW w:type="dxa" w:w="989"/>
            <w:tcBorders>
              <w:top w:val="single" w:color="C9D2DB" w:sz="4"/>
              <w:left w:val="single" w:color="C9D2DB" w:sz="4"/>
              <w:bottom w:val="single" w:color="C9D2DB" w:sz="4"/>
              <w:right w:val="single" w:color="C9D2DB" w:sz="4"/>
            </w:tcBorders>
            <w:shd w:fill="8c9ca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615</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Hashtags</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bl>
    <w:p>
      <w:pPr>
        <w:keepNext/>
        <w:spacing w:after="200" w:before="60"/>
      </w:pPr>
      <w:r>
        <w:rPr>
          <w:rFonts w:ascii="Arial" w:cs="Arial" w:eastAsia="Arial" w:hAnsi="Arial"/>
          <w:i/>
          <w:iCs/>
          <w:color w:val="555555"/>
          <w:sz w:val="18"/>
          <w:szCs w:val="18"/>
        </w:rPr>
        <w:t xml:space="preserve">Table 6. Signal tags by product subcategory. Mean tags per gambling site: 0.41.</w:t>
      </w:r>
    </w:p>
    <w:p>
      <w:pPr>
        <w:pStyle w:val="Heading1"/>
        <w:keepNext/>
        <w:numPr>
          <w:ilvl w:val="0"/>
          <w:numId w:val="2"/>
        </w:numPr>
        <w:shd w:fill="F2F2F2" w:val="clear"/>
        <w:spacing w:after="140" w:before="360"/>
      </w:pPr>
      <w:r>
        <w:rPr>
          <w:rFonts w:ascii="Arial" w:cs="Arial" w:eastAsia="Arial" w:hAnsi="Arial"/>
          <w:b/>
          <w:bCs/>
          <w:color w:val="033B5A"/>
          <w:sz w:val="32"/>
          <w:szCs w:val="32"/>
        </w:rPr>
        <w:t xml:space="preserve">BRANDS AND CLUSTERING</w:t>
      </w:r>
    </w:p>
    <w:p>
      <w:pPr>
        <w:pStyle w:val="Heading2"/>
        <w:keepNext/>
        <w:numPr>
          <w:ilvl w:val="1"/>
          <w:numId w:val="2"/>
        </w:numPr>
        <w:spacing w:after="140" w:before="240"/>
      </w:pPr>
      <w:r>
        <w:rPr>
          <w:rFonts w:ascii="Arial" w:cs="Arial" w:eastAsia="Arial" w:hAnsi="Arial"/>
          <w:b/>
          <w:bCs/>
          <w:color w:val="033B5A"/>
          <w:sz w:val="24"/>
          <w:szCs w:val="24"/>
        </w:rPr>
        <w:t xml:space="preserve">WHAT BRAND CLUSTERS ARE</w:t>
      </w:r>
    </w:p>
    <w:p>
      <w:pPr>
        <w:spacing w:after="60"/>
      </w:pPr>
      <w:r>
        <w:rPr>
          <w:rFonts w:ascii="Arial" w:cs="Arial" w:eastAsia="Arial" w:hAnsi="Arial"/>
          <w:b/>
          <w:bCs/>
          <w:color w:val="033B5A"/>
          <w:sz w:val="22"/>
          <w:szCs w:val="22"/>
        </w:rPr>
        <w:t xml:space="preserve">What a cluster is</w:t>
      </w:r>
    </w:p>
    <w:p>
      <w:pPr>
        <w:spacing w:after="140" w:line="276"/>
      </w:pPr>
      <w:r>
        <w:rPr>
          <w:rFonts w:ascii="Aptos" w:cs="Leelawadee UI" w:eastAsia="Aptos" w:hAnsi="Aptos"/>
          <w:sz w:val="22"/>
          <w:szCs w:val="22"/>
        </w:rPr>
        <w:t xml:space="preserve">A brand cluster is a group of domains judged to belong to the same gambling brand or operator. Domains join a cluster when their names reduce to the same stem once market tags, version numbers and suffixes are removed, or when their stems are near identical in spelling. A domain that matches no other is a singleton. This sample carries no crawler lineage, so no cluster rests on seed linkage.</w:t>
      </w:r>
    </w:p>
    <w:p>
      <w:pPr>
        <w:spacing w:after="60"/>
      </w:pPr>
      <w:r>
        <w:rPr>
          <w:rFonts w:ascii="Arial" w:cs="Arial" w:eastAsia="Arial" w:hAnsi="Arial"/>
          <w:b/>
          <w:bCs/>
          <w:color w:val="033B5A"/>
          <w:sz w:val="22"/>
          <w:szCs w:val="22"/>
        </w:rPr>
        <w:t xml:space="preserve">Why clusters matter</w:t>
      </w:r>
    </w:p>
    <w:p>
      <w:pPr>
        <w:spacing w:after="140" w:line="276"/>
      </w:pPr>
      <w:r>
        <w:rPr>
          <w:rFonts w:ascii="Aptos" w:cs="Leelawadee UI" w:eastAsia="Aptos" w:hAnsi="Aptos"/>
          <w:sz w:val="22"/>
          <w:szCs w:val="22"/>
        </w:rPr>
        <w:t xml:space="preserve">Operators rarely run a single site. They register many domains and rotate top level domains so that when one address is blocked another takes its place. Counting URLs overstates how many operators there are. Clustering shows how many distinct operations exist, how concentrated the estate is, and which operators run several product types. Acting on a cluster reaches every domain in it. Clusters are an analytical grouping based on names, not a legal finding about ownership, and the linkage table is indicative only.</w:t>
      </w:r>
    </w:p>
    <w:p>
      <w:pPr>
        <w:pStyle w:val="Heading2"/>
        <w:keepNext/>
        <w:numPr>
          <w:ilvl w:val="1"/>
          <w:numId w:val="2"/>
        </w:numPr>
        <w:spacing w:after="140" w:before="240"/>
      </w:pPr>
      <w:r>
        <w:rPr>
          <w:rFonts w:ascii="Arial" w:cs="Arial" w:eastAsia="Arial" w:hAnsi="Arial"/>
          <w:b/>
          <w:bCs/>
          <w:color w:val="033B5A"/>
          <w:sz w:val="24"/>
          <w:szCs w:val="24"/>
        </w:rPr>
        <w:t xml:space="preserve">CLUSTER HEADLINE FIGURES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cantSplit/>
          <w:tblHeader/>
        </w:trPr>
        <w:tc>
          <w:tcPr>
            <w:tcW w:type="dxa" w:w="235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Distinct clusters</w:t>
            </w:r>
          </w:p>
        </w:tc>
        <w:tc>
          <w:tcPr>
            <w:tcW w:type="dxa" w:w="235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With 2 or more URLs</w:t>
            </w:r>
          </w:p>
        </w:tc>
        <w:tc>
          <w:tcPr>
            <w:tcW w:type="dxa" w:w="235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Singletons</w:t>
            </w:r>
          </w:p>
        </w:tc>
        <w:tc>
          <w:tcPr>
            <w:tcW w:type="dxa" w:w="235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Clusters to cover half</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2,273</w:t>
            </w:r>
          </w:p>
        </w:tc>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1,138</w:t>
            </w:r>
          </w:p>
        </w:tc>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1,135</w:t>
            </w:r>
          </w:p>
        </w:tc>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108</w:t>
            </w:r>
          </w:p>
        </w:tc>
      </w:tr>
    </w:tbl>
    <w:p>
      <w:pPr>
        <w:keepNext/>
        <w:spacing w:after="200" w:before="60"/>
      </w:pPr>
      <w:r>
        <w:rPr>
          <w:rFonts w:ascii="Arial" w:cs="Arial" w:eastAsia="Arial" w:hAnsi="Arial"/>
          <w:i/>
          <w:iCs/>
          <w:color w:val="555555"/>
          <w:sz w:val="18"/>
          <w:szCs w:val="18"/>
        </w:rPr>
        <w:t xml:space="preserve">Table 7. Cluster counts. The top 5 clusters hold 19.4% and the top 10 hold 28.6% of gambling URLs.</w:t>
      </w:r>
    </w:p>
    <w:p>
      <w:pPr>
        <w:pStyle w:val="Heading2"/>
        <w:keepNext/>
        <w:numPr>
          <w:ilvl w:val="1"/>
          <w:numId w:val="2"/>
        </w:numPr>
        <w:spacing w:after="140" w:before="240"/>
      </w:pPr>
      <w:r>
        <w:rPr>
          <w:rFonts w:ascii="Arial" w:cs="Arial" w:eastAsia="Arial" w:hAnsi="Arial"/>
          <w:b/>
          <w:bCs/>
          <w:color w:val="033B5A"/>
          <w:sz w:val="24"/>
          <w:szCs w:val="24"/>
        </w:rPr>
        <w:t xml:space="preserve">TOP 15 BRAND CLUSTERS BY URL COUNT</w:t>
      </w:r>
    </w:p>
    <w:p>
      <w:pPr>
        <w:spacing w:after="140" w:line="276"/>
      </w:pPr>
      <w:r>
        <w:rPr>
          <w:rFonts w:ascii="Aptos" w:cs="Leelawadee UI" w:eastAsia="Aptos" w:hAnsi="Aptos"/>
          <w:sz w:val="22"/>
          <w:szCs w:val="22"/>
        </w:rPr>
        <w:t xml:space="preserve">The fifteen largest brand clusters by URL count. Bar length is the number of domains in the cluster.</w:t>
      </w:r>
    </w:p>
    <w:p>
      <w:pPr>
        <w:keepNext/>
        <w:jc w:val="center"/>
      </w:pPr>
      <w:r>
        <w:drawing>
          <wp:inline distT="0" distB="0" distL="0" distR="0">
            <wp:extent cx="5852732" cy="3446609"/>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2732" cy="3446609"/>
                    </a:xfrm>
                    <a:prstGeom prst="rect">
                      <a:avLst/>
                    </a:prstGeom>
                  </pic:spPr>
                </pic:pic>
              </a:graphicData>
            </a:graphic>
          </wp:inline>
        </w:drawing>
      </w:r>
    </w:p>
    <w:p>
      <w:pPr>
        <w:keepNext w:val="false"/>
        <w:spacing w:after="200" w:before="60"/>
      </w:pPr>
      <w:r>
        <w:rPr>
          <w:rFonts w:ascii="Arial" w:cs="Arial" w:eastAsia="Arial" w:hAnsi="Arial"/>
          <w:i/>
          <w:iCs/>
          <w:color w:val="555555"/>
          <w:sz w:val="18"/>
          <w:szCs w:val="18"/>
        </w:rPr>
        <w:t xml:space="preserve">Figure 5. Top 15 brand clusters.</w:t>
      </w:r>
    </w:p>
    <w:p>
      <w:pPr>
        <w:pStyle w:val="Heading2"/>
        <w:keepNext/>
        <w:numPr>
          <w:ilvl w:val="1"/>
          <w:numId w:val="2"/>
        </w:numPr>
        <w:spacing w:after="140" w:before="240"/>
      </w:pPr>
      <w:r>
        <w:rPr>
          <w:rFonts w:ascii="Arial" w:cs="Arial" w:eastAsia="Arial" w:hAnsi="Arial"/>
          <w:b/>
          <w:bCs/>
          <w:color w:val="033B5A"/>
          <w:sz w:val="24"/>
          <w:szCs w:val="24"/>
        </w:rPr>
        <w:t xml:space="preserve">BRAND CLUSTER BY SUBCATEGORY HEAT MAP</w:t>
      </w:r>
    </w:p>
    <w:p>
      <w:pPr>
        <w:spacing w:after="140" w:line="276"/>
      </w:pPr>
      <w:r>
        <w:rPr>
          <w:rFonts w:ascii="Aptos" w:cs="Leelawadee UI" w:eastAsia="Aptos" w:hAnsi="Aptos"/>
          <w:sz w:val="22"/>
          <w:szCs w:val="22"/>
        </w:rPr>
        <w:t xml:space="preserve">Brand clusters against product subcategory. Each cell is the number of URLs a cluster holds in that subcategory.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74"/>
        <w:gridCol w:w="989"/>
        <w:gridCol w:w="989"/>
        <w:gridCol w:w="989"/>
        <w:gridCol w:w="989"/>
        <w:gridCol w:w="989"/>
        <w:gridCol w:w="989"/>
        <w:gridCol w:w="989"/>
      </w:tblGrid>
      <w:tr>
        <w:trPr>
          <w:cantSplit/>
          <w:tblHeader/>
        </w:trPr>
        <w:tc>
          <w:tcPr>
            <w:tcW w:type="dxa" w:w="2474"/>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Football Betting</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Slots</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Casino</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Lottery</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Playing card</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Baccarat</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General Gambling</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a3game</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1f3f63" w:val="clear"/>
            <w:tcMar>
              <w:top w:type="dxa" w:w="50"/>
              <w:left w:type="dxa" w:w="80"/>
              <w:bottom w:type="dxa" w:w="50"/>
              <w:right w:type="dxa" w:w="80"/>
            </w:tcMar>
            <w:vAlign w:val="center"/>
          </w:tcPr>
          <w:p>
            <w:pPr>
              <w:jc w:val="right"/>
            </w:pPr>
            <w:r>
              <w:rPr>
                <w:rFonts w:ascii="Aptos" w:cs="Leelawadee UI" w:hAnsi="Aptos"/>
                <w:b w:val="false"/>
                <w:bCs w:val="false"/>
                <w:color w:val="FFFFFF"/>
                <w:sz w:val="19"/>
                <w:szCs w:val="19"/>
              </w:rPr>
              <w:t xml:space="preserve">496</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jun</w:t>
            </w:r>
          </w:p>
        </w:tc>
        <w:tc>
          <w:tcPr>
            <w:tcW w:type="dxa" w:w="989"/>
            <w:tcBorders>
              <w:top w:val="single" w:color="C9D2DB" w:sz="4"/>
              <w:left w:val="single" w:color="C9D2DB" w:sz="4"/>
              <w:bottom w:val="single" w:color="C9D2DB" w:sz="4"/>
              <w:right w:val="single" w:color="C9D2DB" w:sz="4"/>
            </w:tcBorders>
            <w:shd w:fill="c1cad4"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106</w:t>
            </w:r>
          </w:p>
        </w:tc>
        <w:tc>
          <w:tcPr>
            <w:tcW w:type="dxa" w:w="989"/>
            <w:tcBorders>
              <w:top w:val="single" w:color="C9D2DB" w:sz="4"/>
              <w:left w:val="single" w:color="C9D2DB" w:sz="4"/>
              <w:bottom w:val="single" w:color="C9D2DB" w:sz="4"/>
              <w:right w:val="single" w:color="C9D2DB" w:sz="4"/>
            </w:tcBorders>
            <w:shd w:fill="c3ccd5"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101</w:t>
            </w:r>
          </w:p>
        </w:tc>
        <w:tc>
          <w:tcPr>
            <w:tcW w:type="dxa" w:w="989"/>
            <w:tcBorders>
              <w:top w:val="single" w:color="C9D2DB" w:sz="4"/>
              <w:left w:val="single" w:color="C9D2DB" w:sz="4"/>
              <w:bottom w:val="single" w:color="C9D2DB" w:sz="4"/>
              <w:right w:val="single" w:color="C9D2DB" w:sz="4"/>
            </w:tcBorders>
            <w:shd w:fill="c6ced7"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94</w:t>
            </w:r>
          </w:p>
        </w:tc>
        <w:tc>
          <w:tcPr>
            <w:tcW w:type="dxa" w:w="989"/>
            <w:tcBorders>
              <w:top w:val="single" w:color="C9D2DB" w:sz="4"/>
              <w:left w:val="single" w:color="C9D2DB" w:sz="4"/>
              <w:bottom w:val="single" w:color="C9D2DB" w:sz="4"/>
              <w:right w:val="single" w:color="C9D2DB" w:sz="4"/>
            </w:tcBorders>
            <w:shd w:fill="d0d6d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71</w:t>
            </w:r>
          </w:p>
        </w:tc>
        <w:tc>
          <w:tcPr>
            <w:tcW w:type="dxa" w:w="989"/>
            <w:tcBorders>
              <w:top w:val="single" w:color="C9D2DB" w:sz="4"/>
              <w:left w:val="single" w:color="C9D2DB" w:sz="4"/>
              <w:bottom w:val="single" w:color="C9D2DB" w:sz="4"/>
              <w:right w:val="single" w:color="C9D2DB" w:sz="4"/>
            </w:tcBorders>
            <w:shd w:fill="e6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18</w:t>
            </w:r>
          </w:p>
        </w:tc>
        <w:tc>
          <w:tcPr>
            <w:tcW w:type="dxa" w:w="989"/>
            <w:tcBorders>
              <w:top w:val="single" w:color="C9D2DB" w:sz="4"/>
              <w:left w:val="single" w:color="C9D2DB" w:sz="4"/>
              <w:bottom w:val="single" w:color="C9D2DB" w:sz="4"/>
              <w:right w:val="single" w:color="C9D2DB" w:sz="4"/>
            </w:tcBorders>
            <w:shd w:fill="e6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17</w:t>
            </w:r>
          </w:p>
        </w:tc>
        <w:tc>
          <w:tcPr>
            <w:tcW w:type="dxa" w:w="989"/>
            <w:tcBorders>
              <w:top w:val="single" w:color="C9D2DB" w:sz="4"/>
              <w:left w:val="single" w:color="C9D2DB" w:sz="4"/>
              <w:bottom w:val="single" w:color="C9D2DB" w:sz="4"/>
              <w:right w:val="single" w:color="C9D2DB" w:sz="4"/>
            </w:tcBorders>
            <w:shd w:fill="d8dde4"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51</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hayy</w:t>
            </w:r>
          </w:p>
        </w:tc>
        <w:tc>
          <w:tcPr>
            <w:tcW w:type="dxa" w:w="989"/>
            <w:tcBorders>
              <w:top w:val="single" w:color="C9D2DB" w:sz="4"/>
              <w:left w:val="single" w:color="C9D2DB" w:sz="4"/>
              <w:bottom w:val="single" w:color="C9D2DB" w:sz="4"/>
              <w:right w:val="single" w:color="C9D2DB" w:sz="4"/>
            </w:tcBorders>
            <w:shd w:fill="94a3b4"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215</w:t>
            </w:r>
          </w:p>
        </w:tc>
        <w:tc>
          <w:tcPr>
            <w:tcW w:type="dxa" w:w="989"/>
            <w:tcBorders>
              <w:top w:val="single" w:color="C9D2DB" w:sz="4"/>
              <w:left w:val="single" w:color="C9D2DB" w:sz="4"/>
              <w:bottom w:val="single" w:color="C9D2DB" w:sz="4"/>
              <w:right w:val="single" w:color="C9D2DB" w:sz="4"/>
            </w:tcBorders>
            <w:shd w:fill="e5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w:t>
            </w:r>
          </w:p>
        </w:tc>
        <w:tc>
          <w:tcPr>
            <w:tcW w:type="dxa" w:w="989"/>
            <w:tcBorders>
              <w:top w:val="single" w:color="C9D2DB" w:sz="4"/>
              <w:left w:val="single" w:color="C9D2DB" w:sz="4"/>
              <w:bottom w:val="single" w:color="C9D2DB" w:sz="4"/>
              <w:right w:val="single" w:color="C9D2DB" w:sz="4"/>
            </w:tcBorders>
            <w:shd w:fill="abb7c5"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158</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7eb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14</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k03</w:t>
            </w:r>
          </w:p>
        </w:tc>
        <w:tc>
          <w:tcPr>
            <w:tcW w:type="dxa" w:w="989"/>
            <w:tcBorders>
              <w:top w:val="single" w:color="C9D2DB" w:sz="4"/>
              <w:left w:val="single" w:color="C9D2DB" w:sz="4"/>
              <w:bottom w:val="single" w:color="C9D2DB" w:sz="4"/>
              <w:right w:val="single" w:color="C9D2DB" w:sz="4"/>
            </w:tcBorders>
            <w:shd w:fill="ced5d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75</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9ba9b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197</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gg88</w:t>
            </w:r>
          </w:p>
        </w:tc>
        <w:tc>
          <w:tcPr>
            <w:tcW w:type="dxa" w:w="989"/>
            <w:tcBorders>
              <w:top w:val="single" w:color="C9D2DB" w:sz="4"/>
              <w:left w:val="single" w:color="C9D2DB" w:sz="4"/>
              <w:bottom w:val="single" w:color="C9D2DB" w:sz="4"/>
              <w:right w:val="single" w:color="C9D2DB" w:sz="4"/>
            </w:tcBorders>
            <w:shd w:fill="c6ced7"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94</w:t>
            </w:r>
          </w:p>
        </w:tc>
        <w:tc>
          <w:tcPr>
            <w:tcW w:type="dxa" w:w="989"/>
            <w:tcBorders>
              <w:top w:val="single" w:color="C9D2DB" w:sz="4"/>
              <w:left w:val="single" w:color="C9D2DB" w:sz="4"/>
              <w:bottom w:val="single" w:color="C9D2DB" w:sz="4"/>
              <w:right w:val="single" w:color="C9D2DB" w:sz="4"/>
            </w:tcBorders>
            <w:shd w:fill="d7dde3"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53</w:t>
            </w:r>
          </w:p>
        </w:tc>
        <w:tc>
          <w:tcPr>
            <w:tcW w:type="dxa" w:w="989"/>
            <w:tcBorders>
              <w:top w:val="single" w:color="C9D2DB" w:sz="4"/>
              <w:left w:val="single" w:color="C9D2DB" w:sz="4"/>
              <w:bottom w:val="single" w:color="C9D2DB" w:sz="4"/>
              <w:right w:val="single" w:color="C9D2DB" w:sz="4"/>
            </w:tcBorders>
            <w:shd w:fill="d9dee4"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49</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eaed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8</w:t>
            </w:r>
          </w:p>
        </w:tc>
        <w:tc>
          <w:tcPr>
            <w:tcW w:type="dxa" w:w="989"/>
            <w:tcBorders>
              <w:top w:val="single" w:color="C9D2DB" w:sz="4"/>
              <w:left w:val="single" w:color="C9D2DB" w:sz="4"/>
              <w:bottom w:val="single" w:color="C9D2DB" w:sz="4"/>
              <w:right w:val="single" w:color="C9D2DB" w:sz="4"/>
            </w:tcBorders>
            <w:shd w:fill="e5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w:t>
            </w:r>
          </w:p>
        </w:tc>
        <w:tc>
          <w:tcPr>
            <w:tcW w:type="dxa" w:w="989"/>
            <w:tcBorders>
              <w:top w:val="single" w:color="C9D2DB" w:sz="4"/>
              <w:left w:val="single" w:color="C9D2DB" w:sz="4"/>
              <w:bottom w:val="single" w:color="C9D2DB" w:sz="4"/>
              <w:right w:val="single" w:color="C9D2DB" w:sz="4"/>
            </w:tcBorders>
            <w:shd w:fill="dce1e6"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42</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paes</w:t>
            </w:r>
          </w:p>
        </w:tc>
        <w:tc>
          <w:tcPr>
            <w:tcW w:type="dxa" w:w="989"/>
            <w:tcBorders>
              <w:top w:val="single" w:color="C9D2DB" w:sz="4"/>
              <w:left w:val="single" w:color="C9D2DB" w:sz="4"/>
              <w:bottom w:val="single" w:color="C9D2DB" w:sz="4"/>
              <w:right w:val="single" w:color="C9D2DB" w:sz="4"/>
            </w:tcBorders>
            <w:shd w:fill="b5c0cc"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134</w:t>
            </w:r>
          </w:p>
        </w:tc>
        <w:tc>
          <w:tcPr>
            <w:tcW w:type="dxa" w:w="989"/>
            <w:tcBorders>
              <w:top w:val="single" w:color="C9D2DB" w:sz="4"/>
              <w:left w:val="single" w:color="C9D2DB" w:sz="4"/>
              <w:bottom w:val="single" w:color="C9D2DB" w:sz="4"/>
              <w:right w:val="single" w:color="C9D2DB" w:sz="4"/>
            </w:tcBorders>
            <w:shd w:fill="e2e6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26</w:t>
            </w:r>
          </w:p>
        </w:tc>
        <w:tc>
          <w:tcPr>
            <w:tcW w:type="dxa" w:w="989"/>
            <w:tcBorders>
              <w:top w:val="single" w:color="C9D2DB" w:sz="4"/>
              <w:left w:val="single" w:color="C9D2DB" w:sz="4"/>
              <w:bottom w:val="single" w:color="C9D2DB" w:sz="4"/>
              <w:right w:val="single" w:color="C9D2DB" w:sz="4"/>
            </w:tcBorders>
            <w:shd w:fill="d3dae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62</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adfe5"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47</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49m</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w:t>
            </w:r>
          </w:p>
        </w:tc>
        <w:tc>
          <w:tcPr>
            <w:tcW w:type="dxa" w:w="989"/>
            <w:tcBorders>
              <w:top w:val="single" w:color="C9D2DB" w:sz="4"/>
              <w:left w:val="single" w:color="C9D2DB" w:sz="4"/>
              <w:bottom w:val="single" w:color="C9D2DB" w:sz="4"/>
              <w:right w:val="single" w:color="C9D2DB" w:sz="4"/>
            </w:tcBorders>
            <w:shd w:fill="d5dbe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58</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de2e8"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38</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b0bbc8"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147</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paegs</w:t>
            </w:r>
          </w:p>
        </w:tc>
        <w:tc>
          <w:tcPr>
            <w:tcW w:type="dxa" w:w="989"/>
            <w:tcBorders>
              <w:top w:val="single" w:color="C9D2DB" w:sz="4"/>
              <w:left w:val="single" w:color="C9D2DB" w:sz="4"/>
              <w:bottom w:val="single" w:color="C9D2DB" w:sz="4"/>
              <w:right w:val="single" w:color="C9D2DB" w:sz="4"/>
            </w:tcBorders>
            <w:shd w:fill="c6ced7"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94</w:t>
            </w:r>
          </w:p>
        </w:tc>
        <w:tc>
          <w:tcPr>
            <w:tcW w:type="dxa" w:w="989"/>
            <w:tcBorders>
              <w:top w:val="single" w:color="C9D2DB" w:sz="4"/>
              <w:left w:val="single" w:color="C9D2DB" w:sz="4"/>
              <w:bottom w:val="single" w:color="C9D2DB" w:sz="4"/>
              <w:right w:val="single" w:color="C9D2DB" w:sz="4"/>
            </w:tcBorders>
            <w:shd w:fill="e9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w:t>
            </w:r>
          </w:p>
        </w:tc>
        <w:tc>
          <w:tcPr>
            <w:tcW w:type="dxa" w:w="989"/>
            <w:tcBorders>
              <w:top w:val="single" w:color="C9D2DB" w:sz="4"/>
              <w:left w:val="single" w:color="C9D2DB" w:sz="4"/>
              <w:bottom w:val="single" w:color="C9D2DB" w:sz="4"/>
              <w:right w:val="single" w:color="C9D2DB" w:sz="4"/>
            </w:tcBorders>
            <w:shd w:fill="dadfe5"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47</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3e7ec"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24</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lott</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9ec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ced5d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76</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jin</w:t>
            </w:r>
          </w:p>
        </w:tc>
        <w:tc>
          <w:tcPr>
            <w:tcW w:type="dxa" w:w="989"/>
            <w:tcBorders>
              <w:top w:val="single" w:color="C9D2DB" w:sz="4"/>
              <w:left w:val="single" w:color="C9D2DB" w:sz="4"/>
              <w:bottom w:val="single" w:color="C9D2DB" w:sz="4"/>
              <w:right w:val="single" w:color="C9D2DB" w:sz="4"/>
            </w:tcBorders>
            <w:shd w:fill="e5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20</w:t>
            </w:r>
          </w:p>
        </w:tc>
        <w:tc>
          <w:tcPr>
            <w:tcW w:type="dxa" w:w="989"/>
            <w:tcBorders>
              <w:top w:val="single" w:color="C9D2DB" w:sz="4"/>
              <w:left w:val="single" w:color="C9D2DB" w:sz="4"/>
              <w:bottom w:val="single" w:color="C9D2DB" w:sz="4"/>
              <w:right w:val="single" w:color="C9D2DB" w:sz="4"/>
            </w:tcBorders>
            <w:shd w:fill="e1e6e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28</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fe4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33</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1d7d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68</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o8</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5dbe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57</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6e9ed"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18</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uu88</w:t>
            </w:r>
          </w:p>
        </w:tc>
        <w:tc>
          <w:tcPr>
            <w:tcW w:type="dxa" w:w="989"/>
            <w:tcBorders>
              <w:top w:val="single" w:color="C9D2DB" w:sz="4"/>
              <w:left w:val="single" w:color="C9D2DB" w:sz="4"/>
              <w:bottom w:val="single" w:color="C9D2DB" w:sz="4"/>
              <w:right w:val="single" w:color="C9D2DB" w:sz="4"/>
            </w:tcBorders>
            <w:shd w:fill="e6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16</w:t>
            </w:r>
          </w:p>
        </w:tc>
        <w:tc>
          <w:tcPr>
            <w:tcW w:type="dxa" w:w="989"/>
            <w:tcBorders>
              <w:top w:val="single" w:color="C9D2DB" w:sz="4"/>
              <w:left w:val="single" w:color="C9D2DB" w:sz="4"/>
              <w:bottom w:val="single" w:color="C9D2DB" w:sz="4"/>
              <w:right w:val="single" w:color="C9D2DB" w:sz="4"/>
            </w:tcBorders>
            <w:shd w:fill="e2e6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26</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min</w:t>
            </w:r>
          </w:p>
        </w:tc>
        <w:tc>
          <w:tcPr>
            <w:tcW w:type="dxa" w:w="989"/>
            <w:tcBorders>
              <w:top w:val="single" w:color="C9D2DB" w:sz="4"/>
              <w:left w:val="single" w:color="C9D2DB" w:sz="4"/>
              <w:bottom w:val="single" w:color="C9D2DB" w:sz="4"/>
              <w:right w:val="single" w:color="C9D2DB" w:sz="4"/>
            </w:tcBorders>
            <w:shd w:fill="d8dee4"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50</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l8</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12</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be0e6"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44</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s8s</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8ebe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13</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dfe4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33</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bohocasino</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c>
          <w:tcPr>
            <w:tcW w:type="dxa" w:w="989"/>
            <w:tcBorders>
              <w:top w:val="single" w:color="C9D2DB" w:sz="4"/>
              <w:left w:val="single" w:color="C9D2DB" w:sz="4"/>
              <w:bottom w:val="single" w:color="C9D2DB" w:sz="4"/>
              <w:right w:val="single" w:color="C9D2DB" w:sz="4"/>
            </w:tcBorders>
            <w:shd w:fill="dfe4e9"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34</w:t>
            </w:r>
          </w:p>
        </w:tc>
        <w:tc>
          <w:tcPr>
            <w:tcW w:type="dxa" w:w="989"/>
            <w:tcBorders>
              <w:top w:val="single" w:color="C9D2DB" w:sz="4"/>
              <w:left w:val="single" w:color="C9D2DB" w:sz="4"/>
              <w:bottom w:val="single" w:color="C9D2DB" w:sz="4"/>
              <w:right w:val="single" w:color="C9D2DB" w:sz="4"/>
            </w:tcBorders>
            <w:shd w:fill="e9ecf0"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jn86</w:t>
            </w:r>
          </w:p>
        </w:tc>
        <w:tc>
          <w:tcPr>
            <w:tcW w:type="dxa" w:w="989"/>
            <w:tcBorders>
              <w:top w:val="single" w:color="C9D2DB" w:sz="4"/>
              <w:left w:val="single" w:color="C9D2DB" w:sz="4"/>
              <w:bottom w:val="single" w:color="C9D2DB" w:sz="4"/>
              <w:right w:val="single" w:color="C9D2DB" w:sz="4"/>
            </w:tcBorders>
            <w:shd w:fill="e3e7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w:t>
            </w:r>
          </w:p>
        </w:tc>
        <w:tc>
          <w:tcPr>
            <w:tcW w:type="dxa" w:w="989"/>
            <w:tcBorders>
              <w:top w:val="single" w:color="C9D2DB" w:sz="4"/>
              <w:left w:val="single" w:color="C9D2DB" w:sz="4"/>
              <w:bottom w:val="single" w:color="C9D2DB" w:sz="4"/>
              <w:right w:val="single" w:color="C9D2DB" w:sz="4"/>
            </w:tcBorders>
            <w:shd w:fill="e7eaee"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15</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r>
      <w:tr>
        <w:trPr>
          <w:cantSplit/>
        </w:trPr>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pgcat</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e2e6eb"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26</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w:t>
            </w:r>
          </w:p>
        </w:tc>
      </w:tr>
      <w:tr>
        <w:trPr>
          <w:cantSplit/>
        </w:trPr>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bu88</w:t>
            </w:r>
          </w:p>
        </w:tc>
        <w:tc>
          <w:tcPr>
            <w:tcW w:type="dxa" w:w="989"/>
            <w:tcBorders>
              <w:top w:val="single" w:color="C9D2DB" w:sz="4"/>
              <w:left w:val="single" w:color="C9D2DB" w:sz="4"/>
              <w:bottom w:val="single" w:color="C9D2DB" w:sz="4"/>
              <w:right w:val="single" w:color="C9D2DB" w:sz="4"/>
            </w:tcBorders>
            <w:shd w:fill="ebeef1"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w:t>
            </w:r>
          </w:p>
        </w:tc>
        <w:tc>
          <w:tcPr>
            <w:tcW w:type="dxa" w:w="989"/>
            <w:tcBorders>
              <w:top w:val="single" w:color="C9D2DB" w:sz="4"/>
              <w:left w:val="single" w:color="C9D2DB" w:sz="4"/>
              <w:bottom w:val="single" w:color="C9D2DB" w:sz="4"/>
              <w:right w:val="single" w:color="C9D2DB" w:sz="4"/>
            </w:tcBorders>
            <w:shd w:fill="e0e5e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31</w:t>
            </w:r>
          </w:p>
        </w:tc>
        <w:tc>
          <w:tcPr>
            <w:tcW w:type="dxa" w:w="989"/>
            <w:tcBorders>
              <w:top w:val="single" w:color="C9D2DB" w:sz="4"/>
              <w:left w:val="single" w:color="C9D2DB" w:sz="4"/>
              <w:bottom w:val="single" w:color="C9D2DB" w:sz="4"/>
              <w:right w:val="single" w:color="C9D2DB" w:sz="4"/>
            </w:tcBorders>
            <w:shd w:fill="ec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3</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FFFFFF"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0</w:t>
            </w:r>
          </w:p>
        </w:tc>
        <w:tc>
          <w:tcPr>
            <w:tcW w:type="dxa" w:w="989"/>
            <w:tcBorders>
              <w:top w:val="single" w:color="C9D2DB" w:sz="4"/>
              <w:left w:val="single" w:color="C9D2DB" w:sz="4"/>
              <w:bottom w:val="single" w:color="C9D2DB" w:sz="4"/>
              <w:right w:val="single" w:color="C9D2DB" w:sz="4"/>
            </w:tcBorders>
            <w:shd w:fill="edeff2"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w:t>
            </w:r>
          </w:p>
        </w:tc>
      </w:tr>
    </w:tbl>
    <w:p>
      <w:pPr>
        <w:keepNext/>
        <w:spacing w:after="200" w:before="60"/>
      </w:pPr>
      <w:r>
        <w:rPr>
          <w:rFonts w:ascii="Arial" w:cs="Arial" w:eastAsia="Arial" w:hAnsi="Arial"/>
          <w:i/>
          <w:iCs/>
          <w:color w:val="555555"/>
          <w:sz w:val="18"/>
          <w:szCs w:val="18"/>
        </w:rPr>
        <w:t xml:space="preserve">Table 8. Top 20 clusters by product subcategory.</w:t>
      </w:r>
    </w:p>
    <w:p>
      <w:pPr>
        <w:pStyle w:val="Heading2"/>
        <w:keepNext/>
        <w:numPr>
          <w:ilvl w:val="1"/>
          <w:numId w:val="2"/>
        </w:numPr>
        <w:spacing w:after="140" w:before="240"/>
      </w:pPr>
      <w:r>
        <w:rPr>
          <w:rFonts w:ascii="Arial" w:cs="Arial" w:eastAsia="Arial" w:hAnsi="Arial"/>
          <w:b/>
          <w:bCs/>
          <w:color w:val="033B5A"/>
          <w:sz w:val="24"/>
          <w:szCs w:val="24"/>
        </w:rPr>
        <w:t xml:space="preserve">CLUSTER EXPANSION: A3GAME</w:t>
      </w:r>
    </w:p>
    <w:p>
      <w:pPr>
        <w:spacing w:after="140" w:line="276"/>
      </w:pPr>
      <w:r>
        <w:rPr>
          <w:rFonts w:ascii="Aptos" w:cs="Leelawadee UI" w:eastAsia="Aptos" w:hAnsi="Aptos"/>
          <w:sz w:val="22"/>
          <w:szCs w:val="22"/>
        </w:rPr>
        <w:t xml:space="preserve">The largest brand cluster and its member domains. Each node is one domain joined by stem or spelling similarity.</w:t>
      </w:r>
    </w:p>
    <w:p>
      <w:pPr>
        <w:keepNext/>
        <w:jc w:val="center"/>
      </w:pPr>
      <w:r>
        <w:drawing>
          <wp:inline distT="0" distB="0" distL="0" distR="0">
            <wp:extent cx="5852732" cy="3381578"/>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52732" cy="3381578"/>
                    </a:xfrm>
                    <a:prstGeom prst="rect">
                      <a:avLst/>
                    </a:prstGeom>
                  </pic:spPr>
                </pic:pic>
              </a:graphicData>
            </a:graphic>
          </wp:inline>
        </w:drawing>
      </w:r>
    </w:p>
    <w:p>
      <w:pPr>
        <w:keepNext w:val="false"/>
        <w:spacing w:after="200" w:before="60"/>
      </w:pPr>
      <w:r>
        <w:rPr>
          <w:rFonts w:ascii="Arial" w:cs="Arial" w:eastAsia="Arial" w:hAnsi="Arial"/>
          <w:i/>
          <w:iCs/>
          <w:color w:val="555555"/>
          <w:sz w:val="18"/>
          <w:szCs w:val="18"/>
        </w:rPr>
        <w:t xml:space="preserve">Figure 6. Cluster a3game, first 24 of 507 member domains. Dashed edges mark stem or similarity membership.</w:t>
      </w:r>
    </w:p>
    <w:p>
      <w:pPr>
        <w:pStyle w:val="Heading2"/>
        <w:keepNext/>
        <w:numPr>
          <w:ilvl w:val="1"/>
          <w:numId w:val="2"/>
        </w:numPr>
        <w:spacing w:after="140" w:before="240"/>
      </w:pPr>
      <w:r>
        <w:rPr>
          <w:rFonts w:ascii="Arial" w:cs="Arial" w:eastAsia="Arial" w:hAnsi="Arial"/>
          <w:b/>
          <w:bCs/>
          <w:color w:val="033B5A"/>
          <w:sz w:val="24"/>
          <w:szCs w:val="24"/>
        </w:rPr>
        <w:t xml:space="preserve">CLUSTERS SPANNING MULTIPLE SUBCATEGORIES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79"/>
        <w:gridCol w:w="989"/>
        <w:gridCol w:w="3958"/>
        <w:gridCol w:w="2474"/>
      </w:tblGrid>
      <w:tr>
        <w:trPr>
          <w:cantSplit/>
          <w:tblHeader/>
        </w:trPr>
        <w:tc>
          <w:tcPr>
            <w:tcW w:type="dxa" w:w="197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Cluster</w:t>
            </w:r>
          </w:p>
        </w:tc>
        <w:tc>
          <w:tcPr>
            <w:tcW w:type="dxa" w:w="989"/>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URLs</w:t>
            </w:r>
          </w:p>
        </w:tc>
        <w:tc>
          <w:tcPr>
            <w:tcW w:type="dxa" w:w="3958"/>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Subcategories</w:t>
            </w:r>
          </w:p>
        </w:tc>
        <w:tc>
          <w:tcPr>
            <w:tcW w:type="dxa" w:w="2474"/>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Suffixes</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a3game</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507</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496, Casino 1</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vip app click net</w:t>
            </w:r>
          </w:p>
        </w:tc>
      </w:tr>
      <w:tr>
        <w:trPr>
          <w:cantSplit/>
        </w:trPr>
        <w:tc>
          <w:tcPr>
            <w:tcW w:type="dxa" w:w="197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jun</w:t>
            </w:r>
          </w:p>
        </w:tc>
        <w:tc>
          <w:tcPr>
            <w:tcW w:type="dxa" w:w="98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458</w:t>
            </w:r>
          </w:p>
        </w:tc>
        <w:tc>
          <w:tcPr>
            <w:tcW w:type="dxa" w:w="3958"/>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Lottery 71, Slots 101, Football Betting 106, Casino 94, Playing card 18, Baccarat 17</w:t>
            </w:r>
          </w:p>
        </w:tc>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top com net bet cc</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hayy</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407</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Football Betting 215, Casino 158, Slots 20</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net</w:t>
            </w:r>
          </w:p>
        </w:tc>
      </w:tr>
      <w:tr>
        <w:trPr>
          <w:cantSplit/>
        </w:trPr>
        <w:tc>
          <w:tcPr>
            <w:tcW w:type="dxa" w:w="197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gg88</w:t>
            </w:r>
          </w:p>
        </w:tc>
        <w:tc>
          <w:tcPr>
            <w:tcW w:type="dxa" w:w="98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271</w:t>
            </w:r>
          </w:p>
        </w:tc>
        <w:tc>
          <w:tcPr>
            <w:tcW w:type="dxa" w:w="3958"/>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Baccarat 20, Playing card 8, Slots 53, Football Betting 94, Casino 49, Lottery 5</w:t>
            </w:r>
          </w:p>
        </w:tc>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net app pro bet com</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paes</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269</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Football Betting 134, Casino 62, Slots 26</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dev</w:t>
            </w:r>
          </w:p>
        </w:tc>
      </w:tr>
      <w:tr>
        <w:trPr>
          <w:cantSplit/>
        </w:trPr>
        <w:tc>
          <w:tcPr>
            <w:tcW w:type="dxa" w:w="197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49m</w:t>
            </w:r>
          </w:p>
        </w:tc>
        <w:tc>
          <w:tcPr>
            <w:tcW w:type="dxa" w:w="98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255</w:t>
            </w:r>
          </w:p>
        </w:tc>
        <w:tc>
          <w:tcPr>
            <w:tcW w:type="dxa" w:w="3958"/>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12, Playing card 38, Casino 58</w:t>
            </w:r>
          </w:p>
        </w:tc>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paegs</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176</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Casino 47, Football Betting 94, Slots 11</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dev</w:t>
            </w:r>
          </w:p>
        </w:tc>
      </w:tr>
      <w:tr>
        <w:trPr>
          <w:cantSplit/>
        </w:trPr>
        <w:tc>
          <w:tcPr>
            <w:tcW w:type="dxa" w:w="197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lott</w:t>
            </w:r>
          </w:p>
        </w:tc>
        <w:tc>
          <w:tcPr>
            <w:tcW w:type="dxa" w:w="98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105</w:t>
            </w:r>
          </w:p>
        </w:tc>
        <w:tc>
          <w:tcPr>
            <w:tcW w:type="dxa" w:w="3958"/>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11, Lottery 76, Playing card 3, Football Betting 2, Baccarat 1</w:t>
            </w:r>
          </w:p>
        </w:tc>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 net cc live online</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jin</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95</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28, Football Betting 20, Casino 5, Playing card 9</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vip com net co pro</w:t>
            </w:r>
          </w:p>
        </w:tc>
      </w:tr>
      <w:tr>
        <w:trPr>
          <w:cantSplit/>
        </w:trPr>
        <w:tc>
          <w:tcPr>
            <w:tcW w:type="dxa" w:w="197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98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75</w:t>
            </w:r>
          </w:p>
        </w:tc>
        <w:tc>
          <w:tcPr>
            <w:tcW w:type="dxa" w:w="3958"/>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68, Baccarat 1, Casino 1, Lottery 1</w:t>
            </w:r>
          </w:p>
        </w:tc>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bet live io club pro</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uu88</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69</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26, Casino 10, Football Betting 16, Lottery 2, Baccarat 5, Playing card 1</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cc net com app pro</w:t>
            </w:r>
          </w:p>
        </w:tc>
      </w:tr>
      <w:tr>
        <w:trPr>
          <w:cantSplit/>
        </w:trPr>
        <w:tc>
          <w:tcPr>
            <w:tcW w:type="dxa" w:w="197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min</w:t>
            </w:r>
          </w:p>
        </w:tc>
        <w:tc>
          <w:tcPr>
            <w:tcW w:type="dxa" w:w="98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61</w:t>
            </w:r>
          </w:p>
        </w:tc>
        <w:tc>
          <w:tcPr>
            <w:tcW w:type="dxa" w:w="3958"/>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Football Betting 50, Slots 3, Baccarat 4, Casino 1, Playing card 2</w:t>
            </w:r>
          </w:p>
        </w:tc>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net com app vip actor</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l8</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57</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12, Casino 1</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game</w:t>
            </w:r>
          </w:p>
        </w:tc>
      </w:tr>
      <w:tr>
        <w:trPr>
          <w:cantSplit/>
        </w:trPr>
        <w:tc>
          <w:tcPr>
            <w:tcW w:type="dxa" w:w="197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s8s</w:t>
            </w:r>
          </w:p>
        </w:tc>
        <w:tc>
          <w:tcPr>
            <w:tcW w:type="dxa" w:w="989"/>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49</w:t>
            </w:r>
          </w:p>
        </w:tc>
        <w:tc>
          <w:tcPr>
            <w:tcW w:type="dxa" w:w="3958"/>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3, Casino 13</w:t>
            </w:r>
          </w:p>
        </w:tc>
        <w:tc>
          <w:tcPr>
            <w:tcW w:type="dxa" w:w="247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w:t>
            </w:r>
          </w:p>
        </w:tc>
      </w:tr>
      <w:tr>
        <w:trPr>
          <w:cantSplit/>
        </w:trPr>
        <w:tc>
          <w:tcPr>
            <w:tcW w:type="dxa" w:w="197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bohocasino</w:t>
            </w:r>
          </w:p>
        </w:tc>
        <w:tc>
          <w:tcPr>
            <w:tcW w:type="dxa" w:w="989"/>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47</w:t>
            </w:r>
          </w:p>
        </w:tc>
        <w:tc>
          <w:tcPr>
            <w:tcW w:type="dxa" w:w="3958"/>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 34, Casino 10, Football Betting 2</w:t>
            </w:r>
          </w:p>
        </w:tc>
        <w:tc>
          <w:tcPr>
            <w:tcW w:type="dxa" w:w="247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 info net co app</w:t>
            </w:r>
          </w:p>
        </w:tc>
      </w:tr>
    </w:tbl>
    <w:p>
      <w:pPr>
        <w:keepNext/>
        <w:spacing w:after="200" w:before="60"/>
      </w:pPr>
      <w:r>
        <w:rPr>
          <w:rFonts w:ascii="Arial" w:cs="Arial" w:eastAsia="Arial" w:hAnsi="Arial"/>
          <w:i/>
          <w:iCs/>
          <w:color w:val="555555"/>
          <w:sz w:val="18"/>
          <w:szCs w:val="18"/>
        </w:rPr>
        <w:t xml:space="preserve">Table 9. Clusters spanning two or more product subcategories (665 in total, top 15 shown).</w:t>
      </w:r>
    </w:p>
    <w:p>
      <w:pPr>
        <w:pStyle w:val="Heading2"/>
        <w:keepNext/>
        <w:numPr>
          <w:ilvl w:val="1"/>
          <w:numId w:val="2"/>
        </w:numPr>
        <w:spacing w:after="140" w:before="240"/>
      </w:pPr>
      <w:r>
        <w:rPr>
          <w:rFonts w:ascii="Arial" w:cs="Arial" w:eastAsia="Arial" w:hAnsi="Arial"/>
          <w:b/>
          <w:bCs/>
          <w:color w:val="033B5A"/>
          <w:sz w:val="24"/>
          <w:szCs w:val="24"/>
        </w:rPr>
        <w:t xml:space="preserve">CLUSTERS ROTATING TOP LEVEL DOMAINS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7050"/>
      </w:tblGrid>
      <w:tr>
        <w:trPr>
          <w:cantSplit/>
          <w:tblHeader/>
        </w:trPr>
        <w:tc>
          <w:tcPr>
            <w:tcW w:type="dxa" w:w="235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Cluster</w:t>
            </w:r>
          </w:p>
        </w:tc>
        <w:tc>
          <w:tcPr>
            <w:tcW w:type="dxa" w:w="705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Suffixes and counts</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a3game</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vip 502, app 2, click 2, net 1</w:t>
            </w:r>
          </w:p>
        </w:tc>
      </w:tr>
      <w:tr>
        <w:trPr>
          <w:cantSplit/>
        </w:trPr>
        <w:tc>
          <w:tcPr>
            <w:tcW w:type="dxa" w:w="23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jun</w:t>
            </w:r>
          </w:p>
        </w:tc>
        <w:tc>
          <w:tcPr>
            <w:tcW w:type="dxa" w:w="70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top 91, com 65, net 51, bet 31, cc 25, app 25</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gg88</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net 50, app 43, pro 41, bet 31, com 28, online 17</w:t>
            </w:r>
          </w:p>
        </w:tc>
      </w:tr>
      <w:tr>
        <w:trPr>
          <w:cantSplit/>
        </w:trPr>
        <w:tc>
          <w:tcPr>
            <w:tcW w:type="dxa" w:w="23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lott</w:t>
            </w:r>
          </w:p>
        </w:tc>
        <w:tc>
          <w:tcPr>
            <w:tcW w:type="dxa" w:w="70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 59, net 9, cc 4, live 4, online 4, bet 4</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jin</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vip 19, com 16, net 13, co 12, pro 6, bet 5</w:t>
            </w:r>
          </w:p>
        </w:tc>
      </w:tr>
      <w:tr>
        <w:trPr>
          <w:cantSplit/>
        </w:trPr>
        <w:tc>
          <w:tcPr>
            <w:tcW w:type="dxa" w:w="23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70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bet 66, live 5, io 2, club 1, pro 1</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o8</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game 73, live 2</w:t>
            </w:r>
          </w:p>
        </w:tc>
      </w:tr>
      <w:tr>
        <w:trPr>
          <w:cantSplit/>
        </w:trPr>
        <w:tc>
          <w:tcPr>
            <w:tcW w:type="dxa" w:w="23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uu88</w:t>
            </w:r>
          </w:p>
        </w:tc>
        <w:tc>
          <w:tcPr>
            <w:tcW w:type="dxa" w:w="70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cc 11, net 9, com 7, app 5, pro 5, co 4</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min</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net 7, com 6, app 3, vip 3, actor 2, art 2</w:t>
            </w:r>
          </w:p>
        </w:tc>
      </w:tr>
      <w:tr>
        <w:trPr>
          <w:cantSplit/>
        </w:trPr>
        <w:tc>
          <w:tcPr>
            <w:tcW w:type="dxa" w:w="23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bohocasino</w:t>
            </w:r>
          </w:p>
        </w:tc>
        <w:tc>
          <w:tcPr>
            <w:tcW w:type="dxa" w:w="70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 29, info 3, net 2, co 2, app 1, bet 1</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pgcat</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 17, info 3, bet 2, buzz 2, click 2, club 2</w:t>
            </w:r>
          </w:p>
        </w:tc>
      </w:tr>
      <w:tr>
        <w:trPr>
          <w:cantSplit/>
        </w:trPr>
        <w:tc>
          <w:tcPr>
            <w:tcW w:type="dxa" w:w="23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bu88</w:t>
            </w:r>
          </w:p>
        </w:tc>
        <w:tc>
          <w:tcPr>
            <w:tcW w:type="dxa" w:w="70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 6, bid 2, cab 2, club 2, in 2, info 2</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oo7</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vip 37, click 2</w:t>
            </w:r>
          </w:p>
        </w:tc>
      </w:tr>
      <w:tr>
        <w:trPr>
          <w:cantSplit/>
        </w:trPr>
        <w:tc>
          <w:tcPr>
            <w:tcW w:type="dxa" w:w="23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ju88</w:t>
            </w:r>
          </w:p>
        </w:tc>
        <w:tc>
          <w:tcPr>
            <w:tcW w:type="dxa" w:w="705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com 24, click 4, buzz 2, pro 2, site 2, fun 2</w:t>
            </w:r>
          </w:p>
        </w:tc>
      </w:tr>
      <w:tr>
        <w:trPr>
          <w:cantSplit/>
        </w:trPr>
        <w:tc>
          <w:tcPr>
            <w:tcW w:type="dxa" w:w="23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m88thcasino</w:t>
            </w:r>
          </w:p>
        </w:tc>
        <w:tc>
          <w:tcPr>
            <w:tcW w:type="dxa" w:w="705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buzz 2, casino 2, cc 2, click 2, club 2, co 2</w:t>
            </w:r>
          </w:p>
        </w:tc>
      </w:tr>
    </w:tbl>
    <w:p>
      <w:pPr>
        <w:keepNext/>
        <w:spacing w:after="200" w:before="60"/>
      </w:pPr>
      <w:r>
        <w:rPr>
          <w:rFonts w:ascii="Arial" w:cs="Arial" w:eastAsia="Arial" w:hAnsi="Arial"/>
          <w:i/>
          <w:iCs/>
          <w:color w:val="555555"/>
          <w:sz w:val="18"/>
          <w:szCs w:val="18"/>
        </w:rPr>
        <w:t xml:space="preserve">Table 10. Clusters using two or more suffixes (802 in total, top 15 shown).</w:t>
      </w:r>
    </w:p>
    <w:p>
      <w:pPr>
        <w:pStyle w:val="Heading2"/>
        <w:keepNext/>
        <w:numPr>
          <w:ilvl w:val="1"/>
          <w:numId w:val="2"/>
        </w:numPr>
        <w:spacing w:after="140" w:before="240"/>
      </w:pPr>
      <w:r>
        <w:rPr>
          <w:rFonts w:ascii="Arial" w:cs="Arial" w:eastAsia="Arial" w:hAnsi="Arial"/>
          <w:b/>
          <w:bCs/>
          <w:color w:val="033B5A"/>
          <w:sz w:val="24"/>
          <w:szCs w:val="24"/>
        </w:rPr>
        <w:t xml:space="preserve">POSSIBLE OPERATOR LINKAGE</w:t>
      </w:r>
    </w:p>
    <w:p>
      <w:pPr>
        <w:spacing w:after="140" w:line="276"/>
      </w:pPr>
      <w:r>
        <w:rPr>
          <w:rFonts w:ascii="Aptos" w:cs="Leelawadee UI" w:eastAsia="Aptos" w:hAnsi="Aptos"/>
          <w:sz w:val="22"/>
          <w:szCs w:val="22"/>
        </w:rPr>
        <w:t xml:space="preserve">Indicative, not a clustering decision.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80"/>
        <w:gridCol w:w="1880"/>
        <w:gridCol w:w="4700"/>
        <w:gridCol w:w="940"/>
      </w:tblGrid>
      <w:tr>
        <w:trPr>
          <w:cantSplit/>
          <w:tblHeader/>
        </w:trPr>
        <w:tc>
          <w:tcPr>
            <w:tcW w:type="dxa" w:w="188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Cluster A</w:t>
            </w:r>
          </w:p>
        </w:tc>
        <w:tc>
          <w:tcPr>
            <w:tcW w:type="dxa" w:w="188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Cluster B</w:t>
            </w:r>
          </w:p>
        </w:tc>
        <w:tc>
          <w:tcPr>
            <w:tcW w:type="dxa" w:w="470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Shared keywords</w:t>
            </w:r>
          </w:p>
        </w:tc>
        <w:tc>
          <w:tcPr>
            <w:tcW w:type="dxa" w:w="940"/>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Jaccard</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gg88</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hh88</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Affiliate, Partner</w:t>
            </w:r>
          </w:p>
        </w:tc>
        <w:tc>
          <w:tcPr>
            <w:tcW w:type="dxa" w:w="94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jin</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ju88</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Agent, Wallet</w:t>
            </w:r>
          </w:p>
        </w:tc>
        <w:tc>
          <w:tcPr>
            <w:tcW w:type="dxa" w:w="94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jjun</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mun</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jub</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wingame</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hun</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jon</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kh88</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hub</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jn789</w:t>
            </w:r>
          </w:p>
        </w:tc>
        <w:tc>
          <w:tcPr>
            <w:tcW w:type="dxa" w:w="470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r>
        <w:trPr>
          <w:cantSplit/>
        </w:trPr>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7ok</w:t>
            </w:r>
          </w:p>
        </w:tc>
        <w:tc>
          <w:tcPr>
            <w:tcW w:type="dxa" w:w="188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ms88</w:t>
            </w:r>
          </w:p>
        </w:tc>
        <w:tc>
          <w:tcPr>
            <w:tcW w:type="dxa" w:w="470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Wallet, สมัครสมาชิก</w:t>
            </w:r>
          </w:p>
        </w:tc>
        <w:tc>
          <w:tcPr>
            <w:tcW w:type="dxa" w:w="940"/>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right"/>
            </w:pPr>
            <w:r>
              <w:rPr>
                <w:rFonts w:ascii="Aptos" w:cs="Leelawadee UI" w:hAnsi="Aptos"/>
                <w:b w:val="false"/>
                <w:bCs w:val="false"/>
                <w:color w:val="222222"/>
                <w:sz w:val="19"/>
                <w:szCs w:val="19"/>
              </w:rPr>
              <w:t xml:space="preserve">1.00</w:t>
            </w:r>
          </w:p>
        </w:tc>
      </w:tr>
    </w:tbl>
    <w:p>
      <w:pPr>
        <w:keepNext/>
        <w:spacing w:after="200" w:before="60"/>
      </w:pPr>
      <w:r>
        <w:rPr>
          <w:rFonts w:ascii="Arial" w:cs="Arial" w:eastAsia="Arial" w:hAnsi="Arial"/>
          <w:i/>
          <w:iCs/>
          <w:color w:val="555555"/>
          <w:sz w:val="18"/>
          <w:szCs w:val="18"/>
        </w:rPr>
        <w:t xml:space="preserve">Table 11. Pairs of clusters with Jaccard similarity of 0.60 or more on signal keywords, abbreviations excluded (268 pairs, top 12 shown).</w:t>
      </w:r>
    </w:p>
    <w:p>
      <w:pPr>
        <w:pStyle w:val="Heading2"/>
        <w:keepNext/>
        <w:numPr>
          <w:ilvl w:val="1"/>
          <w:numId w:val="2"/>
        </w:numPr>
        <w:spacing w:after="140" w:before="240"/>
      </w:pPr>
      <w:r>
        <w:rPr>
          <w:rFonts w:ascii="Arial" w:cs="Arial" w:eastAsia="Arial" w:hAnsi="Arial"/>
          <w:b/>
          <w:bCs/>
          <w:color w:val="033B5A"/>
          <w:sz w:val="24"/>
          <w:szCs w:val="24"/>
        </w:rPr>
        <w:t xml:space="preserve">NAMING CONVENTIONS</w:t>
      </w:r>
    </w:p>
    <w:p>
      <w:pPr>
        <w:spacing w:after="140" w:line="276"/>
      </w:pPr>
      <w:r>
        <w:rPr>
          <w:rFonts w:ascii="Aptos" w:cs="Leelawadee UI" w:eastAsia="Aptos" w:hAnsi="Aptos"/>
          <w:sz w:val="22"/>
          <w:szCs w:val="22"/>
        </w:rPr>
        <w:t xml:space="preserve">Recurring tokens in the largest clusters: "m." in 901 names, "mobile" in 738 names, "login" in 701 names, which points to a templated naming scheme.</w:t>
      </w:r>
    </w:p>
    <w:p>
      <w:pPr>
        <w:spacing w:after="140" w:line="276"/>
      </w:pPr>
      <w:r>
        <w:rPr>
          <w:rFonts w:ascii="Aptos" w:cs="Leelawadee UI" w:eastAsia="Aptos" w:hAnsi="Aptos"/>
          <w:sz w:val="22"/>
          <w:szCs w:val="22"/>
        </w:rPr>
        <w:t xml:space="preserve">Domains span several suffixes, led by org (5,799), com (3,529), net (1,536), cc (1,084), which indicates operators rotate top level domains.</w:t>
      </w:r>
    </w:p>
    <w:p>
      <w:pPr>
        <w:spacing w:after="140" w:line="276"/>
      </w:pPr>
      <w:r>
        <w:rPr>
          <w:rFonts w:ascii="Aptos" w:cs="Leelawadee UI" w:eastAsia="Aptos" w:hAnsi="Aptos"/>
          <w:sz w:val="22"/>
          <w:szCs w:val="22"/>
        </w:rPr>
        <w:t xml:space="preserve">9,858 distinct domains across 2,273 brand clusters.</w:t>
      </w:r>
    </w:p>
    <w:p>
      <w:pPr>
        <w:pStyle w:val="Heading1"/>
        <w:keepNext/>
        <w:numPr>
          <w:ilvl w:val="0"/>
          <w:numId w:val="2"/>
        </w:numPr>
        <w:shd w:fill="F2F2F2" w:val="clear"/>
        <w:spacing w:after="140" w:before="360"/>
      </w:pPr>
      <w:r>
        <w:rPr>
          <w:rFonts w:ascii="Arial" w:cs="Arial" w:eastAsia="Arial" w:hAnsi="Arial"/>
          <w:b/>
          <w:bCs/>
          <w:color w:val="033B5A"/>
          <w:sz w:val="32"/>
          <w:szCs w:val="32"/>
        </w:rPr>
        <w:t xml:space="preserve">RANKING</w:t>
      </w:r>
    </w:p>
    <w:p>
      <w:pPr>
        <w:spacing w:after="140" w:line="276"/>
      </w:pPr>
      <w:r>
        <w:rPr>
          <w:rFonts w:ascii="Aptos" w:cs="Leelawadee UI" w:eastAsia="Aptos" w:hAnsi="Aptos"/>
          <w:sz w:val="22"/>
          <w:szCs w:val="22"/>
        </w:rPr>
        <w:t xml:space="preserve">The feed carries no numeric rank, so the table shows a sample of gambling rows with rank shown as a dash.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44"/>
        <w:gridCol w:w="3133"/>
        <w:gridCol w:w="2611"/>
        <w:gridCol w:w="2611"/>
      </w:tblGrid>
      <w:tr>
        <w:trPr>
          <w:cantSplit/>
          <w:tblHeader/>
        </w:trPr>
        <w:tc>
          <w:tcPr>
            <w:tcW w:type="dxa" w:w="1044"/>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Rank</w:t>
            </w:r>
          </w:p>
        </w:tc>
        <w:tc>
          <w:tcPr>
            <w:tcW w:type="dxa" w:w="3133"/>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Domain</w:t>
            </w:r>
          </w:p>
        </w:tc>
        <w:tc>
          <w:tcPr>
            <w:tcW w:type="dxa" w:w="2611"/>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Cluster</w:t>
            </w:r>
          </w:p>
        </w:tc>
        <w:tc>
          <w:tcPr>
            <w:tcW w:type="dxa" w:w="2611"/>
            <w:tcBorders>
              <w:top w:val="single" w:color="C9D2DB" w:sz="4"/>
              <w:left w:val="single" w:color="C9D2DB" w:sz="4"/>
              <w:bottom w:val="single" w:color="C9D2DB" w:sz="4"/>
              <w:right w:val="single" w:color="C9D2DB" w:sz="4"/>
            </w:tcBorders>
            <w:shd w:fill="033B5A" w:val="clear"/>
            <w:tcMar>
              <w:top w:type="dxa" w:w="50"/>
              <w:left w:type="dxa" w:w="80"/>
              <w:bottom w:type="dxa" w:w="50"/>
              <w:right w:type="dxa" w:w="80"/>
            </w:tcMar>
            <w:vAlign w:val="center"/>
          </w:tcPr>
          <w:p>
            <w:pPr>
              <w:jc w:val="left"/>
            </w:pPr>
            <w:r>
              <w:rPr>
                <w:rFonts w:ascii="Arial" w:cs="Leelawadee UI" w:hAnsi="Arial"/>
                <w:b/>
                <w:bCs/>
                <w:color w:val="FFFFFF"/>
                <w:sz w:val="18"/>
                <w:szCs w:val="18"/>
              </w:rPr>
              <w:t xml:space="preserve">Subcategory</w:t>
            </w:r>
          </w:p>
        </w:tc>
      </w:tr>
      <w:tr>
        <w:trPr>
          <w:cantSplit/>
        </w:trPr>
        <w:tc>
          <w:tcPr>
            <w:tcW w:type="dxa" w:w="104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000ok.net</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000ok</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Casino</w:t>
            </w:r>
          </w:p>
        </w:tc>
      </w:tr>
      <w:tr>
        <w:trPr>
          <w:cantSplit/>
        </w:trPr>
        <w:tc>
          <w:tcPr>
            <w:tcW w:type="dxa" w:w="104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002025.com</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002025</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Casino</w:t>
            </w:r>
          </w:p>
        </w:tc>
      </w:tr>
      <w:tr>
        <w:trPr>
          <w:cantSplit/>
        </w:trPr>
        <w:tc>
          <w:tcPr>
            <w:tcW w:type="dxa" w:w="104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005p.com</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005p</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General Gambling</w:t>
            </w:r>
          </w:p>
        </w:tc>
      </w:tr>
      <w:tr>
        <w:trPr>
          <w:cantSplit/>
        </w:trPr>
        <w:tc>
          <w:tcPr>
            <w:tcW w:type="dxa" w:w="104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007game.pro</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007game</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Baccarat</w:t>
            </w:r>
          </w:p>
        </w:tc>
      </w:tr>
      <w:tr>
        <w:trPr>
          <w:cantSplit/>
        </w:trPr>
        <w:tc>
          <w:tcPr>
            <w:tcW w:type="dxa" w:w="104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007squidgame.club</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007squidgame</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w:t>
            </w:r>
          </w:p>
        </w:tc>
      </w:tr>
      <w:tr>
        <w:trPr>
          <w:cantSplit/>
        </w:trPr>
        <w:tc>
          <w:tcPr>
            <w:tcW w:type="dxa" w:w="104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008416.com</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008416</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General Gambling</w:t>
            </w:r>
          </w:p>
        </w:tc>
      </w:tr>
      <w:tr>
        <w:trPr>
          <w:cantSplit/>
        </w:trPr>
        <w:tc>
          <w:tcPr>
            <w:tcW w:type="dxa" w:w="104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008464.com</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008464</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General Gambling</w:t>
            </w:r>
          </w:p>
        </w:tc>
      </w:tr>
      <w:tr>
        <w:trPr>
          <w:cantSplit/>
        </w:trPr>
        <w:tc>
          <w:tcPr>
            <w:tcW w:type="dxa" w:w="104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008n.vip</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008n</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w:t>
            </w:r>
          </w:p>
        </w:tc>
      </w:tr>
      <w:tr>
        <w:trPr>
          <w:cantSplit/>
        </w:trPr>
        <w:tc>
          <w:tcPr>
            <w:tcW w:type="dxa" w:w="1044"/>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008op.cc</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008op</w:t>
            </w:r>
          </w:p>
        </w:tc>
        <w:tc>
          <w:tcPr>
            <w:tcW w:type="dxa" w:w="2611"/>
            <w:tcBorders>
              <w:top w:val="single" w:color="C9D2DB" w:sz="4"/>
              <w:left w:val="single" w:color="C9D2DB" w:sz="4"/>
              <w:bottom w:val="single" w:color="C9D2DB" w:sz="4"/>
              <w:right w:val="single" w:color="C9D2DB" w:sz="4"/>
            </w:tcBorders>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General Gambling</w:t>
            </w:r>
          </w:p>
        </w:tc>
      </w:tr>
      <w:tr>
        <w:trPr>
          <w:cantSplit/>
        </w:trPr>
        <w:tc>
          <w:tcPr>
            <w:tcW w:type="dxa" w:w="1044"/>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w:t>
            </w:r>
          </w:p>
        </w:tc>
        <w:tc>
          <w:tcPr>
            <w:tcW w:type="dxa" w:w="3133"/>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008p.vip</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008p</w:t>
            </w:r>
          </w:p>
        </w:tc>
        <w:tc>
          <w:tcPr>
            <w:tcW w:type="dxa" w:w="2611"/>
            <w:tcBorders>
              <w:top w:val="single" w:color="C9D2DB" w:sz="4"/>
              <w:left w:val="single" w:color="C9D2DB" w:sz="4"/>
              <w:bottom w:val="single" w:color="C9D2DB" w:sz="4"/>
              <w:right w:val="single" w:color="C9D2DB" w:sz="4"/>
            </w:tcBorders>
            <w:shd w:fill="F5F7FA" w:val="clear"/>
            <w:tcMar>
              <w:top w:type="dxa" w:w="50"/>
              <w:left w:type="dxa" w:w="80"/>
              <w:bottom w:type="dxa" w:w="50"/>
              <w:right w:type="dxa" w:w="80"/>
            </w:tcMar>
            <w:vAlign w:val="center"/>
          </w:tcPr>
          <w:p>
            <w:pPr>
              <w:jc w:val="left"/>
            </w:pPr>
            <w:r>
              <w:rPr>
                <w:rFonts w:ascii="Aptos" w:cs="Leelawadee UI" w:hAnsi="Aptos"/>
                <w:b w:val="false"/>
                <w:bCs w:val="false"/>
                <w:color w:val="222222"/>
                <w:sz w:val="19"/>
                <w:szCs w:val="19"/>
              </w:rPr>
              <w:t xml:space="preserve">Slots</w:t>
            </w:r>
          </w:p>
        </w:tc>
      </w:tr>
    </w:tbl>
    <w:p>
      <w:pPr>
        <w:keepNext/>
        <w:spacing w:after="200" w:before="60"/>
      </w:pPr>
      <w:r>
        <w:rPr>
          <w:rFonts w:ascii="Arial" w:cs="Arial" w:eastAsia="Arial" w:hAnsi="Arial"/>
          <w:i/>
          <w:iCs/>
          <w:color w:val="555555"/>
          <w:sz w:val="18"/>
          <w:szCs w:val="18"/>
        </w:rPr>
        <w:t xml:space="preserve">Table 12. Gambling ranking sample.</w:t>
      </w:r>
    </w:p>
    <w:p>
      <w:pPr>
        <w:pStyle w:val="Heading1"/>
        <w:keepNext/>
        <w:numPr>
          <w:ilvl w:val="0"/>
          <w:numId w:val="2"/>
        </w:numPr>
        <w:shd w:fill="F2F2F2" w:val="clear"/>
        <w:spacing w:after="140" w:before="360"/>
      </w:pPr>
      <w:r>
        <w:rPr>
          <w:rFonts w:ascii="Arial" w:cs="Arial" w:eastAsia="Arial" w:hAnsi="Arial"/>
          <w:b/>
          <w:bCs/>
          <w:color w:val="033B5A"/>
          <w:sz w:val="32"/>
          <w:szCs w:val="32"/>
        </w:rPr>
        <w:t xml:space="preserve">KEY INSIGHTS</w:t>
      </w:r>
    </w:p>
    <w:p>
      <w:pPr>
        <w:pStyle w:val="Heading2"/>
        <w:keepNext/>
        <w:numPr>
          <w:ilvl w:val="1"/>
          <w:numId w:val="2"/>
        </w:numPr>
        <w:spacing w:after="140" w:before="240"/>
      </w:pPr>
      <w:r>
        <w:rPr>
          <w:rFonts w:ascii="Arial" w:cs="Arial" w:eastAsia="Arial" w:hAnsi="Arial"/>
          <w:b/>
          <w:bCs/>
          <w:color w:val="033B5A"/>
          <w:sz w:val="24"/>
          <w:szCs w:val="24"/>
        </w:rPr>
        <w:t xml:space="preserve">SCALE OF THE ANALYSIS</w:t>
      </w:r>
    </w:p>
    <w:p>
      <w:pPr>
        <w:spacing w:after="140" w:line="276"/>
      </w:pPr>
      <w:r>
        <w:rPr>
          <w:rFonts w:ascii="Aptos" w:cs="Leelawadee UI" w:eastAsia="Aptos" w:hAnsi="Aptos"/>
          <w:sz w:val="22"/>
          <w:szCs w:val="22"/>
        </w:rPr>
        <w:t xml:space="preserve">The analysis covers 21,978 distinct URLs over 32 days (2026-09-04 to 2026-10-05). Of these, 9,858 are gambling and 12,120 are not gambling. None were unreachable.</w:t>
      </w:r>
    </w:p>
    <w:p>
      <w:pPr>
        <w:pBdr>
          <w:left w:val="single" w:color="033B5A" w:sz="18" w:space="8"/>
        </w:pBdr>
        <w:spacing w:after="200"/>
      </w:pPr>
      <w:r>
        <w:rPr>
          <w:rFonts w:ascii="Aptos" w:cs="Leelawadee UI" w:eastAsia="Aptos" w:hAnsi="Aptos"/>
          <w:b/>
          <w:bCs/>
          <w:color w:val="033B5A"/>
          <w:sz w:val="22"/>
          <w:szCs w:val="22"/>
        </w:rPr>
        <w:t xml:space="preserve">The sample is large enough to reason about patterns, not isolated cases.</w:t>
      </w:r>
    </w:p>
    <w:p>
      <w:pPr>
        <w:pStyle w:val="Heading2"/>
        <w:keepNext/>
        <w:numPr>
          <w:ilvl w:val="1"/>
          <w:numId w:val="2"/>
        </w:numPr>
        <w:spacing w:after="140" w:before="240"/>
      </w:pPr>
      <w:r>
        <w:rPr>
          <w:rFonts w:ascii="Arial" w:cs="Arial" w:eastAsia="Arial" w:hAnsi="Arial"/>
          <w:b/>
          <w:bCs/>
          <w:color w:val="033B5A"/>
          <w:sz w:val="24"/>
          <w:szCs w:val="24"/>
        </w:rPr>
        <w:t xml:space="preserve">WHAT IS BEING OFFERED</w:t>
      </w:r>
    </w:p>
    <w:p>
      <w:pPr>
        <w:spacing w:after="140" w:line="276"/>
      </w:pPr>
      <w:r>
        <w:rPr>
          <w:rFonts w:ascii="Aptos" w:cs="Leelawadee UI" w:eastAsia="Aptos" w:hAnsi="Aptos"/>
          <w:sz w:val="22"/>
          <w:szCs w:val="22"/>
        </w:rPr>
        <w:t xml:space="preserve">The top three product subcategories are Slots with 3,095 sites (31.4%), Football Betting with 2,509 sites (25.5%), General Gambling with 1,887 sites (19.1%). 19.1% of sites are confirmed gambling without an evidenced product type and 96.0% were assigned by inference. 212 lexicon keywords never matched.</w:t>
      </w:r>
    </w:p>
    <w:p>
      <w:pPr>
        <w:pBdr>
          <w:left w:val="single" w:color="033B5A" w:sz="18" w:space="8"/>
        </w:pBdr>
        <w:spacing w:after="200"/>
      </w:pPr>
      <w:r>
        <w:rPr>
          <w:rFonts w:ascii="Aptos" w:cs="Leelawadee UI" w:eastAsia="Aptos" w:hAnsi="Aptos"/>
          <w:b/>
          <w:bCs/>
          <w:color w:val="033B5A"/>
          <w:sz w:val="22"/>
          <w:szCs w:val="22"/>
        </w:rPr>
        <w:t xml:space="preserve">The estate is spread across product types rather than concentrated. The lexicon has poor coverage of this dataset, so subcategory figures are indicative only.</w:t>
      </w:r>
    </w:p>
    <w:p>
      <w:pPr>
        <w:pStyle w:val="Heading2"/>
        <w:keepNext/>
        <w:numPr>
          <w:ilvl w:val="1"/>
          <w:numId w:val="2"/>
        </w:numPr>
        <w:spacing w:after="140" w:before="240"/>
      </w:pPr>
      <w:r>
        <w:rPr>
          <w:rFonts w:ascii="Arial" w:cs="Arial" w:eastAsia="Arial" w:hAnsi="Arial"/>
          <w:b/>
          <w:bCs/>
          <w:color w:val="033B5A"/>
          <w:sz w:val="24"/>
          <w:szCs w:val="24"/>
        </w:rPr>
        <w:t xml:space="preserve">BRAND CLUSTERING</w:t>
      </w:r>
    </w:p>
    <w:p>
      <w:pPr>
        <w:spacing w:after="140" w:line="276"/>
      </w:pPr>
      <w:r>
        <w:rPr>
          <w:rFonts w:ascii="Aptos" w:cs="Leelawadee UI" w:eastAsia="Aptos" w:hAnsi="Aptos"/>
          <w:sz w:val="22"/>
          <w:szCs w:val="22"/>
        </w:rPr>
        <w:t xml:space="preserve">2,273 clusters span 9,858 gambling URLs. 1,138 hold more than one domain and 108 clusters cover half the estate. The largest, a3game, holds 507 domains across 2 subcategories.</w:t>
      </w:r>
    </w:p>
    <w:p>
      <w:pPr>
        <w:pBdr>
          <w:left w:val="single" w:color="033B5A" w:sz="18" w:space="8"/>
        </w:pBdr>
        <w:spacing w:after="200"/>
      </w:pPr>
      <w:r>
        <w:rPr>
          <w:rFonts w:ascii="Aptos" w:cs="Leelawadee UI" w:eastAsia="Aptos" w:hAnsi="Aptos"/>
          <w:b/>
          <w:bCs/>
          <w:color w:val="033B5A"/>
          <w:sz w:val="22"/>
          <w:szCs w:val="22"/>
        </w:rPr>
        <w:t xml:space="preserve">The estate is diffuse and per URL blocking will have limited leverage.</w:t>
      </w:r>
    </w:p>
    <w:p>
      <w:pPr>
        <w:pStyle w:val="Heading2"/>
        <w:keepNext/>
        <w:numPr>
          <w:ilvl w:val="1"/>
          <w:numId w:val="2"/>
        </w:numPr>
        <w:spacing w:after="140" w:before="240"/>
      </w:pPr>
      <w:r>
        <w:rPr>
          <w:rFonts w:ascii="Arial" w:cs="Arial" w:eastAsia="Arial" w:hAnsi="Arial"/>
          <w:b/>
          <w:bCs/>
          <w:color w:val="033B5A"/>
          <w:sz w:val="24"/>
          <w:szCs w:val="24"/>
        </w:rPr>
        <w:t xml:space="preserve">HOW THE ESTATE IS GROWN AND MARKETED</w:t>
      </w:r>
    </w:p>
    <w:p>
      <w:pPr>
        <w:spacing w:after="140" w:line="276"/>
      </w:pPr>
      <w:r>
        <w:rPr>
          <w:rFonts w:ascii="Aptos" w:cs="Leelawadee UI" w:eastAsia="Aptos" w:hAnsi="Aptos"/>
          <w:sz w:val="22"/>
          <w:szCs w:val="22"/>
        </w:rPr>
        <w:t xml:space="preserve">No source or redirect data is present, so crawler variants and redirect chains cannot be measured. 802 clusters rotate across more than one suffix. The two most common signal tags are Abbreviations (34.2%) and Marketing &amp; Acquisition (3.8%).</w:t>
      </w:r>
    </w:p>
    <w:p>
      <w:pPr>
        <w:pBdr>
          <w:left w:val="single" w:color="033B5A" w:sz="18" w:space="8"/>
        </w:pBdr>
        <w:spacing w:after="200"/>
      </w:pPr>
      <w:r>
        <w:rPr>
          <w:rFonts w:ascii="Aptos" w:cs="Leelawadee UI" w:eastAsia="Aptos" w:hAnsi="Aptos"/>
          <w:b/>
          <w:bCs/>
          <w:color w:val="033B5A"/>
          <w:sz w:val="22"/>
          <w:szCs w:val="22"/>
        </w:rPr>
        <w:t xml:space="preserve">Suffix rotation keeps a stable brand while the addresses behind it change.</w:t>
      </w:r>
    </w:p>
    <w:p>
      <w:pPr>
        <w:pStyle w:val="Heading2"/>
        <w:keepNext/>
        <w:numPr>
          <w:ilvl w:val="1"/>
          <w:numId w:val="2"/>
        </w:numPr>
        <w:spacing w:after="140" w:before="240"/>
      </w:pPr>
      <w:r>
        <w:rPr>
          <w:rFonts w:ascii="Arial" w:cs="Arial" w:eastAsia="Arial" w:hAnsi="Arial"/>
          <w:b/>
          <w:bCs/>
          <w:color w:val="033B5A"/>
          <w:sz w:val="24"/>
          <w:szCs w:val="24"/>
        </w:rPr>
        <w:t xml:space="preserve">ENFORCEMENT POSITION</w:t>
      </w:r>
    </w:p>
    <w:p>
      <w:pPr>
        <w:spacing w:after="140" w:line="276"/>
      </w:pPr>
      <w:r>
        <w:rPr>
          <w:rFonts w:ascii="Aptos" w:cs="Leelawadee UI" w:eastAsia="Aptos" w:hAnsi="Aptos"/>
          <w:sz w:val="22"/>
          <w:szCs w:val="22"/>
        </w:rPr>
        <w:t xml:space="preserve">0 pages show regulatory blocking indicators. The set appears pre enforcement.</w:t>
      </w:r>
    </w:p>
    <w:p>
      <w:pPr>
        <w:pBdr>
          <w:left w:val="single" w:color="033B5A" w:sz="18" w:space="8"/>
        </w:pBdr>
        <w:spacing w:after="200"/>
      </w:pPr>
      <w:r>
        <w:rPr>
          <w:rFonts w:ascii="Aptos" w:cs="Leelawadee UI" w:eastAsia="Aptos" w:hAnsi="Aptos"/>
          <w:b/>
          <w:bCs/>
          <w:color w:val="033B5A"/>
          <w:sz w:val="22"/>
          <w:szCs w:val="22"/>
        </w:rPr>
        <w:t xml:space="preserve">This set is a candidate for a first enforcement pass, prioritised by cluster rather than by URL.</w:t>
      </w:r>
    </w:p>
    <w:p>
      <w:pPr>
        <w:pBdr>
          <w:top w:val="single" w:color="C9D2DB" w:sz="4" w:space="6"/>
        </w:pBdr>
        <w:spacing w:before="300"/>
      </w:pPr>
      <w:r>
        <w:rPr>
          <w:rFonts w:ascii="Arial" w:cs="Arial" w:eastAsia="Arial" w:hAnsi="Arial"/>
          <w:color w:val="555555"/>
          <w:sz w:val="16"/>
          <w:szCs w:val="16"/>
        </w:rPr>
        <w:t xml:space="preserve">Lexicon: Gambling_Keywords_Full_English_Categories_V1, 286 keywords (Football Betting 21; Slots 32; Casino 14; Lottery 20; Playing card 12; Baccarat 11; General Gambling 22; Deposit &amp; Withdrawal 24; Promotions 27; Marketing &amp; Acquisition 25; Affiliate &amp; Agent 20; Vague-Evasion Terms 20; Abbreviations 22; Hashtags 21). Inferred share 96.0%, general gambling share 19.1%. Rows normalised from Licensed gambling: 0. Abbreviation flagged as probable false positive source: VIP, BET. Clustering: Jaro Winkler 0.90 with prefix condition; linkage Jaccard 0.60.</w:t>
      </w:r>
    </w:p>
    <w:sectPr>
      <w:headerReference w:type="default" r:id="rId7"/>
      <w:headerReference w:type="first" r:id="rId8"/>
      <w:footerReference w:type="default" r:id="rId9"/>
      <w:footerReference w:type="first" r:id="rId10"/>
      <w:pgSz w:w="11906" w:h="16838" w:orient="portrait"/>
      <w:pgMar w:top="1300" w:right="991" w:bottom="1200" w:left="127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B" w:sz="4" w:space="4"/>
      </w:pBdr>
    </w:pPr>
    <w:r>
      <w:rPr>
        <w:rFonts w:ascii="Arial" w:cs="Arial" w:eastAsia="Arial" w:hAnsi="Arial"/>
        <w:b/>
        <w:bCs/>
        <w:color w:val="033B5A"/>
        <w:sz w:val="16"/>
        <w:szCs w:val="16"/>
      </w:rPr>
      <w:t xml:space="preserve">DATA INSIGHTS &amp; PATTERNS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decimal"/>
      <w:lvlText w:val="%1.%2"/>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c021496cf24b21888a85ff221e5ba45f5e48da1.png"/><Relationship Id="rId12" Type="http://schemas.openxmlformats.org/officeDocument/2006/relationships/image" Target="media/b9b229da8a7082b47d446ae0575c650741006940.png"/><Relationship Id="rId13" Type="http://schemas.openxmlformats.org/officeDocument/2006/relationships/image" Target="media/89e74d0741134c622173ad45ce4084576be8653a.png"/><Relationship Id="rId14" Type="http://schemas.openxmlformats.org/officeDocument/2006/relationships/image" Target="media/484a7338b81d46e1de8e09bd85dc4704e1fce448.png"/><Relationship Id="rId15" Type="http://schemas.openxmlformats.org/officeDocument/2006/relationships/image" Target="media/cb1fa8945d9677c941165bf529f52797111ce26b.png"/><Relationship Id="rId16" Type="http://schemas.openxmlformats.org/officeDocument/2006/relationships/image" Target="media/31e9c9bd68c644eaee7c217aa05329df67f74e88.png"/><Relationship Id="rId17" Type="http://schemas.openxmlformats.org/officeDocument/2006/relationships/image" Target="media/69489d4ffc712d1c23ed2095e7096d27910902b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creator>SICPA SA</dc:creator>
  <cp:lastModifiedBy>Un-named</cp:lastModifiedBy>
  <cp:revision>1</cp:revision>
  <dcterms:created xsi:type="dcterms:W3CDTF">2026-10-06T15:35:15.393Z</dcterms:created>
  <dcterms:modified xsi:type="dcterms:W3CDTF">2026-10-06T15:35:15.393Z</dcterms:modified>
</cp:coreProperties>
</file>

<file path=docProps/custom.xml><?xml version="1.0" encoding="utf-8"?>
<Properties xmlns="http://schemas.openxmlformats.org/officeDocument/2006/custom-properties" xmlns:vt="http://schemas.openxmlformats.org/officeDocument/2006/docPropsVTypes"/>
</file>