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" ContentType="image/png"/>
  <Override PartName="/word/media/image11." ContentType="image/png"/>
  <Override PartName="/word/media/image2." ContentType="image/png"/>
  <Override PartName="/word/media/image3." ContentType="image/png"/>
  <Override PartName="/word/media/image4." ContentType="image/png"/>
  <Override PartName="/word/media/image5." ContentType="image/png"/>
  <Override PartName="/word/media/image6." ContentType="image/png"/>
  <Override PartName="/word/media/image7." ContentType="image/png"/>
  <Override PartName="/word/media/image8." ContentType="image/png"/>
  <Override PartName="/word/media/image9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889024" cy="87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024" cy="8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20" w:space="4" w:color="111417"/>
        </w:pBdr>
        <w:spacing w:before="0" w:after="60" w:line="240" w:lineRule="auto"/>
      </w:pPr>
      <w:r>
        <w:rPr>
          <w:rFonts w:ascii="Arial" w:hAnsi="Arial" w:cs="Leelawadee UI"/>
          <w:b/>
          <w:i w:val="0"/>
          <w:color w:val="111417"/>
          <w:sz w:val="42"/>
          <w:szCs w:val="42"/>
        </w:rPr>
        <w:t>Site Classification Report</w:t>
      </w:r>
    </w:p>
    <w:p>
      <w:pPr>
        <w:spacing w:before="60" w:after="200" w:line="240" w:lineRule="auto"/>
      </w:pPr>
      <w:r>
        <w:rPr>
          <w:rFonts w:ascii="Arial" w:hAnsi="Arial" w:cs="Leelawadee UI"/>
          <w:b/>
          <w:i w:val="0"/>
          <w:color w:val="5B6670"/>
          <w:sz w:val="16"/>
          <w:szCs w:val="16"/>
        </w:rPr>
        <w:t>Automated site classification — evidence record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Report reference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01M372QAYAK2BPT5R6TXKFXV5P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Prepared by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SICPA SA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Date of issue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23/09/2026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Document classification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7A3A12"/>
                <w:sz w:val="18"/>
                <w:szCs w:val="18"/>
                <w:shd w:val="clear" w:color="auto" w:fill="FBC9AC"/>
              </w:rPr>
              <w:t xml:space="preserve"> Not available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System / model version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SICPADetect · TH_V1_SiteReport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Records in this report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11</w:t>
            </w:r>
          </w:p>
        </w:tc>
      </w:tr>
    </w:tbl>
    <w:p>
      <w:pPr>
        <w:keepNext/>
        <w:pBdr>
          <w:bottom w:val="single" w:sz="16" w:space="4" w:color="111417"/>
        </w:pBdr>
        <w:spacing w:before="340" w:after="140" w:line="240" w:lineRule="auto"/>
      </w:pPr>
      <w:r>
        <w:rPr>
          <w:rFonts w:ascii="Arial" w:hAnsi="Arial" w:cs="Leelawadee UI"/>
          <w:b/>
          <w:i w:val="0"/>
          <w:color w:val="111417"/>
          <w:sz w:val="27"/>
          <w:szCs w:val="27"/>
        </w:rPr>
        <w:t>Analysis</w:t>
      </w:r>
    </w:p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m88-th-casino[.]xyz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Redirect (m88-th-casino[.]lol)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hxxps://m88-th-casino[.]xyz/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contains images of slot machines and other gambling-related graphics.. Screenshot: The website has buttons labeled for sports betting, casino, poker, and games, indicating various gambling options.. Screenshot: The website prominently displays a button to register and deposit money, which are common actions in online gambling.. URL: The URL contains terms like 'casino' which is directly associated with gambling activities.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evidence/4e33cad7-1196-4afc-b02f-bd9556507644/0abacbd4-21c1-491e-9b9f-b38c76787854/homepage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2026-09-18T14:10:56+00:00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ae7da5965a9cc91da6e0bb44d99df8c1853baf9a62c14a4aa0199adb7c14ffc4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None matched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ae7da5965a9cc91da6e0bb44d99df8c1853baf9a62c14a4aa0199adb7c14ffc4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2026-09-18T14:10:56+00:00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m88-th-casino[.]net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hxxps://www[.]m88-th-casino[.]net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สล็อต; เกมสล็อต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prominently displays images of slot machines and gambling-related icons, indicating online gambling activities.. Screenshot: The text mentions 'M88 รวมเว็บยูมูลที่สมาจิกวรสวว' which translates to 'M88 Summarizes useful websites', suggesting a compilation of gambling sites.. Screenshot: The section with images of slot machines and the text 'เกมสล็อต' (slot games) directly indicates the presence of online slot games.. Screenshot: The website includes a button with the text 'สมัครเลย รับโบนัส 3,000 บาท' which translates to 'Sign up and receive a bonus of 3,000 baht', a common incentive for online gambling platforms.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evidence/db32be27-a0e5-4afb-b22b-b065c016cd5e/e1ace150-ea4a-433a-a834-e9e5d6cf7e3b/homepage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2026-09-18T14:10:29+00:00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aaebdca4f3250415c4131b6c786c527f2679c844d611e87d5ffde08d7b37f1c6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สล็อต; เกมสล็อต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aaebdca4f3250415c4131b6c786c527f2679c844d611e87d5ffde08d7b37f1c6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2026-09-18T14:10:29+00:00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jw8[.]in[.]th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hxxps://jw8[.]in[.]th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displays multiple gambling games such as slots and other casino games.. Screenshot: The presence of game titles like 'Fantasy Royale' and 'Blazing Circus' which are typical of online gambling platforms.. Screenshot: The website has a section for promotions and bonuses, which is common in online gambling sites.. Screenshot: The footer text indicates that the site is intended for entertainment purposes in Thailand, which is often associated with online gambling sites.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evidence/3b59850f-34c9-4b8e-8c25-c62540eff531/4b9886dd-8191-499b-afac-5fc5b8fb3cc5/homepage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2026-09-23T11:03:26+00:00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29642eea3a8518dfdfb7feee131742465c63014cba77215fda2abf45e25c0c54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None matched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29642eea3a8518dfdfb7feee131742465c63014cba77215fda2abf45e25c0c54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2026-09-23T11:03:26+00:00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web[.]hiims[.]in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hxxps://web[.]hiims[.]in/public/new/?sixt=คืนยอดเสีย+5%25+ทุกวัน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form includes fields for phone number, password, and password confirmation, which are typical for user registration on online gambling sites.. Screenshot: The presence of different membership levels (VIP Amateur, VIP Silver, VIP Master, VIP Legendary) with associated bonuses (100B, 1,000B, 30,000B, 50,000B) suggests a structured gambling platform.. Screenshot: The form includes a field for selecting a promotion code, which is common in online gambling sites to offer special deals or bonuses to users.. Screenshot: The form includes a field for confirming the user's phone number, which is a typical verification step in online gambling platforms to ensure the user's identity.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evidence/518a902c-7c3a-4315-9acb-e0d77227bf40/a6967645-3fd1-4355-9481-2686383ba8c3/homepage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2026-09-23T11:05:46+00:00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943b392d85e5b71c116c216aa6594cd24ce24f1a04d0a3ba7ba710d490e137aa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None matched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943b392d85e5b71c116c216aa6594cd24ce24f1a04d0a3ba7ba710d490e137aa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2026-09-23T11:05:46+00:00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feniksu[.]com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hxxps://feniksu[.]com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prominently features images of gambling-related items such as dice, playing cards, and lottery tickets.. Screenshot: The text includes phrases that suggest online gambling activities, such as 'เว็บข่าว กรุฑกษัตริย์ จ่ายสูง' which translates to 'High Paying Hercules News Web'.. Screenshot: There are buttons labeled 'ลงทะเบียน' (register) and 'เข้าสู่ระบบ' (login), indicating user interaction typical of online gambling sites.. Screenshot: The site includes various icons and sections that are commonly found on gambling sites, such as different types of games and promotions.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evidence/d2f058e4-4846-4dc1-9c07-b0ae36f1bc27/be6298aa-a526-4731-a6cb-13f56f65892d/homepage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2026-09-23T11:06:56+00:00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6d283b9229eef62df6fb459794927bb06b73da055446e8ce309004fe0b81e700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None matched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6d283b9229eef62df6fb459794927bb06b73da055446e8ce309004fe0b81e700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2026-09-23T11:06:56+00:00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saladfactorythailand[.]com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hxxps://saladfactorythailand[.]com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prominently features a slot machine, which is a common gambling game.. Screenshot: The website includes game options like 'Race', 'Fish', and 'Slots', which are typically associated with online gambling platforms.. Screenshot: The presence of game studios like 'Habanero' and 'PG Soft' indicates the site offers gambling games.. Screenshot: The website has a section labeled 'Promotion' which often relates to bonuses and incentives for gambling activities.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evidence/90eda30e-d671-4279-845e-7d9f395f9ad6/6252e527-a8bc-4f6f-a757-c00a4da7d918/homepage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2026-09-23T11:18:10+00:00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64d3ea6965c29b400bc22b4520787c3dbc735f4ff49e9d592ccc4e51bbe8a179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None matched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64d3ea6965c29b400bc22b4520787c3dbc735f4ff49e9d592ccc4e51bbe8a179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2026-09-23T11:18:10+00:00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swiper[.]andispizzagrill[.]com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hxxps://swiper[.]andispizzagrill[.]com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prominently features a slot machine, which is a common form of online gambling.. Screenshot: The text and images suggest an interactive gambling experience with phrases like 'เล่นจริง เล่นคุก' and 'สล็อตเว็บตรง', indicating real-money gambling.. Screenshot: The presence of chips and money suggests financial transactions related to gambling activities.. Screenshot: The overall design and elements on the page, such as the slot machine and gambling-related imagery, strongly indicate that the website is for online gambling.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evidence/38caf3e0-9d3b-495c-8df3-37428a253fe5/829f4a73-9e11-49c6-840d-025bee62f693/homepage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2026-09-23T11:19:36+00:00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b519a36010c7c34fd8b716c7270eeb5cbe1eb815c48d96d99f9cc5f2753720ac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สล็อต; สล็อตเว็บตรง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b519a36010c7c34fd8b716c7270eeb5cbe1eb815c48d96d99f9cc5f2753720ac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2026-09-23T11:19:36+00:00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kieldercampsite[.]co[.]uk — No online gambling detected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hxxps://kieldercampsite[.]co[.]uk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4A555F"/>
                <w:sz w:val="18"/>
                <w:szCs w:val="18"/>
                <w:shd w:val="clear" w:color="auto" w:fill="E6EAEE"/>
              </w:rPr>
              <w:t xml:space="preserve"> Dismissed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is for a campsite, offering accommodation and activities related to camping and caravanning.. Screenshot: There are no indicators of online gambling such as betting options, casino games, or gambling-related content.. Screenshot: The site provides information about the campsite, things to do, and directions, which are typical features of a travel and accommodation website.. URL: The URL includes 'campsite', indicating the site is related to camping and not online gambling.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evidence/56a5409a-bb0a-47ff-b205-4b32e52a2d06/65e876b7-2ae2-4625-a697-c53dfaafbb50/homepage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2026-09-23T11:20:35+00:00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3e023fe1f7035ad56f6101ef47ac470642344c632f16a28a1a4af4e603b7c4cd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Not available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3e023fe1f7035ad56f6101ef47ac470642344c632f16a28a1a4af4e603b7c4cd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2026-09-23T11:20:35+00:00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pragmaticplay[.]fun — Classification pending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hxxps://pragmaticplay[.]fun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7A3A12"/>
                <w:sz w:val="18"/>
                <w:szCs w:val="18"/>
                <w:shd w:val="clear" w:color="auto" w:fill="FBC9AC"/>
              </w:rPr>
              <w:t xml:space="preserve"> Pending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7A3A12"/>
                <w:sz w:val="18"/>
                <w:szCs w:val="18"/>
                <w:shd w:val="clear" w:color="auto" w:fill="FBC9AC"/>
              </w:rPr>
              <w:t xml:space="preserve"> Not available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Not available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Not available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Not available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local[.]ridgmar[.]com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hxxps://local[.]ridgmar[.]com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prominently features the text 'PG SLOT', which is commonly associated with online slot games.. Screenshot: The text includes phrases like 'สล็อตเว็บตรง 2026' and 'คาสิโนออนไลน์', which translate to 'direct web slots 2026' and 'online casino' respectively, indicating online gambling activities.. Screenshot: The button labeled 'สมัครฟรี ดาคิกเลย' translates to 'Register for free click now', which is a common call-to-action for online gambling sites to attract new users.. Screenshot: The overall design and layout, including the imagery and promotional text, are typical of online gambling platforms.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evidence/3a300519-1202-4107-9c9a-62f278cdbe39/c2dd4ce9-1b46-4b54-a43c-67f90a92da54/homepage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2026-09-23T11:25:28+00:00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71c19e993a100f5cd40687f2afe7b34c3c80b27c2d2d1f931f2eba719a01be3b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สล็อต; สล็อตเว็บตรง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71c19e993a100f5cd40687f2afe7b34c3c80b27c2d2d1f931f2eba719a01be3b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2026-09-23T11:25:28+00:00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thai[.]mdreams[.]com — Online gambling confirmed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Manual (analyst identifier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hxxps://thai[.]mdreams[.]com/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Screenshot: The website prominently features the text 'PG SLOT' which is commonly associated with online slot games.. Screenshot: There are visual elements indicating monetary transactions, such as the image of a wallet with the text 'โบนัสฟรี 1 บาท' which suggests a bonus offer in Thai currency.. Screenshot: The text 'สมัครใหม่ ร่วมอิส' implies a sign-up bonus for new users, a common feature in online gambling platforms.. Screenshot: The overall design and imagery, including the crown and festive background, are typical of online gambling sites designed to attract players.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36000" cy="187957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1879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evidence/2dafa98e-afde-4b4b-8f95-bb3f3edb4931/a1d21d8f-d0a5-4e8b-9b0d-83405d59a8c7/homepage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2026-09-23T11:26:42+00:00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keepNext/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keepNext/>
              <w:spacing w:before="20" w:after="2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e5debb0dff16a025dfce2501634c54bcfa7fb3c7dc77fac5d998ac96343a0c4c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 Yes 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Keywords captured: None matched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SHA-256: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e5debb0dff16a025dfce2501634c54bcfa7fb3c7dc77fac5d998ac96343a0c4c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2026-09-23T11:26:42+00:00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/>
        <w:pageBreakBefore/>
        <w:pBdr>
          <w:bottom w:val="single" w:sz="16" w:space="4" w:color="111417"/>
        </w:pBdr>
        <w:spacing w:before="340" w:after="140" w:line="240" w:lineRule="auto"/>
      </w:pPr>
      <w:r>
        <w:rPr>
          <w:rFonts w:ascii="Arial" w:hAnsi="Arial" w:cs="Leelawadee UI"/>
          <w:b/>
          <w:i w:val="0"/>
          <w:color w:val="111417"/>
          <w:sz w:val="27"/>
          <w:szCs w:val="27"/>
        </w:rPr>
        <w:t>Appendix A — Subcategory data model</w:t>
      </w:r>
    </w:p>
    <w:p>
      <w:pPr>
        <w:spacing w:before="60" w:after="200" w:line="240" w:lineRule="auto"/>
      </w:pPr>
      <w:r>
        <w:rPr>
          <w:rFonts w:ascii="Arial" w:hAnsi="Arial" w:cs="Leelawadee UI"/>
          <w:b/>
          <w:i w:val="0"/>
          <w:color w:val="5B6670"/>
          <w:sz w:val="16"/>
          <w:szCs w:val="16"/>
        </w:rPr>
        <w:t>Reference only. Not part of any record. Source: Gambling_Keywords_Full_English_Categories_V1.xlsx · 14 categories · 286 distinct keywords</w:t>
      </w:r>
    </w:p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A.1 Product subcategories</w:t>
      </w:r>
    </w:p>
    <w:p>
      <w:pPr>
        <w:spacing w:before="60" w:after="160" w:line="280" w:lineRule="auto"/>
      </w:pPr>
      <w:r>
        <w:rPr>
          <w:rFonts w:ascii="Arial" w:hAnsi="Arial" w:cs="Leelawadee UI"/>
          <w:b w:val="0"/>
          <w:i w:val="0"/>
          <w:color w:val="5B6670"/>
          <w:sz w:val="16"/>
          <w:szCs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Football Betting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football_betting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Slots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slots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32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Casino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casino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14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Lottery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lottery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Playing card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playing_card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12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Baccarat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baccarat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11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General Gambling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general_gambling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4A555F"/>
                <w:sz w:val="16"/>
                <w:szCs w:val="16"/>
                <w:shd w:val="clear" w:color="auto" w:fill="E6EAEE"/>
              </w:rPr>
              <w:t xml:space="preserve"> catch-all — lowest priority 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A.2 Signal tags</w:t>
      </w:r>
    </w:p>
    <w:p>
      <w:pPr>
        <w:spacing w:before="60" w:after="160" w:line="280" w:lineRule="auto"/>
      </w:pPr>
      <w:r>
        <w:rPr>
          <w:rFonts w:ascii="Arial" w:hAnsi="Arial" w:cs="Leelawadee UI"/>
          <w:b w:val="0"/>
          <w:i w:val="0"/>
          <w:color w:val="5B6670"/>
          <w:sz w:val="16"/>
          <w:szCs w:val="16"/>
        </w:rPr>
        <w:t>Zero or more are assigned per gambling record, in the Signal tags field. A signal tag is never a subcategory — it records how a site operates or markets itself, not what it sells.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Deposit &amp; Withdrawal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deposit_withdrawal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24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Payment and cash-out mechanics advertised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Promotions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promotions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27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Free-credit and bonus acquisition offers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Marketing &amp; Acquisition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marketing_acquisition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25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Win-rate and payout claims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Affiliate &amp; Agent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affiliate_agent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Affiliate, agent or referral structure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Vague-Evasion Terms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vague_evasion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Deliberate avoidance of explicit gambling vocabulary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Abbreviations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abbreviations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Provider or network branding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Hashtags</w:t>
            </w:r>
          </w:p>
          <w:p>
            <w:pPr>
              <w:spacing w:before="0" w:after="0" w:line="324" w:lineRule="auto"/>
            </w:pPr>
            <w:r>
              <w:rPr>
                <w:rFonts w:ascii="Consolas" w:hAnsi="Consolas" w:cs="Leelawadee UI"/>
                <w:b w:val="0"/>
                <w:i w:val="0"/>
                <w:color w:val="111417"/>
                <w:sz w:val="17"/>
                <w:szCs w:val="17"/>
              </w:rPr>
              <w:t>hashtags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Promoted through hashtag campaigns</w:t>
            </w:r>
          </w:p>
          <w:p>
            <w:pPr>
              <w:spacing w:before="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6"/>
                <w:szCs w:val="16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A.3 Matching rules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Thai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Case-sensitive substring match. Thai has no word delimiters, so no boundary test applies.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Latin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Case-insensitive, must sit on a token boundary ([^a-z0-9] or string edge both sides) so BET does not match betterment.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Mixed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Substring match, e.g. สล็อต pg.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Hashtag keyword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Two-letter abbreviations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Cross-category collisions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>
      <w:pPr>
        <w:keepNext/>
        <w:spacing w:before="280" w:after="100" w:line="240" w:lineRule="auto"/>
      </w:pPr>
      <w:r>
        <w:rPr>
          <w:rFonts w:ascii="Arial" w:hAnsi="Arial" w:cs="Leelawadee UI"/>
          <w:b/>
          <w:i w:val="0"/>
          <w:color w:val="111417"/>
          <w:sz w:val="22"/>
          <w:szCs w:val="22"/>
        </w:rPr>
        <w:t>A.4 Heat map axes</w:t>
      </w:r>
    </w:p>
    <w:p>
      <w:pPr>
        <w:spacing w:before="60" w:after="160" w:line="280" w:lineRule="auto"/>
      </w:pPr>
      <w:r>
        <w:rPr>
          <w:rFonts w:ascii="Arial" w:hAnsi="Arial" w:cs="Leelawadee UI"/>
          <w:b w:val="0"/>
          <w:i w:val="0"/>
          <w:color w:val="5B6670"/>
          <w:sz w:val="16"/>
          <w:szCs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Style w:val="TableGrid"/>
        <w:tblW w:w="9071" w:type="dxa"/>
        <w:jc w:val="left"/>
        <w:tblBorders>
          <w:top w:val="single" w:sz="8" w:space="0" w:color="C9D2DB"/>
          <w:left w:val="single" w:sz="8" w:space="0" w:color="C9D2DB"/>
          <w:bottom w:val="single" w:sz="8" w:space="0" w:color="C9D2DB"/>
          <w:right w:val="single" w:sz="8" w:space="0" w:color="C9D2DB"/>
          <w:insideH w:val="single" w:sz="6" w:space="0" w:color="E1E7EC"/>
          <w:insideV w:val="single" w:sz="6" w:space="0" w:color="E1E7EC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Keyword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Signal tag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Brand cluster × subcategory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Label orientation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Row / column order</w:t>
            </w:r>
          </w:p>
        </w:tc>
        <w:tc>
          <w:tcPr>
            <w:tcW w:type="dxa" w:w="5987"/>
          </w:tcPr>
          <w:p>
            <w:pPr>
              <w:spacing w:before="20" w:after="20" w:line="324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Descending total on each axis.</w:t>
            </w:r>
          </w:p>
        </w:tc>
      </w:tr>
    </w:tbl>
    <w:p>
      <w:pPr>
        <w:spacing w:before="300" w:after="100" w:line="280" w:lineRule="auto"/>
      </w:pPr>
      <w:r>
        <w:rPr>
          <w:rFonts w:ascii="Arial" w:hAnsi="Arial" w:cs="Leelawadee UI"/>
          <w:b/>
          <w:i w:val="0"/>
          <w:color w:val="5B6670"/>
          <w:sz w:val="16"/>
          <w:szCs w:val="16"/>
        </w:rPr>
        <w:t xml:space="preserve">Fill guide. </w:t>
      </w:r>
      <w:r>
        <w:rPr>
          <w:rFonts w:ascii="Arial" w:hAnsi="Arial" w:cs="Leelawadee UI"/>
          <w:b w:val="0"/>
          <w:i w:val="0"/>
          <w:color w:val="5B6670"/>
          <w:sz w:val="16"/>
          <w:szCs w:val="16"/>
        </w:rPr>
        <w:t>Status cell: Confirmed · Pending · Dismissed — swap the class to ok, warn or off. Confidence cell: High Medium Low — swap the badge class to g-a, g-c or g-f. No numeric score is ever shown. Duplicate a record block for each additional record; the heading carries its title of classification.</w:t>
      </w:r>
    </w:p>
    <w:p>
      <w:pPr>
        <w:pBdr>
          <w:bottom w:val="single" w:sz="6" w:space="4" w:color="C9D2DB"/>
        </w:pBdr>
        <w:spacing w:before="340" w:after="0" w:line="280" w:lineRule="auto"/>
      </w:pPr>
      <w:r>
        <w:rPr>
          <w:rFonts w:ascii="Arial" w:hAnsi="Arial" w:cs="Leelawadee UI"/>
          <w:b w:val="0"/>
          <w:i w:val="0"/>
          <w:color w:val="5B6670"/>
          <w:sz w:val="15"/>
          <w:szCs w:val="15"/>
        </w:rPr>
        <w:t>SICPADetect · Ministry of Digital Economy and Society, Thailand · URLs are defanged for safe handling</w:t>
      </w:r>
    </w:p>
    <w:sectPr w:rsidR="00FC693F" w:rsidRPr="0006063C" w:rsidSect="00034616">
      <w:footerReference w:type="default" r:id="rId20"/>
      <w:headerReference w:type="default" r:id="rId2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670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417"/>
      <w:sz w:val="20"/>
      <w:rFonts w:ascii="Arial" w:hAnsi="Arial" w:cs="Leelawade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"/><Relationship Id="rId11" Type="http://schemas.openxmlformats.org/officeDocument/2006/relationships/image" Target="media/image3."/><Relationship Id="rId12" Type="http://schemas.openxmlformats.org/officeDocument/2006/relationships/image" Target="media/image4."/><Relationship Id="rId13" Type="http://schemas.openxmlformats.org/officeDocument/2006/relationships/image" Target="media/image5."/><Relationship Id="rId14" Type="http://schemas.openxmlformats.org/officeDocument/2006/relationships/image" Target="media/image6."/><Relationship Id="rId15" Type="http://schemas.openxmlformats.org/officeDocument/2006/relationships/image" Target="media/image7."/><Relationship Id="rId16" Type="http://schemas.openxmlformats.org/officeDocument/2006/relationships/image" Target="media/image8."/><Relationship Id="rId17" Type="http://schemas.openxmlformats.org/officeDocument/2006/relationships/image" Target="media/image9."/><Relationship Id="rId18" Type="http://schemas.openxmlformats.org/officeDocument/2006/relationships/image" Target="media/image10."/><Relationship Id="rId19" Type="http://schemas.openxmlformats.org/officeDocument/2006/relationships/image" Target="media/image11."/><Relationship Id="rId20" Type="http://schemas.openxmlformats.org/officeDocument/2006/relationships/footer" Target="footer1.xml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