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878049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8049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Site Classification Report</w:t>
      </w:r>
    </w:p>
    <w:p>
      <w:r>
        <w:rPr>
          <w:b/>
          <w:sz w:val="16"/>
        </w:rPr>
        <w:t>Automated site classification: evidence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Report reference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SICPA SA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issue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08/10/2026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System / model version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SICPADetect · TH_V1_SiteReport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Records in this report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t>10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Analysis</w:t>
      </w:r>
    </w:p>
    <w:p>
      <w:pPr>
        <w:pStyle w:val="Heading2"/>
      </w:pPr>
      <w:r>
        <w:t>suriyathai.net: Gambling → General Gambling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https://suriyathai.net/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General Gambling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prominent SURIYA BET logo.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login form with phone number and password fields.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2026-10-08T09:11:44+00:00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SHA-256 evidence hash: a cryptographic fingerprint of the captured evidence file. It verifies that the screenshot or capture has not changed since collection.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2026-10-08T09:11:44+00:00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707jili.com: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https://707jili.com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casino game titles (Mayan Destiny, Devil Fire Twins, Royale Vegas), slot machine images and gambling-themed graphics.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displays monetary values (128,107 ฿ and 111,107 ฿) in the game listing.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2026-10-08T09:12:00+00:00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2026-10-08T09:12:00+00:00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play-tga.net: Gambling → General Gambling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https://play-tga.net/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General Gambling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playing cards, chips and game icons for slots, fishing games, sports betting, poker and baccarat.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offers a 10% bonus.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2026-10-08T09:12:14+00:00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2026-10-08T09:12:14+00:00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9ufa.vip: Gambling → General Gambling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https://www.9ufa.vip/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General Gambling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betting options, a betting slip and promotional banners.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offers free credit to new members and deposit bonuses, and shows deposit and withdrawal amounts.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2026-10-08T09:12:57+00:00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2026-10-08T09:12:57+00:00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dreamworld777.buzz: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https://dreamworld777.buzz/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slot game images and titles (Golden Lilin, Fortune Garuda, Mega Fortune Ox, Mahjong Ways 3X).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play-for-real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2026-10-08T09:13:15+00:00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สล็อต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2026-10-08T09:13:15+00:00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e699zz.com: Gambling → General Gambling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https://e699zz.com/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General Gambling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pop-up with a character holding money, multiple game icons and a betting slip interface.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deposit offer.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2026-10-08T09:12:42+00:00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2026-10-08T09:12:42+00:00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jun8891.com: Classification not available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https://jun8891.com/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[NEW CAPTURE REQUIRED]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meetang.cc: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https://meetang.cc/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สล็อต; เกมสล็อต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gambling game titles (Lucky Meow Meow 2, Sugar Rush 1000, Power of Thor II Thunder St.).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register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สล็อต; เกมสล็อต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2026-10-08T09:13:30+00:00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สล็อต; เกมสล็อต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2026-10-08T09:13:30+00:00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mun8.com: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https://mun8.com/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banner with a woman and a pig character, a Grand Jackpot amount and slot and poker game sections.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displays a promotional offer.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2026-10-08T09:13:59+00:00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2026-10-08T09:13:59+00:00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mst88.work: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https://mst88.work/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slot game images, images of money and game categories for slots, baccarat, blackjack and poker.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displays level tiers with percentage increases.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2026-10-08T09:14:13+00:00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2026-10-08T09:14:13+00:00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Subcategory data model</w:t>
      </w:r>
    </w:p>
    <w:p>
      <w:r>
        <w:rPr>
          <w:b/>
          <w:sz w:val="16"/>
        </w:rPr>
        <w:t>Reference only. Not part of any record. Source: Gambling_Keywords_Full_English_Categories_V1.xlsx · 14 categories · 286 distinct keywords</w:t>
      </w:r>
    </w:p>
    <w:p>
      <w:pPr>
        <w:pStyle w:val="Heading2"/>
      </w:pPr>
      <w:r>
        <w:t>A.1 Product subcategories</w:t>
      </w:r>
    </w:p>
    <w:p>
      <w:r>
        <w:rPr>
          <w:sz w:val="16"/>
        </w:rPr>
        <w:t>Exactly one is assigned per gambling record, in the Subcategory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Football Betting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football_betting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Slots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slots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32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Casino</w:t>
            </w:r>
          </w:p>
          <w:p>
            <w:pPr>
              <w:spacing w:after="0"/>
            </w:pPr>
            <w:r>
              <w:rPr>
                <w:b/>
                <w:sz w:val="18"/>
              </w:rPr>
              <w:t>casino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14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Lottery</w:t>
            </w:r>
          </w:p>
          <w:p>
            <w:pPr>
              <w:spacing w:after="0"/>
            </w:pPr>
            <w:r>
              <w:rPr>
                <w:b/>
                <w:sz w:val="18"/>
              </w:rPr>
              <w:t>lottery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Playing card</w:t>
            </w:r>
          </w:p>
          <w:p>
            <w:pPr>
              <w:spacing w:after="0"/>
            </w:pPr>
            <w:r>
              <w:rPr>
                <w:b/>
                <w:sz w:val="18"/>
              </w:rPr>
              <w:t>playing_card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Baccarat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baccarat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General Gambling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general_gambling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catch-all, lowest priority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/>
    <w:p>
      <w:pPr>
        <w:pStyle w:val="Heading2"/>
      </w:pPr>
      <w:r>
        <w:t>A.2 Signal tags</w:t>
      </w:r>
    </w:p>
    <w:p>
      <w:r>
        <w:rPr>
          <w:sz w:val="16"/>
        </w:rPr>
        <w:t>Zero or more are assigned per gambling record, in the Signal tags field. A signal tag is never a subcategory. It records how a site operates or markets itself, not what it sells.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Deposit &amp; Withdrawal</w:t>
            </w:r>
          </w:p>
          <w:p>
            <w:pPr>
              <w:spacing w:after="0"/>
            </w:pPr>
            <w:r>
              <w:rPr>
                <w:b/>
                <w:sz w:val="18"/>
              </w:rPr>
              <w:t>deposit_withdrawal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24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Payment and cash-out mechanics advertised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Promotions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promotions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27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Free-credit and bonus acquisition offers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Marketing &amp; Acquisition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marketing_acquisition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25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Win-rate and payout claims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Affiliate &amp; Agent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affiliate_agent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Affiliate, agent or referral structure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Vague-Evasion Terms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vague_evasion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Deliberate avoidance of explicit gambling vocabulary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Abbreviations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abbreviations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Provider or network branding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Hashtags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hashtags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Promoted through hashtag campaigns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/>
    <w:p>
      <w:pPr>
        <w:pStyle w:val="Heading2"/>
      </w:pPr>
      <w:r>
        <w:t>A.3 Matching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Thai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Case-sensitive substring match. Thai has no word delimiters, so no boundary test applies.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Latin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Case-insensitive, must sit on a token boundary ([^a-z0-9] or string edge both sides) so BET does not match betterment.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Mixed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Substring match, e.g. สล็อต pg.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Hashtag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 the full string including #, then strip the # and re-run the remainder against the product categories, so #สล็อต also scores Slots.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Two-letter abbreviations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PG PP FC XO SA WM AG AE count only when the token stands alone or sits at a separator inside a domain stem (pg-slot, slotxo, /pg/). High false-positive risk.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Cross-category collisions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/>
    <w:p>
      <w:pPr>
        <w:pStyle w:val="Heading2"/>
      </w:pPr>
      <w:r>
        <w:t>A.4 Heat map axes</w:t>
      </w:r>
    </w:p>
    <w:p>
      <w:r>
        <w:rPr>
          <w:sz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Keyword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Signal tag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Brand cluster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Label orientation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Row / column order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Descending total on each axis.</w:t>
            </w:r>
          </w:p>
        </w:tc>
      </w:tr>
    </w:tbl>
    <w:p/>
    <w:p>
      <w:r>
        <w:rPr>
          <w:sz w:val="16"/>
        </w:rPr>
        <w:t>Fill guide. Status cell: Confirmed · Pending · Dismissed. Confidence cell: High · Medium · Low. No numeric score is ever shown. Duplicate a record block for each additional record; the heading carries its title of classification.</w:t>
      </w:r>
    </w:p>
    <w:p>
      <w:r>
        <w:rPr>
          <w:sz w:val="15"/>
        </w:rPr>
        <w:t>SICPADetect · Ministry of Digital Economy and Society, Thailand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SICPADetect · Ministry of Digital Economy and Society, Thailand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Site Classification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Noto Sans Thai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41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41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