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before="0"/>
        <w:jc w:val="right"/>
      </w:pPr>
      <w:r>
        <w:rPr>
          <w:rFonts w:cs="Tahoma"/>
          <w:b w:val="0"/>
          <w:i w:val="0"/>
          <w:color w:val="5A6B7D"/>
          <w:sz w:val="20"/>
        </w:rPr>
        <w:t>Ministry of Digital Economy and Society, Thailand</w:t>
      </w:r>
    </w:p>
    <w:p>
      <w:pPr>
        <w:spacing w:after="160" w:before="0"/>
      </w:pPr>
      <w:r>
        <w:rPr>
          <w:rFonts w:cs="Tahoma"/>
          <w:b/>
          <w:i w:val="0"/>
          <w:color w:val="1F3F63"/>
          <w:sz w:val="60"/>
        </w:rPr>
        <w:t>Data Insights &amp; Patterns</w:t>
      </w:r>
    </w:p>
    <w:p>
      <w:pPr>
        <w:spacing w:after="1200" w:before="0"/>
      </w:pPr>
      <w:r>
        <w:rPr>
          <w:rFonts w:cs="Tahoma"/>
          <w:b w:val="0"/>
          <w:i w:val="0"/>
          <w:color w:val="5A6B7D"/>
          <w:sz w:val="26"/>
        </w:rPr>
        <w:t>21,978 URLs · 4 Sep – 5 Oct 2026</w:t>
      </w:r>
    </w:p>
    <w:p>
      <w:pPr>
        <w:spacing w:after="120" w:before="0"/>
      </w:pPr>
      <w:r>
        <w:rPr>
          <w:rFonts w:cs="Tahoma"/>
          <w:b w:val="0"/>
          <w:i w:val="0"/>
          <w:sz w:val="20"/>
        </w:rPr>
      </w:r>
      <w:r>
        <w:rPr>
          <w:b/>
          <w:color w:val="1F3F63"/>
          <w:sz w:val="20"/>
        </w:rPr>
        <w:t xml:space="preserve">Issued to   </w:t>
      </w:r>
      <w:r>
        <w:rPr>
          <w:sz w:val="20"/>
        </w:rPr>
        <w:t>Ministry of Digital Economy and Society, Thailand</w:t>
      </w:r>
    </w:p>
    <w:p>
      <w:pPr>
        <w:spacing w:after="120" w:before="0"/>
      </w:pPr>
      <w:r>
        <w:rPr>
          <w:rFonts w:cs="Tahoma"/>
          <w:b w:val="0"/>
          <w:i w:val="0"/>
          <w:sz w:val="20"/>
        </w:rPr>
      </w:r>
      <w:r>
        <w:rPr>
          <w:b/>
          <w:color w:val="1F3F63"/>
          <w:sz w:val="20"/>
        </w:rPr>
        <w:t xml:space="preserve">Prepared by   </w:t>
      </w:r>
      <w:r>
        <w:rPr>
          <w:sz w:val="20"/>
        </w:rPr>
        <w:t>SICPA SA</w:t>
      </w:r>
    </w:p>
    <w:p>
      <w:pPr>
        <w:spacing w:after="120" w:before="0"/>
      </w:pPr>
      <w:r>
        <w:rPr>
          <w:rFonts w:cs="Tahoma"/>
          <w:b w:val="0"/>
          <w:i w:val="0"/>
          <w:sz w:val="20"/>
        </w:rPr>
      </w:r>
      <w:r>
        <w:rPr>
          <w:b/>
          <w:color w:val="1F3F63"/>
          <w:sz w:val="20"/>
        </w:rPr>
        <w:t xml:space="preserve">Date of issue   </w:t>
      </w:r>
      <w:r>
        <w:rPr>
          <w:sz w:val="20"/>
        </w:rPr>
        <w:t>06/10/2026</w:t>
      </w:r>
    </w:p>
    <w:p>
      <w:pPr>
        <w:spacing w:after="120" w:before="0"/>
      </w:pPr>
      <w:r>
        <w:rPr>
          <w:rFonts w:cs="Tahoma"/>
          <w:b w:val="0"/>
          <w:i w:val="0"/>
          <w:sz w:val="20"/>
        </w:rPr>
      </w:r>
      <w:r>
        <w:rPr>
          <w:b/>
          <w:color w:val="1F3F63"/>
          <w:sz w:val="20"/>
        </w:rPr>
        <w:t xml:space="preserve">Source system   </w:t>
      </w:r>
      <w:r>
        <w:rPr>
          <w:sz w:val="20"/>
        </w:rPr>
        <w:t>SICPADetect, keyword lexicon V1</w:t>
      </w:r>
    </w:p>
    <w:p>
      <w:r>
        <w:br w:type="page"/>
      </w:r>
    </w:p>
    <w:p>
      <w:pPr>
        <w:spacing w:after="0"/>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pPr>
            <w:r>
              <w:t>Contents</w:t>
            </w:r>
          </w:p>
          <w:p>
            <w:pPr>
              <w:tabs>
                <w:tab w:pos="7937" w:val="right" w:leader="dot"/>
              </w:tabs>
              <w:spacing w:after="30" w:before="0"/>
              <w:ind w:left="340"/>
            </w:pPr>
            <w:r>
              <w:rPr>
                <w:rFonts w:cs="Tahoma"/>
                <w:b w:val="0"/>
                <w:sz w:val="19"/>
              </w:rPr>
              <w:t>Executive summary</w:t>
            </w:r>
            <w:r>
              <w:rPr>
                <w:sz w:val="19"/>
              </w:rPr>
              <w:tab/>
              <w:t>3</w:t>
            </w:r>
          </w:p>
          <w:p>
            <w:pPr>
              <w:tabs>
                <w:tab w:pos="7937" w:val="right" w:leader="dot"/>
              </w:tabs>
              <w:spacing w:after="30" w:before="100"/>
              <w:ind w:left="0"/>
            </w:pPr>
            <w:r>
              <w:rPr>
                <w:rFonts w:cs="Tahoma"/>
                <w:b/>
                <w:sz w:val="20"/>
              </w:rPr>
              <w:t>Model Insights</w:t>
            </w:r>
            <w:r>
              <w:rPr>
                <w:sz w:val="19"/>
              </w:rPr>
              <w:tab/>
              <w:t>4</w:t>
            </w:r>
          </w:p>
          <w:p>
            <w:pPr>
              <w:tabs>
                <w:tab w:pos="7937" w:val="right" w:leader="dot"/>
              </w:tabs>
              <w:spacing w:after="30" w:before="0"/>
              <w:ind w:left="340"/>
            </w:pPr>
            <w:r>
              <w:rPr>
                <w:rFonts w:cs="Tahoma"/>
                <w:b w:val="0"/>
                <w:sz w:val="19"/>
              </w:rPr>
              <w:t>Introduction</w:t>
            </w:r>
            <w:r>
              <w:rPr>
                <w:sz w:val="19"/>
              </w:rPr>
              <w:tab/>
              <w:t>4</w:t>
            </w:r>
          </w:p>
          <w:p>
            <w:pPr>
              <w:tabs>
                <w:tab w:pos="7937" w:val="right" w:leader="dot"/>
              </w:tabs>
              <w:spacing w:after="30" w:before="0"/>
              <w:ind w:left="340"/>
            </w:pPr>
            <w:r>
              <w:rPr>
                <w:rFonts w:cs="Tahoma"/>
                <w:b w:val="0"/>
                <w:sz w:val="19"/>
              </w:rPr>
              <w:t>Insights</w:t>
            </w:r>
            <w:r>
              <w:rPr>
                <w:sz w:val="19"/>
              </w:rPr>
              <w:tab/>
              <w:t>4</w:t>
            </w:r>
          </w:p>
          <w:p>
            <w:pPr>
              <w:tabs>
                <w:tab w:pos="7937" w:val="right" w:leader="dot"/>
              </w:tabs>
              <w:spacing w:after="30" w:before="0"/>
              <w:ind w:left="340"/>
            </w:pPr>
            <w:r>
              <w:rPr>
                <w:rFonts w:cs="Tahoma"/>
                <w:b w:val="0"/>
                <w:sz w:val="19"/>
              </w:rPr>
              <w:t>Performance</w:t>
            </w:r>
            <w:r>
              <w:rPr>
                <w:sz w:val="19"/>
              </w:rPr>
              <w:tab/>
              <w:t>4</w:t>
            </w:r>
          </w:p>
          <w:p>
            <w:pPr>
              <w:tabs>
                <w:tab w:pos="7937" w:val="right" w:leader="dot"/>
              </w:tabs>
              <w:spacing w:after="30" w:before="100"/>
              <w:ind w:left="0"/>
            </w:pPr>
            <w:r>
              <w:rPr>
                <w:rFonts w:cs="Tahoma"/>
                <w:b/>
                <w:sz w:val="20"/>
              </w:rPr>
              <w:t>The numbers</w:t>
            </w:r>
            <w:r>
              <w:rPr>
                <w:sz w:val="19"/>
              </w:rPr>
              <w:tab/>
              <w:t>5</w:t>
            </w:r>
          </w:p>
          <w:p>
            <w:pPr>
              <w:tabs>
                <w:tab w:pos="7937" w:val="right" w:leader="dot"/>
              </w:tabs>
              <w:spacing w:after="30" w:before="0"/>
              <w:ind w:left="340"/>
            </w:pPr>
            <w:r>
              <w:rPr>
                <w:rFonts w:cs="Tahoma"/>
                <w:b w:val="0"/>
                <w:sz w:val="19"/>
              </w:rPr>
              <w:t>Key metrics</w:t>
            </w:r>
            <w:r>
              <w:rPr>
                <w:sz w:val="19"/>
              </w:rPr>
              <w:tab/>
              <w:t>5</w:t>
            </w:r>
          </w:p>
          <w:p>
            <w:pPr>
              <w:tabs>
                <w:tab w:pos="7937" w:val="right" w:leader="dot"/>
              </w:tabs>
              <w:spacing w:after="30" w:before="0"/>
              <w:ind w:left="340"/>
            </w:pPr>
            <w:r>
              <w:rPr>
                <w:rFonts w:cs="Tahoma"/>
                <w:b w:val="0"/>
                <w:sz w:val="19"/>
              </w:rPr>
              <w:t>URLs analyzed per day</w:t>
            </w:r>
            <w:r>
              <w:rPr>
                <w:sz w:val="19"/>
              </w:rPr>
              <w:tab/>
              <w:t>5</w:t>
            </w:r>
          </w:p>
          <w:p>
            <w:pPr>
              <w:tabs>
                <w:tab w:pos="7937" w:val="right" w:leader="dot"/>
              </w:tabs>
              <w:spacing w:after="30" w:before="0"/>
              <w:ind w:left="340"/>
            </w:pPr>
            <w:r>
              <w:rPr>
                <w:rFonts w:cs="Tahoma"/>
                <w:b w:val="0"/>
                <w:sz w:val="19"/>
              </w:rPr>
              <w:t>Status distribution</w:t>
            </w:r>
            <w:r>
              <w:rPr>
                <w:sz w:val="19"/>
              </w:rPr>
              <w:tab/>
              <w:t>6</w:t>
            </w:r>
          </w:p>
          <w:p>
            <w:pPr>
              <w:tabs>
                <w:tab w:pos="7937" w:val="right" w:leader="dot"/>
              </w:tabs>
              <w:spacing w:after="30" w:before="0"/>
              <w:ind w:left="340"/>
            </w:pPr>
            <w:r>
              <w:rPr>
                <w:rFonts w:cs="Tahoma"/>
                <w:b w:val="0"/>
                <w:sz w:val="19"/>
              </w:rPr>
              <w:t>Top 10 URL suffixes</w:t>
            </w:r>
            <w:r>
              <w:rPr>
                <w:sz w:val="19"/>
              </w:rPr>
              <w:tab/>
              <w:t>7</w:t>
            </w:r>
          </w:p>
          <w:p>
            <w:pPr>
              <w:tabs>
                <w:tab w:pos="7937" w:val="right" w:leader="dot"/>
              </w:tabs>
              <w:spacing w:after="30" w:before="100"/>
              <w:ind w:left="0"/>
            </w:pPr>
            <w:r>
              <w:rPr>
                <w:rFonts w:cs="Tahoma"/>
                <w:b/>
                <w:sz w:val="20"/>
              </w:rPr>
              <w:t>Subcategories</w:t>
            </w:r>
            <w:r>
              <w:rPr>
                <w:sz w:val="19"/>
              </w:rPr>
              <w:tab/>
              <w:t>8</w:t>
            </w:r>
          </w:p>
          <w:p>
            <w:pPr>
              <w:tabs>
                <w:tab w:pos="7937" w:val="right" w:leader="dot"/>
              </w:tabs>
              <w:spacing w:after="30" w:before="0"/>
              <w:ind w:left="340"/>
            </w:pPr>
            <w:r>
              <w:rPr>
                <w:rFonts w:cs="Tahoma"/>
                <w:b w:val="0"/>
                <w:sz w:val="19"/>
              </w:rPr>
              <w:t>Gambling sites by product subcategory</w:t>
            </w:r>
            <w:r>
              <w:rPr>
                <w:sz w:val="19"/>
              </w:rPr>
              <w:tab/>
              <w:t>8</w:t>
            </w:r>
          </w:p>
          <w:p>
            <w:pPr>
              <w:tabs>
                <w:tab w:pos="7937" w:val="right" w:leader="dot"/>
              </w:tabs>
              <w:spacing w:after="30" w:before="0"/>
              <w:ind w:left="340"/>
            </w:pPr>
            <w:r>
              <w:rPr>
                <w:rFonts w:cs="Tahoma"/>
                <w:b w:val="0"/>
                <w:sz w:val="19"/>
              </w:rPr>
              <w:t>Assignment method by subcategory</w:t>
            </w:r>
            <w:r>
              <w:rPr>
                <w:sz w:val="19"/>
              </w:rPr>
              <w:tab/>
              <w:t>9</w:t>
            </w:r>
          </w:p>
          <w:p>
            <w:pPr>
              <w:tabs>
                <w:tab w:pos="7937" w:val="right" w:leader="dot"/>
              </w:tabs>
              <w:spacing w:after="30" w:before="0"/>
              <w:ind w:left="340"/>
            </w:pPr>
            <w:r>
              <w:rPr>
                <w:rFonts w:cs="Tahoma"/>
                <w:b w:val="0"/>
                <w:sz w:val="19"/>
              </w:rPr>
              <w:t>Subcategory table</w:t>
            </w:r>
            <w:r>
              <w:rPr>
                <w:sz w:val="19"/>
              </w:rPr>
              <w:tab/>
              <w:t>10</w:t>
            </w:r>
          </w:p>
          <w:p>
            <w:pPr>
              <w:tabs>
                <w:tab w:pos="7937" w:val="right" w:leader="dot"/>
              </w:tabs>
              <w:spacing w:after="30" w:before="0"/>
              <w:ind w:left="340"/>
            </w:pPr>
            <w:r>
              <w:rPr>
                <w:rFonts w:cs="Tahoma"/>
                <w:b w:val="0"/>
                <w:sz w:val="19"/>
              </w:rPr>
              <w:t>Heat map: keyword by subcategory</w:t>
            </w:r>
            <w:r>
              <w:rPr>
                <w:sz w:val="19"/>
              </w:rPr>
              <w:tab/>
              <w:t>11</w:t>
            </w:r>
          </w:p>
          <w:p>
            <w:pPr>
              <w:tabs>
                <w:tab w:pos="7937" w:val="right" w:leader="dot"/>
              </w:tabs>
              <w:spacing w:after="30" w:before="0"/>
              <w:ind w:left="340"/>
            </w:pPr>
            <w:r>
              <w:rPr>
                <w:rFonts w:cs="Tahoma"/>
                <w:b w:val="0"/>
                <w:sz w:val="19"/>
              </w:rPr>
              <w:t>Heat map: signal tag by subcategory</w:t>
            </w:r>
            <w:r>
              <w:rPr>
                <w:sz w:val="19"/>
              </w:rPr>
              <w:tab/>
              <w:t>12</w:t>
            </w:r>
          </w:p>
          <w:p>
            <w:pPr>
              <w:tabs>
                <w:tab w:pos="7937" w:val="right" w:leader="dot"/>
              </w:tabs>
              <w:spacing w:after="30" w:before="100"/>
              <w:ind w:left="0"/>
            </w:pPr>
            <w:r>
              <w:rPr>
                <w:rFonts w:cs="Tahoma"/>
                <w:b/>
                <w:sz w:val="20"/>
              </w:rPr>
              <w:t>Brands and clustering</w:t>
            </w:r>
            <w:r>
              <w:rPr>
                <w:sz w:val="19"/>
              </w:rPr>
              <w:tab/>
              <w:t>12</w:t>
            </w:r>
          </w:p>
          <w:p>
            <w:pPr>
              <w:tabs>
                <w:tab w:pos="7937" w:val="right" w:leader="dot"/>
              </w:tabs>
              <w:spacing w:after="30" w:before="0"/>
              <w:ind w:left="340"/>
            </w:pPr>
            <w:r>
              <w:rPr>
                <w:rFonts w:cs="Tahoma"/>
                <w:b w:val="0"/>
                <w:sz w:val="19"/>
              </w:rPr>
              <w:t>What brand clusters are</w:t>
            </w:r>
            <w:r>
              <w:rPr>
                <w:sz w:val="19"/>
              </w:rPr>
              <w:tab/>
              <w:t>12</w:t>
            </w:r>
          </w:p>
          <w:p>
            <w:pPr>
              <w:tabs>
                <w:tab w:pos="7937" w:val="right" w:leader="dot"/>
              </w:tabs>
              <w:spacing w:after="30" w:before="0"/>
              <w:ind w:left="340"/>
            </w:pPr>
            <w:r>
              <w:rPr>
                <w:rFonts w:cs="Tahoma"/>
                <w:b w:val="0"/>
                <w:sz w:val="19"/>
              </w:rPr>
              <w:t>Cluster metrics</w:t>
            </w:r>
            <w:r>
              <w:rPr>
                <w:sz w:val="19"/>
              </w:rPr>
              <w:tab/>
              <w:t>13</w:t>
            </w:r>
          </w:p>
          <w:p>
            <w:pPr>
              <w:tabs>
                <w:tab w:pos="7937" w:val="right" w:leader="dot"/>
              </w:tabs>
              <w:spacing w:after="30" w:before="0"/>
              <w:ind w:left="340"/>
            </w:pPr>
            <w:r>
              <w:rPr>
                <w:rFonts w:cs="Tahoma"/>
                <w:b w:val="0"/>
                <w:sz w:val="19"/>
              </w:rPr>
              <w:t>Top 15 brand clusters by URL count</w:t>
            </w:r>
            <w:r>
              <w:rPr>
                <w:sz w:val="19"/>
              </w:rPr>
              <w:tab/>
              <w:t>13</w:t>
            </w:r>
          </w:p>
          <w:p>
            <w:pPr>
              <w:tabs>
                <w:tab w:pos="7937" w:val="right" w:leader="dot"/>
              </w:tabs>
              <w:spacing w:after="30" w:before="0"/>
              <w:ind w:left="340"/>
            </w:pPr>
            <w:r>
              <w:rPr>
                <w:rFonts w:cs="Tahoma"/>
                <w:b w:val="0"/>
                <w:sz w:val="19"/>
              </w:rPr>
              <w:t>Heat map: brand cluster by subcategory</w:t>
            </w:r>
            <w:r>
              <w:rPr>
                <w:sz w:val="19"/>
              </w:rPr>
              <w:tab/>
              <w:t>14</w:t>
            </w:r>
          </w:p>
          <w:p>
            <w:pPr>
              <w:tabs>
                <w:tab w:pos="7937" w:val="right" w:leader="dot"/>
              </w:tabs>
              <w:spacing w:after="30" w:before="0"/>
              <w:ind w:left="340"/>
            </w:pPr>
            <w:r>
              <w:rPr>
                <w:rFonts w:cs="Tahoma"/>
                <w:b w:val="0"/>
                <w:sz w:val="19"/>
              </w:rPr>
              <w:t>Cluster expansion: a3game</w:t>
            </w:r>
            <w:r>
              <w:rPr>
                <w:sz w:val="19"/>
              </w:rPr>
              <w:tab/>
              <w:t>15</w:t>
            </w:r>
          </w:p>
          <w:p>
            <w:pPr>
              <w:tabs>
                <w:tab w:pos="7937" w:val="right" w:leader="dot"/>
              </w:tabs>
              <w:spacing w:after="30" w:before="0"/>
              <w:ind w:left="340"/>
            </w:pPr>
            <w:r>
              <w:rPr>
                <w:rFonts w:cs="Tahoma"/>
                <w:b w:val="0"/>
                <w:sz w:val="19"/>
              </w:rPr>
              <w:t>Clusters spanning multiple subcategories</w:t>
            </w:r>
            <w:r>
              <w:rPr>
                <w:sz w:val="19"/>
              </w:rPr>
              <w:tab/>
              <w:t>16</w:t>
            </w:r>
          </w:p>
          <w:p>
            <w:pPr>
              <w:tabs>
                <w:tab w:pos="7937" w:val="right" w:leader="dot"/>
              </w:tabs>
              <w:spacing w:after="30" w:before="0"/>
              <w:ind w:left="340"/>
            </w:pPr>
            <w:r>
              <w:rPr>
                <w:rFonts w:cs="Tahoma"/>
                <w:b w:val="0"/>
                <w:sz w:val="19"/>
              </w:rPr>
              <w:t>Clusters rotating top level domains</w:t>
            </w:r>
            <w:r>
              <w:rPr>
                <w:sz w:val="19"/>
              </w:rPr>
              <w:tab/>
              <w:t>17</w:t>
            </w:r>
          </w:p>
          <w:p>
            <w:pPr>
              <w:tabs>
                <w:tab w:pos="7937" w:val="right" w:leader="dot"/>
              </w:tabs>
              <w:spacing w:after="30" w:before="0"/>
              <w:ind w:left="340"/>
            </w:pPr>
            <w:r>
              <w:rPr>
                <w:rFonts w:cs="Tahoma"/>
                <w:b w:val="0"/>
                <w:sz w:val="19"/>
              </w:rPr>
              <w:t>Possible operator linkage</w:t>
            </w:r>
            <w:r>
              <w:rPr>
                <w:sz w:val="19"/>
              </w:rPr>
              <w:tab/>
              <w:t>18</w:t>
            </w:r>
          </w:p>
          <w:p>
            <w:pPr>
              <w:tabs>
                <w:tab w:pos="7937" w:val="right" w:leader="dot"/>
              </w:tabs>
              <w:spacing w:after="30" w:before="0"/>
              <w:ind w:left="340"/>
            </w:pPr>
            <w:r>
              <w:rPr>
                <w:rFonts w:cs="Tahoma"/>
                <w:b w:val="0"/>
                <w:sz w:val="19"/>
              </w:rPr>
              <w:t>Naming conventions</w:t>
            </w:r>
            <w:r>
              <w:rPr>
                <w:sz w:val="19"/>
              </w:rPr>
              <w:tab/>
              <w:t>18</w:t>
            </w:r>
          </w:p>
          <w:p>
            <w:pPr>
              <w:tabs>
                <w:tab w:pos="7937" w:val="right" w:leader="dot"/>
              </w:tabs>
              <w:spacing w:after="30" w:before="100"/>
              <w:ind w:left="0"/>
            </w:pPr>
            <w:r>
              <w:rPr>
                <w:rFonts w:cs="Tahoma"/>
                <w:b/>
                <w:sz w:val="20"/>
              </w:rPr>
              <w:t>Ranking</w:t>
            </w:r>
            <w:r>
              <w:rPr>
                <w:sz w:val="19"/>
              </w:rPr>
              <w:tab/>
              <w:t>19</w:t>
            </w:r>
          </w:p>
          <w:p>
            <w:pPr>
              <w:tabs>
                <w:tab w:pos="7937" w:val="right" w:leader="dot"/>
              </w:tabs>
              <w:spacing w:after="30" w:before="0"/>
              <w:ind w:left="340"/>
            </w:pPr>
            <w:r>
              <w:rPr>
                <w:rFonts w:cs="Tahoma"/>
                <w:b w:val="0"/>
                <w:sz w:val="19"/>
              </w:rPr>
              <w:t>Gambling ranking</w:t>
            </w:r>
            <w:r>
              <w:rPr>
                <w:sz w:val="19"/>
              </w:rPr>
              <w:tab/>
              <w:t>19</w:t>
            </w:r>
          </w:p>
          <w:p>
            <w:pPr>
              <w:tabs>
                <w:tab w:pos="7937" w:val="right" w:leader="dot"/>
              </w:tabs>
              <w:spacing w:after="30" w:before="100"/>
              <w:ind w:left="0"/>
            </w:pPr>
            <w:r>
              <w:rPr>
                <w:rFonts w:cs="Tahoma"/>
                <w:b/>
                <w:sz w:val="20"/>
              </w:rPr>
              <w:t>Key insights</w:t>
            </w:r>
            <w:r>
              <w:rPr>
                <w:sz w:val="19"/>
              </w:rPr>
              <w:tab/>
              <w:t>19</w:t>
            </w:r>
          </w:p>
          <w:p>
            <w:pPr>
              <w:tabs>
                <w:tab w:pos="7937" w:val="right" w:leader="dot"/>
              </w:tabs>
              <w:spacing w:after="30" w:before="0"/>
              <w:ind w:left="340"/>
            </w:pPr>
            <w:r>
              <w:rPr>
                <w:rFonts w:cs="Tahoma"/>
                <w:b w:val="0"/>
                <w:sz w:val="19"/>
              </w:rPr>
              <w:t>Scale of the analysis</w:t>
            </w:r>
            <w:r>
              <w:rPr>
                <w:sz w:val="19"/>
              </w:rPr>
              <w:tab/>
              <w:t>19</w:t>
            </w:r>
          </w:p>
          <w:p>
            <w:pPr>
              <w:tabs>
                <w:tab w:pos="7937" w:val="right" w:leader="dot"/>
              </w:tabs>
              <w:spacing w:after="30" w:before="0"/>
              <w:ind w:left="340"/>
            </w:pPr>
            <w:r>
              <w:rPr>
                <w:rFonts w:cs="Tahoma"/>
                <w:b w:val="0"/>
                <w:sz w:val="19"/>
              </w:rPr>
              <w:t>What is being offered</w:t>
            </w:r>
            <w:r>
              <w:rPr>
                <w:sz w:val="19"/>
              </w:rPr>
              <w:tab/>
              <w:t>20</w:t>
            </w:r>
          </w:p>
          <w:p>
            <w:pPr>
              <w:tabs>
                <w:tab w:pos="7937" w:val="right" w:leader="dot"/>
              </w:tabs>
              <w:spacing w:after="30" w:before="0"/>
              <w:ind w:left="340"/>
            </w:pPr>
            <w:r>
              <w:rPr>
                <w:rFonts w:cs="Tahoma"/>
                <w:b w:val="0"/>
                <w:sz w:val="19"/>
              </w:rPr>
              <w:t>Brand clustering</w:t>
            </w:r>
            <w:r>
              <w:rPr>
                <w:sz w:val="19"/>
              </w:rPr>
              <w:tab/>
              <w:t>20</w:t>
            </w:r>
          </w:p>
          <w:p>
            <w:pPr>
              <w:tabs>
                <w:tab w:pos="7937" w:val="right" w:leader="dot"/>
              </w:tabs>
              <w:spacing w:after="30" w:before="0"/>
              <w:ind w:left="340"/>
            </w:pPr>
            <w:r>
              <w:rPr>
                <w:rFonts w:cs="Tahoma"/>
                <w:b w:val="0"/>
                <w:sz w:val="19"/>
              </w:rPr>
              <w:t>How the estate is grown and marketed</w:t>
            </w:r>
            <w:r>
              <w:rPr>
                <w:sz w:val="19"/>
              </w:rPr>
              <w:tab/>
              <w:t>20</w:t>
            </w:r>
          </w:p>
          <w:p>
            <w:pPr>
              <w:tabs>
                <w:tab w:pos="7937" w:val="right" w:leader="dot"/>
              </w:tabs>
              <w:spacing w:after="30" w:before="0"/>
              <w:ind w:left="340"/>
            </w:pPr>
            <w:r>
              <w:rPr>
                <w:rFonts w:cs="Tahoma"/>
                <w:b w:val="0"/>
                <w:sz w:val="19"/>
              </w:rPr>
              <w:t>Enforcement position</w:t>
            </w:r>
            <w:r>
              <w:rPr>
                <w:sz w:val="19"/>
              </w:rPr>
              <w:tab/>
              <w:t>21</w:t>
            </w:r>
          </w:p>
        </w:tc>
      </w:tr>
    </w:tbl>
    <w:p>
      <w:pPr>
        <w:spacing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Executive summary</w:t>
            </w:r>
          </w:p>
          <w:p>
            <w:pPr>
              <w:spacing w:after="60" w:before="0"/>
            </w:pPr>
            <w:r>
              <w:rPr>
                <w:rFonts w:cs="Tahoma"/>
                <w:b/>
                <w:i w:val="0"/>
                <w:color w:val="1F3F63"/>
                <w:sz w:val="22"/>
              </w:rPr>
              <w:t>Insights and trends</w:t>
            </w:r>
          </w:p>
          <w:p>
            <w:pPr>
              <w:spacing w:after="80" w:before="0"/>
            </w:pPr>
            <w:r>
              <w:rPr>
                <w:rFonts w:cs="Tahoma"/>
                <w:b w:val="0"/>
                <w:i w:val="0"/>
                <w:sz w:val="20"/>
              </w:rPr>
              <w:t>The estate analysed holds 21,978 URLs updated over 32 days, and 9,858 of them are gambling sites.</w:t>
            </w:r>
          </w:p>
          <w:p>
            <w:pPr>
              <w:spacing w:after="80" w:before="0"/>
            </w:pPr>
            <w:r>
              <w:rPr>
                <w:rFonts w:cs="Tahoma"/>
                <w:b w:val="0"/>
                <w:i w:val="0"/>
                <w:sz w:val="20"/>
              </w:rPr>
              <w:t>Casino, Slots and Football Betting are the leading product types. Nearly all subcategory assignments rest on reasoning inference rather than lexicon matches, so subcategory figures are indicative only.</w:t>
            </w:r>
          </w:p>
          <w:p>
            <w:pPr>
              <w:spacing w:after="80" w:before="0"/>
            </w:pPr>
            <w:r>
              <w:rPr>
                <w:rFonts w:cs="Tahoma"/>
                <w:b w:val="0"/>
                <w:i w:val="0"/>
                <w:sz w:val="20"/>
              </w:rPr>
              <w:t>Operators are spread across many brands. 90 brand clusters cover half of the gambling URLs, and the largest cluster, a3game, holds 507 domains.</w:t>
            </w:r>
          </w:p>
          <w:p>
            <w:pPr>
              <w:spacing w:after="80" w:before="0"/>
            </w:pPr>
            <w:r>
              <w:rPr>
                <w:rFonts w:cs="Tahoma"/>
                <w:b w:val="0"/>
                <w:i w:val="0"/>
                <w:sz w:val="20"/>
              </w:rPr>
              <w:t>Abbreviations is the most common signal tag. Promotional and evasion vocabulary is rare in the descriptions recorded.</w:t>
            </w:r>
          </w:p>
          <w:p>
            <w:pPr>
              <w:spacing w:after="80" w:before="0"/>
            </w:pPr>
            <w:r>
              <w:rPr>
                <w:rFonts w:cs="Tahoma"/>
                <w:b w:val="0"/>
                <w:i w:val="0"/>
                <w:sz w:val="20"/>
              </w:rPr>
              <w:t>7 pages already show regulatory blocking indicators, so most of the set appears to be before any enforcement action.</w:t>
            </w:r>
          </w:p>
          <w:p>
            <w:pPr>
              <w:spacing w:after="80" w:before="0"/>
            </w:pPr>
            <w:r>
              <w:rPr>
                <w:rFonts w:cs="Tahoma"/>
                <w:b w:val="0"/>
                <w:i w:val="0"/>
                <w:sz w:val="20"/>
              </w:rPr>
              <w:t>The daily count of URLs analysed is uneven across the evaluation period, with two separate peaks, so no overall direction is stated. No gambling site in this sample carries a numeric rank, so no ranked site with Thai audience evidence is listed.</w:t>
            </w:r>
          </w:p>
          <w:p>
            <w:pPr>
              <w:spacing w:after="60" w:before="120"/>
            </w:pPr>
            <w:r>
              <w:rPr>
                <w:rFonts w:cs="Tahoma"/>
                <w:b/>
                <w:i w:val="0"/>
                <w:color w:val="1F3F63"/>
                <w:sz w:val="22"/>
              </w:rPr>
              <w:t>Key figures</w:t>
            </w:r>
          </w:p>
          <w:tbl>
            <w:tblPr>
              <w:tblW w:type="auto" w:w="0"/>
              <w:jc w:val="center"/>
              <w:tblLayout w:type="fixed"/>
              <w:tblLook w:firstColumn="1" w:firstRow="1" w:lastColumn="0" w:lastRow="0" w:noHBand="0" w:noVBand="1" w:val="04A0"/>
              <w:tblLayout w:type="fixed"/>
            </w:tblPr>
            <w:tblGrid>
              <w:gridCol w:w="4252"/>
              <w:gridCol w:w="3685"/>
            </w:tblGrid>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8"/>
                    </w:rPr>
                    <w:t>Figure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8"/>
                    </w:rPr>
                    <w:t>Value</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URLs analysed</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21,978</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Gambling sites and share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9,858 (44.9%)</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Not gambling and unreachable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12,120 not gambling; 0 unreachable</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Brand clusters identified</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2,064; 1,073 hold more than one domain</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Clusters needed to cover half of gambling URLs</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90</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Largest cluster and its size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a3game; 507 domains</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Dominant product subcategory and share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Casino; 29.0%</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Most common signal tag and share</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Abbreviations; 34.4%</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Sites showing blocking indicators</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7</w:t>
                  </w:r>
                </w:p>
              </w:tc>
            </w:tr>
            <w:tr>
              <w:trPr>
                <w:cantSplit/>
              </w:trPr>
              <w:tc>
                <w:tcPr>
                  <w:tcW w:type="dxa" w:w="425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Keyword versus inferred split</w:t>
                  </w:r>
                </w:p>
              </w:tc>
              <w:tc>
                <w:tcPr>
                  <w:tcW w:type="dxa" w:w="368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8"/>
                    </w:rPr>
                    <w:t>4.0% keyword; 96.0% inferred</w:t>
                  </w:r>
                </w:p>
              </w:tc>
            </w:tr>
          </w:tbl>
          <w:p/>
          <w:p>
            <w:pPr>
              <w:spacing w:after="0" w:line="80" w:lineRule="exact"/>
            </w:pPr>
          </w:p>
        </w:tc>
      </w:tr>
    </w:tbl>
    <w:p>
      <w:pPr>
        <w:spacing w:after="0" w:before="0" w:line="340" w:lineRule="exact"/>
      </w:pPr>
    </w:p>
    <w:p>
      <w:pPr>
        <w:pStyle w:val="Heading1"/>
      </w:pPr>
      <w:r>
        <w:rPr>
          <w:rFonts w:cs="Tahoma"/>
        </w:rPr>
        <w:t>Model Insights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Introduction</w:t>
            </w:r>
          </w:p>
          <w:p>
            <w:pPr>
              <w:spacing w:before="0" w:after="0" w:line="230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Insights</w:t>
            </w:r>
          </w:p>
          <w:p>
            <w:pPr>
              <w:spacing w:before="0" w:after="0" w:line="230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Performance</w:t>
            </w:r>
          </w:p>
          <w:p>
            <w:pPr>
              <w:spacing w:before="0" w:after="0" w:line="2300" w:lineRule="exact"/>
            </w:pPr>
          </w:p>
        </w:tc>
      </w:tr>
    </w:tbl>
    <w:p>
      <w:pPr>
        <w:spacing w:after="0" w:before="0" w:line="340" w:lineRule="exact"/>
      </w:pPr>
    </w:p>
    <w:p>
      <w:pPr>
        <w:pStyle w:val="Heading1"/>
      </w:pPr>
      <w:r>
        <w:rPr>
          <w:rFonts w:cs="Tahoma"/>
        </w:rPr>
        <w:t>The numbers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Key metrics</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rPr>
                <w:cantSplit/>
              </w:trPr>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21,978</w:t>
                  </w:r>
                </w:p>
                <w:p>
                  <w:pPr>
                    <w:spacing w:after="0" w:before="0"/>
                  </w:pPr>
                  <w:r>
                    <w:rPr>
                      <w:rFonts w:cs="Tahoma"/>
                      <w:b w:val="0"/>
                      <w:i w:val="0"/>
                      <w:color w:val="5A6B7D"/>
                      <w:sz w:val="17"/>
                    </w:rPr>
                    <w:t>Total URLs analyzed</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9,858</w:t>
                  </w:r>
                </w:p>
                <w:p>
                  <w:pPr>
                    <w:spacing w:after="0" w:before="0"/>
                  </w:pPr>
                  <w:r>
                    <w:rPr>
                      <w:rFonts w:cs="Tahoma"/>
                      <w:b w:val="0"/>
                      <w:i w:val="0"/>
                      <w:color w:val="5A6B7D"/>
                      <w:sz w:val="17"/>
                    </w:rPr>
                    <w:t>Gambling sites</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2,064</w:t>
                  </w:r>
                </w:p>
                <w:p>
                  <w:pPr>
                    <w:spacing w:after="0" w:before="0"/>
                  </w:pPr>
                  <w:r>
                    <w:rPr>
                      <w:rFonts w:cs="Tahoma"/>
                      <w:b w:val="0"/>
                      <w:i w:val="0"/>
                      <w:color w:val="5A6B7D"/>
                      <w:sz w:val="17"/>
                    </w:rPr>
                    <w:t>Brand clusters identified</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32 days</w:t>
                  </w:r>
                </w:p>
                <w:p>
                  <w:pPr>
                    <w:spacing w:after="0" w:before="0"/>
                  </w:pPr>
                  <w:r>
                    <w:rPr>
                      <w:rFonts w:cs="Tahoma"/>
                      <w:b w:val="0"/>
                      <w:i w:val="0"/>
                      <w:color w:val="5A6B7D"/>
                      <w:sz w:val="17"/>
                    </w:rPr>
                    <w:t>Evaluation period, 2026-09-04 → 2026-10-05</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URLs analyzed per day</w:t>
            </w:r>
          </w:p>
          <w:p>
            <w:pPr>
              <w:keepNext/>
              <w:spacing w:after="120" w:before="0"/>
            </w:pPr>
            <w:r>
              <w:rPr>
                <w:rFonts w:cs="Tahoma"/>
                <w:b w:val="0"/>
                <w:i w:val="0"/>
                <w:sz w:val="19"/>
              </w:rPr>
              <w:t>Daily count of URLs analysed across the evaluation period. Each point is one calendar day.</w:t>
            </w:r>
          </w:p>
          <w:p>
            <w:pPr>
              <w:spacing w:after="80"/>
              <w:jc w:val="center"/>
            </w:pPr>
            <w:r>
              <w:drawing>
                <wp:inline xmlns:a="http://schemas.openxmlformats.org/drawingml/2006/main" xmlns:pic="http://schemas.openxmlformats.org/drawingml/2006/picture">
                  <wp:extent cx="5040000" cy="2509587"/>
                  <wp:docPr id="1" name="Picture 1"/>
                  <wp:cNvGraphicFramePr>
                    <a:graphicFrameLocks noChangeAspect="1"/>
                  </wp:cNvGraphicFramePr>
                  <a:graphic>
                    <a:graphicData uri="http://schemas.openxmlformats.org/drawingml/2006/picture">
                      <pic:pic>
                        <pic:nvPicPr>
                          <pic:cNvPr id="0" name="c2.png"/>
                          <pic:cNvPicPr/>
                        </pic:nvPicPr>
                        <pic:blipFill>
                          <a:blip r:embed="rId9"/>
                          <a:stretch>
                            <a:fillRect/>
                          </a:stretch>
                        </pic:blipFill>
                        <pic:spPr>
                          <a:xfrm>
                            <a:off x="0" y="0"/>
                            <a:ext cx="5040000" cy="2509587"/>
                          </a:xfrm>
                          <a:prstGeom prst="rect"/>
                        </pic:spPr>
                      </pic:pic>
                    </a:graphicData>
                  </a:graphic>
                </wp:inline>
              </w:drawing>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Status distribution</w:t>
            </w:r>
          </w:p>
          <w:p>
            <w:pPr>
              <w:keepNext/>
              <w:spacing w:after="120" w:before="0"/>
            </w:pPr>
            <w:r>
              <w:rPr>
                <w:rFonts w:cs="Tahoma"/>
                <w:b w:val="0"/>
                <w:i w:val="0"/>
                <w:sz w:val="19"/>
              </w:rPr>
              <w:t>Share of the estate by classification status. Each segment is one status and the table beside it carries the counts.</w:t>
            </w:r>
          </w:p>
          <w:tbl>
            <w:tblPr>
              <w:tblW w:type="auto" w:w="0"/>
              <w:jc w:val="center"/>
              <w:tblLayout w:type="fixed"/>
              <w:tblLook w:firstColumn="1" w:firstRow="1" w:lastColumn="0" w:lastRow="0" w:noHBand="0" w:noVBand="1" w:val="04A0"/>
              <w:tblLayout w:type="fixed"/>
            </w:tblPr>
            <w:tblGrid>
              <w:gridCol w:w="3118"/>
              <w:gridCol w:w="4819"/>
            </w:tblGrid>
            <w:tr>
              <w:trPr>
                <w:cantSplit/>
              </w:trPr>
              <w:tc>
                <w:tcPr>
                  <w:tcW w:type="dxa" w:w="3118"/>
                  <w:tcBorders>
                    <w:top w:val="single" w:sz="2" w:color="FFFFFF" w:space="0"/>
                    <w:left w:val="single" w:sz="2" w:color="FFFFFF" w:space="0"/>
                    <w:bottom w:val="single" w:sz="2" w:color="FFFFFF" w:space="0"/>
                    <w:right w:val="single" w:sz="2" w:color="FFFFFF" w:space="0"/>
                  </w:tcBorders>
                  <w:tcMar>
                    <w:top w:w="0" w:type="dxa"/>
                    <w:left w:w="0" w:type="dxa"/>
                    <w:bottom w:w="0" w:type="dxa"/>
                    <w:right w:w="0" w:type="dxa"/>
                  </w:tcMa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c3.png"/>
                                <pic:cNvPicPr/>
                              </pic:nvPicPr>
                              <pic:blipFill>
                                <a:blip r:embed="rId10"/>
                                <a:stretch>
                                  <a:fillRect/>
                                </a:stretch>
                              </pic:blipFill>
                              <pic:spPr>
                                <a:xfrm>
                                  <a:off x="0" y="0"/>
                                  <a:ext cx="1800000" cy="1800000"/>
                                </a:xfrm>
                                <a:prstGeom prst="rect"/>
                              </pic:spPr>
                            </pic:pic>
                          </a:graphicData>
                        </a:graphic>
                      </wp:inline>
                    </w:drawing>
                  </w:r>
                </w:p>
              </w:tc>
              <w:tc>
                <w:tcPr>
                  <w:tcW w:type="dxa" w:w="4819"/>
                  <w:tcBorders>
                    <w:top w:val="single" w:sz="2" w:color="FFFFFF" w:space="0"/>
                    <w:left w:val="single" w:sz="2" w:color="FFFFFF" w:space="0"/>
                    <w:bottom w:val="single" w:sz="2" w:color="FFFFFF" w:space="0"/>
                    <w:right w:val="single" w:sz="2" w:color="FFFFFF" w:space="0"/>
                  </w:tcBorders>
                  <w:tcMar>
                    <w:top w:w="0" w:type="dxa"/>
                    <w:left w:w="0" w:type="dxa"/>
                    <w:bottom w:w="0" w:type="dxa"/>
                    <w:right w:w="0" w:type="dxa"/>
                  </w:tcMar>
                </w:tcPr>
                <w:p>
                  <w:pPr>
                    <w:spacing w:after="0"/>
                  </w:pPr>
                </w:p>
                <w:tbl>
                  <w:tblPr>
                    <w:tblW w:type="auto" w:w="0"/>
                    <w:jc w:val="center"/>
                    <w:tblLayout w:type="fixed"/>
                    <w:tblLook w:firstColumn="1" w:firstRow="1" w:lastColumn="0" w:lastRow="0" w:noHBand="0" w:noVBand="1" w:val="04A0"/>
                    <w:tblLayout w:type="fixed"/>
                  </w:tblPr>
                  <w:tblGrid>
                    <w:gridCol w:w="1984"/>
                    <w:gridCol w:w="1417"/>
                    <w:gridCol w:w="1247"/>
                  </w:tblGrid>
                  <w:tr>
                    <w:trPr>
                      <w:cantSplit/>
                    </w:trPr>
                    <w:tc>
                      <w:tcPr>
                        <w:tcW w:type="dxa" w:w="198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7"/>
                          </w:rPr>
                          <w:t>Status</w:t>
                        </w:r>
                      </w:p>
                    </w:tc>
                    <w:tc>
                      <w:tcPr>
                        <w:tcW w:type="dxa" w:w="141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Count</w:t>
                        </w:r>
                      </w:p>
                    </w:tc>
                    <w:tc>
                      <w:tcPr>
                        <w:tcW w:type="dxa" w:w="124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w:t>
                        </w:r>
                      </w:p>
                    </w:tc>
                  </w:tr>
                  <w:tr>
                    <w:trPr>
                      <w:cantSplit/>
                    </w:trPr>
                    <w:tc>
                      <w:tcPr>
                        <w:tcW w:type="dxa" w:w="198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b/>
                            <w:color w:val="9AA7B4"/>
                            <w:sz w:val="17"/>
                          </w:rPr>
                          <w:t>Not gambling</w:t>
                        </w:r>
                      </w:p>
                    </w:tc>
                    <w:tc>
                      <w:tcPr>
                        <w:tcW w:type="dxa" w:w="141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12,120</w:t>
                        </w:r>
                      </w:p>
                    </w:tc>
                    <w:tc>
                      <w:tcPr>
                        <w:tcW w:type="dxa" w:w="124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55.1%</w:t>
                        </w:r>
                      </w:p>
                    </w:tc>
                  </w:tr>
                  <w:tr>
                    <w:trPr>
                      <w:cantSplit/>
                    </w:trPr>
                    <w:tc>
                      <w:tcPr>
                        <w:tcW w:type="dxa" w:w="198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b/>
                            <w:color w:val="C0392B"/>
                            <w:sz w:val="17"/>
                          </w:rPr>
                          <w:t>Gambling</w:t>
                        </w:r>
                      </w:p>
                    </w:tc>
                    <w:tc>
                      <w:tcPr>
                        <w:tcW w:type="dxa" w:w="141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9,858</w:t>
                        </w:r>
                      </w:p>
                    </w:tc>
                    <w:tc>
                      <w:tcPr>
                        <w:tcW w:type="dxa" w:w="124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44.9%</w:t>
                        </w:r>
                      </w:p>
                    </w:tc>
                  </w:tr>
                </w:tbl>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Top 10 URL suffixes</w:t>
            </w:r>
          </w:p>
          <w:p>
            <w:pPr>
              <w:keepNext/>
              <w:spacing w:after="120" w:before="0"/>
            </w:pPr>
            <w:r>
              <w:rPr>
                <w:rFonts w:cs="Tahoma"/>
                <w:b w:val="0"/>
                <w:i w:val="0"/>
                <w:sz w:val="19"/>
              </w:rPr>
              <w:t>The ten most common URL suffixes in the estate. Bar length is the total count and the table separates the gambling share.</w:t>
            </w:r>
          </w:p>
          <w:p>
            <w:pPr>
              <w:spacing w:after="80"/>
              <w:jc w:val="center"/>
            </w:pPr>
            <w:r>
              <w:drawing>
                <wp:inline xmlns:a="http://schemas.openxmlformats.org/drawingml/2006/main" xmlns:pic="http://schemas.openxmlformats.org/drawingml/2006/picture">
                  <wp:extent cx="4680000" cy="2480497"/>
                  <wp:docPr id="3" name="Picture 3"/>
                  <wp:cNvGraphicFramePr>
                    <a:graphicFrameLocks noChangeAspect="1"/>
                  </wp:cNvGraphicFramePr>
                  <a:graphic>
                    <a:graphicData uri="http://schemas.openxmlformats.org/drawingml/2006/picture">
                      <pic:pic>
                        <pic:nvPicPr>
                          <pic:cNvPr id="0" name="c4.png"/>
                          <pic:cNvPicPr/>
                        </pic:nvPicPr>
                        <pic:blipFill>
                          <a:blip r:embed="rId11"/>
                          <a:stretch>
                            <a:fillRect/>
                          </a:stretch>
                        </pic:blipFill>
                        <pic:spPr>
                          <a:xfrm>
                            <a:off x="0" y="0"/>
                            <a:ext cx="4680000" cy="2480497"/>
                          </a:xfrm>
                          <a:prstGeom prst="rect"/>
                        </pic:spPr>
                      </pic:pic>
                    </a:graphicData>
                  </a:graphic>
                </wp:inline>
              </w:drawing>
            </w:r>
          </w:p>
          <w:tbl>
            <w:tblPr>
              <w:tblW w:type="auto" w:w="0"/>
              <w:jc w:val="center"/>
              <w:tblLayout w:type="fixed"/>
              <w:tblLook w:firstColumn="1" w:firstRow="1" w:lastColumn="0" w:lastRow="0" w:noHBand="0" w:noVBand="1" w:val="04A0"/>
              <w:tblLayout w:type="fixed"/>
            </w:tblPr>
            <w:tblGrid>
              <w:gridCol w:w="1701"/>
              <w:gridCol w:w="1587"/>
              <w:gridCol w:w="1530"/>
              <w:gridCol w:w="1587"/>
              <w:gridCol w:w="1530"/>
            </w:tblGrid>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7"/>
                    </w:rPr>
                    <w:t>Suffix</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Total</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 of all</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Gambling</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 gambling</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.org</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5,799</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26.4%</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12</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0.2%</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.com</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3,529</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16.1%</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1,534</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43.5%</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.net</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1,536</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7.0%</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998</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65.0%</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.cc</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1,084</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4.9%</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653</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60.2%</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.vip</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976</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4.4%</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886</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90.8%</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.app</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774</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3.5%</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578</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74.7%</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.pro</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715</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3.3%</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620</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86.7%</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.co</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698</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3.2%</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437</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62.6%</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.bet</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664</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3.0%</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642</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96.7%</w:t>
                  </w:r>
                </w:p>
              </w:tc>
            </w:tr>
            <w:tr>
              <w:trPr>
                <w:cantSplit/>
              </w:trPr>
              <w:tc>
                <w:tcPr>
                  <w:tcW w:type="dxa" w:w="170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.top</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581</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2.6%</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314</w:t>
                  </w:r>
                </w:p>
              </w:tc>
              <w:tc>
                <w:tcPr>
                  <w:tcW w:type="dxa" w:w="153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54.0%</w:t>
                  </w:r>
                </w:p>
              </w:tc>
            </w:tr>
          </w:tbl>
          <w:p/>
          <w:p>
            <w:pPr>
              <w:spacing w:after="0" w:line="80" w:lineRule="exact"/>
            </w:pPr>
          </w:p>
        </w:tc>
      </w:tr>
    </w:tbl>
    <w:p>
      <w:pPr>
        <w:spacing w:after="0" w:before="0" w:line="340" w:lineRule="exact"/>
      </w:pPr>
    </w:p>
    <w:p>
      <w:pPr>
        <w:pStyle w:val="Heading1"/>
      </w:pPr>
      <w:r>
        <w:rPr>
          <w:rFonts w:cs="Tahoma"/>
        </w:rPr>
        <w:t>Subcategories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Gambling sites by product subcategory</w:t>
            </w:r>
          </w:p>
          <w:p>
            <w:pPr>
              <w:keepNext/>
              <w:spacing w:after="120" w:before="0"/>
            </w:pPr>
            <w:r>
              <w:rPr>
                <w:rFonts w:cs="Tahoma"/>
                <w:b w:val="0"/>
                <w:i w:val="0"/>
                <w:sz w:val="19"/>
              </w:rPr>
              <w:t>Gambling sites grouped by product subcategory. Bar length is the site count and each label carries the count and the share of gambling rows.</w:t>
            </w:r>
          </w:p>
          <w:p>
            <w:pPr>
              <w:spacing w:after="80"/>
              <w:jc w:val="center"/>
            </w:pPr>
            <w:r>
              <w:drawing>
                <wp:inline xmlns:a="http://schemas.openxmlformats.org/drawingml/2006/main" xmlns:pic="http://schemas.openxmlformats.org/drawingml/2006/picture">
                  <wp:extent cx="4680000" cy="2335836"/>
                  <wp:docPr id="4" name="Picture 4"/>
                  <wp:cNvGraphicFramePr>
                    <a:graphicFrameLocks noChangeAspect="1"/>
                  </wp:cNvGraphicFramePr>
                  <a:graphic>
                    <a:graphicData uri="http://schemas.openxmlformats.org/drawingml/2006/picture">
                      <pic:pic>
                        <pic:nvPicPr>
                          <pic:cNvPr id="0" name="d1.png"/>
                          <pic:cNvPicPr/>
                        </pic:nvPicPr>
                        <pic:blipFill>
                          <a:blip r:embed="rId12"/>
                          <a:stretch>
                            <a:fillRect/>
                          </a:stretch>
                        </pic:blipFill>
                        <pic:spPr>
                          <a:xfrm>
                            <a:off x="0" y="0"/>
                            <a:ext cx="4680000" cy="2335836"/>
                          </a:xfrm>
                          <a:prstGeom prst="rect"/>
                        </pic:spPr>
                      </pic:pic>
                    </a:graphicData>
                  </a:graphic>
                </wp:inline>
              </w:drawing>
            </w:r>
          </w:p>
          <w:p>
            <w:pPr>
              <w:spacing w:after="0" w:before="80"/>
            </w:pPr>
            <w:r>
              <w:rPr>
                <w:rFonts w:cs="Tahoma"/>
                <w:b w:val="0"/>
                <w:i/>
                <w:color w:val="5A6B7D"/>
                <w:sz w:val="17"/>
              </w:rPr>
              <w:t>Shares are of gambling rows, not of all rows.</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Assignment method by subcategory</w:t>
            </w:r>
          </w:p>
          <w:p>
            <w:pPr>
              <w:keepNext/>
              <w:spacing w:after="120" w:before="0"/>
            </w:pPr>
            <w:r>
              <w:rPr>
                <w:rFonts w:cs="Tahoma"/>
                <w:b w:val="0"/>
                <w:i w:val="0"/>
                <w:sz w:val="19"/>
              </w:rPr>
              <w:t>How each subcategory was assigned. Solid fill is a lexicon keyword match and the lighter fill is reasoning inference.</w:t>
            </w:r>
          </w:p>
          <w:p>
            <w:pPr>
              <w:spacing w:after="80"/>
              <w:jc w:val="center"/>
            </w:pPr>
            <w:r>
              <w:drawing>
                <wp:inline xmlns:a="http://schemas.openxmlformats.org/drawingml/2006/main" xmlns:pic="http://schemas.openxmlformats.org/drawingml/2006/picture">
                  <wp:extent cx="4680000" cy="2393462"/>
                  <wp:docPr id="5" name="Picture 5"/>
                  <wp:cNvGraphicFramePr>
                    <a:graphicFrameLocks noChangeAspect="1"/>
                  </wp:cNvGraphicFramePr>
                  <a:graphic>
                    <a:graphicData uri="http://schemas.openxmlformats.org/drawingml/2006/picture">
                      <pic:pic>
                        <pic:nvPicPr>
                          <pic:cNvPr id="0" name="d2.png"/>
                          <pic:cNvPicPr/>
                        </pic:nvPicPr>
                        <pic:blipFill>
                          <a:blip r:embed="rId13"/>
                          <a:stretch>
                            <a:fillRect/>
                          </a:stretch>
                        </pic:blipFill>
                        <pic:spPr>
                          <a:xfrm>
                            <a:off x="0" y="0"/>
                            <a:ext cx="4680000" cy="2393462"/>
                          </a:xfrm>
                          <a:prstGeom prst="rect"/>
                        </pic:spPr>
                      </pic:pic>
                    </a:graphicData>
                  </a:graphic>
                </wp:inline>
              </w:drawing>
            </w:r>
          </w:p>
          <w:p>
            <w:pPr>
              <w:spacing w:after="40" w:before="80"/>
            </w:pPr>
            <w:r>
              <w:rPr>
                <w:rFonts w:cs="Tahoma"/>
                <w:b/>
                <w:i w:val="0"/>
                <w:color w:val="1F3F63"/>
                <w:sz w:val="20"/>
              </w:rPr>
              <w:t>What a lexicon match means</w:t>
            </w:r>
          </w:p>
          <w:p>
            <w:pPr>
              <w:spacing w:after="80" w:before="0"/>
            </w:pPr>
            <w:r>
              <w:rPr>
                <w:rFonts w:cs="Tahoma"/>
                <w:b w:val="0"/>
                <w:i w:val="0"/>
                <w:sz w:val="19"/>
              </w:rPr>
              <w:t>A site is assigned to a subcategory by lexicon match when a word or phrase from the gambling keyword lexicon appears in what was recorded about the site, such as the model description or the domain, and that word belongs to the product category assigned. A description containing สล็อต is assigned to Slots by lexicon match. The lexicon is the SICPADetect Thai gambling keyword lexicon at the version on the title page, with 286 keywords in 14 categories. Seven categories describe the product and decide the subcategory. Seven describe marketing and operation, as signal tags. A lexicon match rests on a word that can be pointed to, so the assignment can be checked. An inferred assignment rests on the model reading of its own description and carries lower confidence.</w:t>
            </w:r>
          </w:p>
          <w:p>
            <w:pPr>
              <w:spacing w:after="0" w:before="80"/>
            </w:pPr>
            <w:r>
              <w:rPr>
                <w:rFonts w:cs="Tahoma"/>
                <w:b w:val="0"/>
                <w:i/>
                <w:color w:val="5A6B7D"/>
                <w:sz w:val="17"/>
              </w:rPr>
              <w:t>Inferred share of gambling rows: 96.0%. General Gambling share of gambling rows: 13.6%. The lexicon has poor coverage of this dataset, so subcategory figures are indicative only.</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Subcategory table</w:t>
            </w:r>
          </w:p>
          <w:tbl>
            <w:tblPr>
              <w:tblW w:type="auto" w:w="0"/>
              <w:jc w:val="center"/>
              <w:tblLayout w:type="fixed"/>
              <w:tblLook w:firstColumn="1" w:firstRow="1" w:lastColumn="0" w:lastRow="0" w:noHBand="0" w:noVBand="1" w:val="04A0"/>
              <w:tblLayout w:type="fixed"/>
            </w:tblPr>
            <w:tblGrid>
              <w:gridCol w:w="1927"/>
              <w:gridCol w:w="1134"/>
              <w:gridCol w:w="1360"/>
              <w:gridCol w:w="1360"/>
              <w:gridCol w:w="1020"/>
              <w:gridCol w:w="1134"/>
            </w:tblGrid>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7"/>
                    </w:rPr>
                    <w:t>Subcategory</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Count</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 of gambling</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Keyword assigned</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Inferred</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7"/>
                    </w:rPr>
                    <w:t>Distinct clusters</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Casino</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2,858</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29.0%</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115</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2,743</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950</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Slots</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2,822</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28.6%</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200</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2,622</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859</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Football Betting</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2,194</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22.3%</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9</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2,185</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768</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General Gambling</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1,338</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13.6%</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1,320</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581</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Playing card</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338</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3.4%</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7</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331</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117</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Lottery</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242</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2.5%</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13</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229</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61</w:t>
                  </w:r>
                </w:p>
              </w:tc>
            </w:tr>
            <w:tr>
              <w:trPr>
                <w:cantSplit/>
              </w:trPr>
              <w:tc>
                <w:tcPr>
                  <w:tcW w:type="dxa" w:w="1928"/>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7"/>
                    </w:rPr>
                    <w:t>Baccarat</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66</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0.7%</w:t>
                  </w:r>
                </w:p>
              </w:tc>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33</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33</w:t>
                  </w:r>
                </w:p>
              </w:tc>
              <w:tc>
                <w:tcPr>
                  <w:tcW w:type="dxa" w:w="113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7"/>
                    </w:rPr>
                    <w:t>48</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Heat map: keyword by subcategory</w:t>
            </w:r>
          </w:p>
          <w:p>
            <w:pPr>
              <w:keepNext/>
              <w:spacing w:after="120" w:before="0"/>
            </w:pPr>
            <w:r>
              <w:rPr>
                <w:rFonts w:cs="Tahoma"/>
                <w:b w:val="0"/>
                <w:i w:val="0"/>
                <w:sz w:val="19"/>
              </w:rPr>
              <w:t>Matched keywords against product subcategory. Each cell is the number of gambling sites carrying that keyword in that subcategory.</w:t>
            </w:r>
          </w:p>
          <w:tbl>
            <w:tblPr>
              <w:tblW w:type="auto" w:w="0"/>
              <w:jc w:val="center"/>
              <w:tblLayout w:type="fixed"/>
              <w:tblLook w:firstColumn="1" w:firstRow="1" w:lastColumn="0" w:lastRow="0" w:noHBand="0" w:noVBand="1" w:val="04A0"/>
              <w:tblLayout w:type="fixed"/>
            </w:tblPr>
            <w:tblGrid>
              <w:gridCol w:w="170"/>
              <w:gridCol w:w="1814"/>
              <w:gridCol w:w="850"/>
              <w:gridCol w:w="850"/>
              <w:gridCol w:w="850"/>
              <w:gridCol w:w="850"/>
              <w:gridCol w:w="850"/>
              <w:gridCol w:w="850"/>
              <w:gridCol w:w="850"/>
            </w:tblGrid>
            <w:tr>
              <w:tc>
                <w:tcPr>
                  <w:tcW w:type="dxa" w:w="17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tc>
              <w:tc>
                <w:tcPr>
                  <w:tcW w:type="dxa" w:w="1814"/>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Football Betting</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Slots</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Casino</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Lottery</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Playing card</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Baccarat</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General Gambling</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VIP</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93A2B4"/>
                </w:tcPr>
                <w:p>
                  <w:pPr>
                    <w:spacing w:after="0"/>
                    <w:jc w:val="center"/>
                  </w:pPr>
                  <w:r>
                    <w:rPr>
                      <w:color w:val="202020"/>
                      <w:sz w:val="16"/>
                    </w:rPr>
                    <w:t>318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1F3F63"/>
                </w:tcPr>
                <w:p>
                  <w:pPr>
                    <w:spacing w:after="0"/>
                    <w:jc w:val="center"/>
                  </w:pPr>
                  <w:r>
                    <w:rPr>
                      <w:color w:val="FFFFFF"/>
                      <w:sz w:val="16"/>
                    </w:rPr>
                    <w:t>725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8495A9"/>
                </w:tcPr>
                <w:p>
                  <w:pPr>
                    <w:spacing w:after="0"/>
                    <w:jc w:val="center"/>
                  </w:pPr>
                  <w:r>
                    <w:rPr>
                      <w:color w:val="FFFFFF"/>
                      <w:sz w:val="16"/>
                    </w:rPr>
                    <w:t>371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EF"/>
                </w:tcPr>
                <w:p>
                  <w:pPr>
                    <w:spacing w:after="0"/>
                    <w:jc w:val="center"/>
                  </w:pPr>
                  <w:r>
                    <w:rPr>
                      <w:color w:val="202020"/>
                      <w:sz w:val="16"/>
                    </w:rPr>
                    <w:t>16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7EAEE"/>
                </w:tcPr>
                <w:p>
                  <w:pPr>
                    <w:spacing w:after="0"/>
                    <w:jc w:val="center"/>
                  </w:pPr>
                  <w:r>
                    <w:rPr>
                      <w:color w:val="202020"/>
                      <w:sz w:val="16"/>
                    </w:rPr>
                    <w:t>23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A4B1BF"/>
                </w:tcPr>
                <w:p>
                  <w:pPr>
                    <w:spacing w:after="0"/>
                    <w:jc w:val="center"/>
                  </w:pPr>
                  <w:r>
                    <w:rPr>
                      <w:color w:val="202020"/>
                      <w:sz w:val="16"/>
                    </w:rPr>
                    <w:t>258</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BET</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A9B5C3"/>
                </w:tcPr>
                <w:p>
                  <w:pPr>
                    <w:spacing w:after="0"/>
                    <w:jc w:val="center"/>
                  </w:pPr>
                  <w:r>
                    <w:rPr>
                      <w:color w:val="202020"/>
                      <w:sz w:val="16"/>
                    </w:rPr>
                    <w:t>241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A0AEBD"/>
                </w:tcPr>
                <w:p>
                  <w:pPr>
                    <w:spacing w:after="0"/>
                    <w:jc w:val="center"/>
                  </w:pPr>
                  <w:r>
                    <w:rPr>
                      <w:color w:val="202020"/>
                      <w:sz w:val="16"/>
                    </w:rPr>
                    <w:t>270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96A5B6"/>
                </w:tcPr>
                <w:p>
                  <w:pPr>
                    <w:spacing w:after="0"/>
                    <w:jc w:val="center"/>
                  </w:pPr>
                  <w:r>
                    <w:rPr>
                      <w:color w:val="202020"/>
                      <w:sz w:val="16"/>
                    </w:rPr>
                    <w:t>307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7EBEE"/>
                </w:tcPr>
                <w:p>
                  <w:pPr>
                    <w:spacing w:after="0"/>
                    <w:jc w:val="center"/>
                  </w:pPr>
                  <w:r>
                    <w:rPr>
                      <w:color w:val="202020"/>
                      <w:sz w:val="16"/>
                    </w:rPr>
                    <w:t>21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DC6D1"/>
                </w:tcPr>
                <w:p>
                  <w:pPr>
                    <w:spacing w:after="0"/>
                    <w:jc w:val="center"/>
                  </w:pPr>
                  <w:r>
                    <w:rPr>
                      <w:color w:val="202020"/>
                      <w:sz w:val="16"/>
                    </w:rPr>
                    <w:t>169</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WIN</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FE3E8"/>
                </w:tcPr>
                <w:p>
                  <w:pPr>
                    <w:spacing w:after="0"/>
                    <w:jc w:val="center"/>
                  </w:pPr>
                  <w:r>
                    <w:rPr>
                      <w:color w:val="202020"/>
                      <w:sz w:val="16"/>
                    </w:rPr>
                    <w:t>51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A9B5C3"/>
                </w:tcPr>
                <w:p>
                  <w:pPr>
                    <w:spacing w:after="0"/>
                    <w:jc w:val="center"/>
                  </w:pPr>
                  <w:r>
                    <w:rPr>
                      <w:color w:val="202020"/>
                      <w:sz w:val="16"/>
                    </w:rPr>
                    <w:t>241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0D7DE"/>
                </w:tcPr>
                <w:p>
                  <w:pPr>
                    <w:spacing w:after="0"/>
                    <w:jc w:val="center"/>
                  </w:pPr>
                  <w:r>
                    <w:rPr>
                      <w:color w:val="202020"/>
                      <w:sz w:val="16"/>
                    </w:rPr>
                    <w:t>103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7EBEE"/>
                </w:tcPr>
                <w:p>
                  <w:pPr>
                    <w:spacing w:after="0"/>
                    <w:jc w:val="center"/>
                  </w:pPr>
                  <w:r>
                    <w:rPr>
                      <w:color w:val="202020"/>
                      <w:sz w:val="16"/>
                    </w:rPr>
                    <w:t>21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FD6DE"/>
                </w:tcPr>
                <w:p>
                  <w:pPr>
                    <w:spacing w:after="0"/>
                    <w:jc w:val="center"/>
                  </w:pPr>
                  <w:r>
                    <w:rPr>
                      <w:color w:val="202020"/>
                      <w:sz w:val="16"/>
                    </w:rPr>
                    <w:t>106</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8C690"/>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สมัครสมาชิก</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5CED7"/>
                </w:tcPr>
                <w:p>
                  <w:pPr>
                    <w:spacing w:after="0"/>
                    <w:jc w:val="center"/>
                  </w:pPr>
                  <w:r>
                    <w:rPr>
                      <w:color w:val="202020"/>
                      <w:sz w:val="16"/>
                    </w:rPr>
                    <w:t>140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9DFE5"/>
                </w:tcPr>
                <w:p>
                  <w:pPr>
                    <w:spacing w:after="0"/>
                    <w:jc w:val="center"/>
                  </w:pPr>
                  <w:r>
                    <w:rPr>
                      <w:color w:val="202020"/>
                      <w:sz w:val="16"/>
                    </w:rPr>
                    <w:t>69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0E4E9"/>
                </w:tcPr>
                <w:p>
                  <w:pPr>
                    <w:spacing w:after="0"/>
                    <w:jc w:val="center"/>
                  </w:pPr>
                  <w:r>
                    <w:rPr>
                      <w:color w:val="202020"/>
                      <w:sz w:val="16"/>
                    </w:rPr>
                    <w:t>47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EE3E8"/>
                </w:tcPr>
                <w:p>
                  <w:pPr>
                    <w:spacing w:after="0"/>
                    <w:jc w:val="center"/>
                  </w:pPr>
                  <w:r>
                    <w:rPr>
                      <w:color w:val="202020"/>
                      <w:sz w:val="16"/>
                    </w:rPr>
                    <w:t>52</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c0392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สล็อต</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4BFCB"/>
                </w:tcPr>
                <w:p>
                  <w:pPr>
                    <w:spacing w:after="0"/>
                    <w:jc w:val="center"/>
                  </w:pPr>
                  <w:r>
                    <w:rPr>
                      <w:color w:val="202020"/>
                      <w:sz w:val="16"/>
                    </w:rPr>
                    <w:t>200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CE1E7"/>
                </w:tcPr>
                <w:p>
                  <w:pPr>
                    <w:spacing w:after="0"/>
                    <w:jc w:val="center"/>
                  </w:pPr>
                  <w:r>
                    <w:rPr>
                      <w:color w:val="202020"/>
                      <w:sz w:val="16"/>
                    </w:rPr>
                    <w:t>60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AEE"/>
                </w:tcPr>
                <w:p>
                  <w:pPr>
                    <w:spacing w:after="0"/>
                    <w:jc w:val="center"/>
                  </w:pPr>
                  <w:r>
                    <w:rPr>
                      <w:color w:val="202020"/>
                      <w:sz w:val="16"/>
                    </w:rPr>
                    <w:t>25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2799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Wallet</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AE0E5"/>
                </w:tcPr>
                <w:p>
                  <w:pPr>
                    <w:spacing w:after="0"/>
                    <w:jc w:val="center"/>
                  </w:pPr>
                  <w:r>
                    <w:rPr>
                      <w:color w:val="202020"/>
                      <w:sz w:val="16"/>
                    </w:rPr>
                    <w:t>66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1E5EA"/>
                </w:tcPr>
                <w:p>
                  <w:pPr>
                    <w:spacing w:after="0"/>
                    <w:jc w:val="center"/>
                  </w:pPr>
                  <w:r>
                    <w:rPr>
                      <w:color w:val="202020"/>
                      <w:sz w:val="16"/>
                    </w:rPr>
                    <w:t>42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7EAEE"/>
                </w:tcPr>
                <w:p>
                  <w:pPr>
                    <w:spacing w:after="0"/>
                    <w:jc w:val="center"/>
                  </w:pPr>
                  <w:r>
                    <w:rPr>
                      <w:color w:val="202020"/>
                      <w:sz w:val="16"/>
                    </w:rPr>
                    <w:t>22</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WALLET</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AE0E5"/>
                </w:tcPr>
                <w:p>
                  <w:pPr>
                    <w:spacing w:after="0"/>
                    <w:jc w:val="center"/>
                  </w:pPr>
                  <w:r>
                    <w:rPr>
                      <w:color w:val="202020"/>
                      <w:sz w:val="16"/>
                    </w:rPr>
                    <w:t>66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1E5EA"/>
                </w:tcPr>
                <w:p>
                  <w:pPr>
                    <w:spacing w:after="0"/>
                    <w:jc w:val="center"/>
                  </w:pPr>
                  <w:r>
                    <w:rPr>
                      <w:color w:val="202020"/>
                      <w:sz w:val="16"/>
                    </w:rPr>
                    <w:t>42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7EAEE"/>
                </w:tcPr>
                <w:p>
                  <w:pPr>
                    <w:spacing w:after="0"/>
                    <w:jc w:val="center"/>
                  </w:pPr>
                  <w:r>
                    <w:rPr>
                      <w:color w:val="202020"/>
                      <w:sz w:val="16"/>
                    </w:rPr>
                    <w:t>22</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27ae60"/>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คาสิโน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AEE"/>
                </w:tcPr>
                <w:p>
                  <w:pPr>
                    <w:spacing w:after="0"/>
                    <w:jc w:val="center"/>
                  </w:pPr>
                  <w:r>
                    <w:rPr>
                      <w:color w:val="202020"/>
                      <w:sz w:val="16"/>
                    </w:rPr>
                    <w:t>25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CD4DC"/>
                </w:tcPr>
                <w:p>
                  <w:pPr>
                    <w:spacing w:after="0"/>
                    <w:jc w:val="center"/>
                  </w:pPr>
                  <w:r>
                    <w:rPr>
                      <w:color w:val="202020"/>
                      <w:sz w:val="16"/>
                    </w:rPr>
                    <w:t>115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e67e2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คาสิโน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AEE"/>
                </w:tcPr>
                <w:p>
                  <w:pPr>
                    <w:spacing w:after="0"/>
                    <w:jc w:val="center"/>
                  </w:pPr>
                  <w:r>
                    <w:rPr>
                      <w:color w:val="202020"/>
                      <w:sz w:val="16"/>
                    </w:rPr>
                    <w:t>25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CD4DC"/>
                </w:tcPr>
                <w:p>
                  <w:pPr>
                    <w:spacing w:after="0"/>
                    <w:jc w:val="center"/>
                  </w:pPr>
                  <w:r>
                    <w:rPr>
                      <w:color w:val="202020"/>
                      <w:sz w:val="16"/>
                    </w:rPr>
                    <w:t>115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PRAGMATIC</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BD2DB"/>
                </w:tcPr>
                <w:p>
                  <w:pPr>
                    <w:spacing w:after="0"/>
                    <w:jc w:val="center"/>
                  </w:pPr>
                  <w:r>
                    <w:rPr>
                      <w:color w:val="202020"/>
                      <w:sz w:val="16"/>
                    </w:rPr>
                    <w:t>120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27ae60"/>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คาสิโนออนไลน์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5DBE1"/>
                </w:tcPr>
                <w:p>
                  <w:pPr>
                    <w:spacing w:after="0"/>
                    <w:jc w:val="center"/>
                  </w:pPr>
                  <w:r>
                    <w:rPr>
                      <w:color w:val="202020"/>
                      <w:sz w:val="16"/>
                    </w:rPr>
                    <w:t>86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e67e2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คาสิโนออนไลน์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5DBE1"/>
                </w:tcPr>
                <w:p>
                  <w:pPr>
                    <w:spacing w:after="0"/>
                    <w:jc w:val="center"/>
                  </w:pPr>
                  <w:r>
                    <w:rPr>
                      <w:color w:val="202020"/>
                      <w:sz w:val="16"/>
                    </w:rPr>
                    <w:t>86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c0392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สล็อตออนไลน์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7DDE3"/>
                </w:tcPr>
                <w:p>
                  <w:pPr>
                    <w:spacing w:after="0"/>
                    <w:jc w:val="center"/>
                  </w:pPr>
                  <w:r>
                    <w:rPr>
                      <w:color w:val="202020"/>
                      <w:sz w:val="16"/>
                    </w:rPr>
                    <w:t>78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c0392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เกมสล็อต</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ADFE5"/>
                </w:tcPr>
                <w:p>
                  <w:pPr>
                    <w:spacing w:after="0"/>
                    <w:jc w:val="center"/>
                  </w:pPr>
                  <w:r>
                    <w:rPr>
                      <w:color w:val="202020"/>
                      <w:sz w:val="16"/>
                    </w:rPr>
                    <w:t>67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2f5c8f"/>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บาคาร่า</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4E8EC"/>
                </w:tcPr>
                <w:p>
                  <w:pPr>
                    <w:spacing w:after="0"/>
                    <w:jc w:val="center"/>
                  </w:pPr>
                  <w:r>
                    <w:rPr>
                      <w:color w:val="202020"/>
                      <w:sz w:val="16"/>
                    </w:rPr>
                    <w:t>33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c0392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เล่นสล็อต</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FE4E9"/>
                </w:tcPr>
                <w:p>
                  <w:pPr>
                    <w:spacing w:after="0"/>
                    <w:jc w:val="center"/>
                  </w:pPr>
                  <w:r>
                    <w:rPr>
                      <w:color w:val="202020"/>
                      <w:sz w:val="16"/>
                    </w:rPr>
                    <w:t>48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JILI</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3E7EB"/>
                </w:tcPr>
                <w:p>
                  <w:pPr>
                    <w:spacing w:after="0"/>
                    <w:jc w:val="center"/>
                  </w:pPr>
                  <w:r>
                    <w:rPr>
                      <w:color w:val="202020"/>
                      <w:sz w:val="16"/>
                    </w:rPr>
                    <w:t>37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A476B7"/>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Affiliate</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8</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e67e2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เดิมพัน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1"/>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14</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e67e2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พนัน</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1"/>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1"/>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4</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JDB</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RTP</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EF"/>
                </w:tcPr>
                <w:p>
                  <w:pPr>
                    <w:spacing w:after="0"/>
                    <w:jc w:val="center"/>
                  </w:pPr>
                  <w:r>
                    <w:rPr>
                      <w:color w:val="202020"/>
                      <w:sz w:val="16"/>
                    </w:rPr>
                    <w:t>16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D3746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เครดิตฟรี</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2"/>
                </w:tcPr>
                <w:p>
                  <w:pPr>
                    <w:spacing w:after="0"/>
                    <w:jc w:val="center"/>
                  </w:pPr>
                  <w:r>
                    <w:rPr>
                      <w:color w:val="202020"/>
                      <w:sz w:val="16"/>
                    </w:rPr>
                    <w:t>5</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SEXY</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SA</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11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bl>
          <w:p/>
          <w:p>
            <w:pPr>
              <w:spacing w:after="0" w:line="60" w:lineRule="exact"/>
            </w:pPr>
          </w:p>
          <w:tbl>
            <w:tblPr>
              <w:tblW w:type="auto" w:w="0"/>
              <w:jc w:val="center"/>
              <w:tblLayout w:type="fixed"/>
              <w:tblLook w:firstColumn="1" w:firstRow="1" w:lastColumn="0" w:lastRow="0" w:noHBand="0" w:noVBand="1" w:val="04A0"/>
              <w:tblLayout w:type="fixed"/>
            </w:tblPr>
            <w:tblGrid>
              <w:gridCol w:w="453"/>
              <w:gridCol w:w="1247"/>
              <w:gridCol w:w="453"/>
              <w:gridCol w:w="1247"/>
            </w:tblGrid>
            <w:tr>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EDF0F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Low: 1</w:t>
                  </w:r>
                </w:p>
              </w:tc>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1F3F6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High: 725</w:t>
                  </w:r>
                </w:p>
              </w:tc>
            </w:tr>
          </w:tbl>
          <w:p/>
          <w:p>
            <w:pPr>
              <w:spacing w:after="0" w:before="80"/>
            </w:pPr>
            <w:r>
              <w:rPr>
                <w:rFonts w:cs="Tahoma"/>
                <w:b w:val="0"/>
                <w:i/>
                <w:color w:val="5A6B7D"/>
                <w:sz w:val="17"/>
              </w:rPr>
              <w:t>Left strip colour marks the keyword category: Abbreviations; Marketing &amp; Acquisition; Slots; Deposit &amp; Withdrawal; Casino; General Gambling; Baccarat; Affiliate &amp; Agent; Promotions.</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Heat map: signal tag by subcategory</w:t>
            </w:r>
          </w:p>
          <w:p>
            <w:pPr>
              <w:keepNext/>
              <w:spacing w:after="120" w:before="0"/>
            </w:pPr>
            <w:r>
              <w:rPr>
                <w:rFonts w:cs="Tahoma"/>
                <w:b w:val="0"/>
                <w:i w:val="0"/>
                <w:sz w:val="19"/>
              </w:rPr>
              <w:t>Signal tags against product subcategory. Each cell is the number of gambling sites carrying that tag in that subcategory.</w:t>
            </w:r>
          </w:p>
          <w:tbl>
            <w:tblPr>
              <w:tblW w:type="auto" w:w="0"/>
              <w:jc w:val="center"/>
              <w:tblLayout w:type="fixed"/>
              <w:tblLook w:firstColumn="1" w:firstRow="1" w:lastColumn="0" w:lastRow="0" w:noHBand="0" w:noVBand="1" w:val="04A0"/>
              <w:tblLayout w:type="fixed"/>
            </w:tblPr>
            <w:tblGrid>
              <w:gridCol w:w="170"/>
              <w:gridCol w:w="1814"/>
              <w:gridCol w:w="850"/>
              <w:gridCol w:w="850"/>
              <w:gridCol w:w="850"/>
              <w:gridCol w:w="850"/>
              <w:gridCol w:w="850"/>
              <w:gridCol w:w="850"/>
              <w:gridCol w:w="850"/>
            </w:tblGrid>
            <w:tr>
              <w:tc>
                <w:tcPr>
                  <w:tcW w:type="dxa" w:w="17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tc>
              <w:tc>
                <w:tcPr>
                  <w:tcW w:type="dxa" w:w="1814"/>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Football Betting</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Slots</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Casino</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Lottery</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Playing card</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Baccarat</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General Gambling</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D8DB1"/>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Abbreviations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8E9EB0"/>
                </w:tcPr>
                <w:p>
                  <w:pPr>
                    <w:spacing w:after="0"/>
                    <w:jc w:val="center"/>
                  </w:pPr>
                  <w:r>
                    <w:rPr>
                      <w:color w:val="202020"/>
                      <w:sz w:val="16"/>
                    </w:rPr>
                    <w:t>618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1F3F63"/>
                </w:tcPr>
                <w:p>
                  <w:pPr>
                    <w:spacing w:after="0"/>
                    <w:jc w:val="center"/>
                  </w:pPr>
                  <w:r>
                    <w:rPr>
                      <w:color w:val="FFFFFF"/>
                      <w:sz w:val="16"/>
                    </w:rPr>
                    <w:t>1337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70849B"/>
                </w:tcPr>
                <w:p>
                  <w:pPr>
                    <w:spacing w:after="0"/>
                    <w:jc w:val="center"/>
                  </w:pPr>
                  <w:r>
                    <w:rPr>
                      <w:color w:val="FFFFFF"/>
                      <w:sz w:val="16"/>
                    </w:rPr>
                    <w:t>811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5E9ED"/>
                </w:tcPr>
                <w:p>
                  <w:pPr>
                    <w:spacing w:after="0"/>
                    <w:jc w:val="center"/>
                  </w:pPr>
                  <w:r>
                    <w:rPr>
                      <w:color w:val="202020"/>
                      <w:sz w:val="16"/>
                    </w:rPr>
                    <w:t>53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33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27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9EACBB"/>
                </w:tcPr>
                <w:p>
                  <w:pPr>
                    <w:spacing w:after="0"/>
                    <w:jc w:val="center"/>
                  </w:pPr>
                  <w:r>
                    <w:rPr>
                      <w:color w:val="202020"/>
                      <w:sz w:val="16"/>
                    </w:rPr>
                    <w:t>513</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8C690"/>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Marketing &amp; Acquisition</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24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6DCE2"/>
                </w:tcPr>
                <w:p>
                  <w:pPr>
                    <w:spacing w:after="0"/>
                    <w:jc w:val="center"/>
                  </w:pPr>
                  <w:r>
                    <w:rPr>
                      <w:color w:val="202020"/>
                      <w:sz w:val="16"/>
                    </w:rPr>
                    <w:t>152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1E5EA"/>
                </w:tcPr>
                <w:p>
                  <w:pPr>
                    <w:spacing w:after="0"/>
                    <w:jc w:val="center"/>
                  </w:pPr>
                  <w:r>
                    <w:rPr>
                      <w:color w:val="202020"/>
                      <w:sz w:val="16"/>
                    </w:rPr>
                    <w:t>79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9ED"/>
                </w:tcPr>
                <w:p>
                  <w:pPr>
                    <w:spacing w:after="0"/>
                    <w:jc w:val="center"/>
                  </w:pPr>
                  <w:r>
                    <w:rPr>
                      <w:color w:val="202020"/>
                      <w:sz w:val="16"/>
                    </w:rPr>
                    <w:t>47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4E8ED"/>
                </w:tcPr>
                <w:p>
                  <w:pPr>
                    <w:spacing w:after="0"/>
                    <w:jc w:val="center"/>
                  </w:pPr>
                  <w:r>
                    <w:rPr>
                      <w:color w:val="202020"/>
                      <w:sz w:val="16"/>
                    </w:rPr>
                    <w:t>56</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627992"/>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Deposit &amp; Withdrawal</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15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3E7EB"/>
                </w:tcPr>
                <w:p>
                  <w:pPr>
                    <w:spacing w:after="0"/>
                    <w:jc w:val="center"/>
                  </w:pPr>
                  <w:r>
                    <w:rPr>
                      <w:color w:val="202020"/>
                      <w:sz w:val="16"/>
                    </w:rPr>
                    <w:t>67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AEE"/>
                </w:tcPr>
                <w:p>
                  <w:pPr>
                    <w:spacing w:after="0"/>
                    <w:jc w:val="center"/>
                  </w:pPr>
                  <w:r>
                    <w:rPr>
                      <w:color w:val="202020"/>
                      <w:sz w:val="16"/>
                    </w:rPr>
                    <w:t>43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F0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23</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A476B7"/>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Affiliate &amp; Agent</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23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16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F0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F0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14</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D3746B"/>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Promotions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EF1"/>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7</w:t>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B8C1CA"/>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Vague-Evasion Terms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70"/>
                  <w:tcBorders>
                    <w:top w:val="single" w:sz="2" w:color="FFFFFF" w:space="0"/>
                    <w:left w:val="single" w:sz="2" w:color="FFFFFF" w:space="0"/>
                    <w:bottom w:val="single" w:sz="2" w:color="FFFFFF" w:space="0"/>
                    <w:right w:val="single" w:sz="2" w:color="FFFFFF" w:space="0"/>
                  </w:tcBorders>
                  <w:shd w:val="clear" w:color="auto" w:fill="EEA564"/>
                  <w:tcMar>
                    <w:top w:w="0" w:type="dxa"/>
                    <w:left w:w="0" w:type="dxa"/>
                    <w:bottom w:w="0" w:type="dxa"/>
                    <w:right w:w="0" w:type="dxa"/>
                  </w:tcMar>
                </w:tcPr>
                <w:p>
                  <w:pPr>
                    <w:spacing w:after="0"/>
                  </w:pPr>
                  <w:r>
                    <w:rPr>
                      <w:sz w:val="8"/>
                    </w:rPr>
                    <w:t xml:space="preserve"> </w:t>
                  </w:r>
                </w:p>
              </w:tc>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Hashtags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bl>
          <w:p/>
          <w:p>
            <w:pPr>
              <w:spacing w:after="0" w:line="60" w:lineRule="exact"/>
            </w:pPr>
          </w:p>
          <w:tbl>
            <w:tblPr>
              <w:tblW w:type="auto" w:w="0"/>
              <w:jc w:val="center"/>
              <w:tblLayout w:type="fixed"/>
              <w:tblLook w:firstColumn="1" w:firstRow="1" w:lastColumn="0" w:lastRow="0" w:noHBand="0" w:noVBand="1" w:val="04A0"/>
              <w:tblLayout w:type="fixed"/>
            </w:tblPr>
            <w:tblGrid>
              <w:gridCol w:w="453"/>
              <w:gridCol w:w="1247"/>
              <w:gridCol w:w="453"/>
              <w:gridCol w:w="1247"/>
            </w:tblGrid>
            <w:tr>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EDF0F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Low: 1</w:t>
                  </w:r>
                </w:p>
              </w:tc>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1F3F6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High: 1337</w:t>
                  </w:r>
                </w:p>
              </w:tc>
            </w:tr>
          </w:tbl>
          <w:p/>
        </w:tc>
      </w:tr>
    </w:tbl>
    <w:p>
      <w:pPr>
        <w:spacing w:after="0" w:before="0" w:line="340" w:lineRule="exact"/>
      </w:pPr>
    </w:p>
    <w:p>
      <w:pPr>
        <w:pStyle w:val="Heading1"/>
      </w:pPr>
      <w:r>
        <w:rPr>
          <w:rFonts w:cs="Tahoma"/>
        </w:rPr>
        <w:t>Brands and clustering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What brand clusters are</w:t>
            </w:r>
          </w:p>
          <w:p>
            <w:pPr>
              <w:spacing w:after="40" w:before="0"/>
            </w:pPr>
            <w:r>
              <w:rPr>
                <w:rFonts w:cs="Tahoma"/>
                <w:b/>
                <w:i w:val="0"/>
                <w:color w:val="1F3F63"/>
                <w:sz w:val="20"/>
              </w:rPr>
              <w:t>What a cluster is</w:t>
            </w:r>
          </w:p>
          <w:p>
            <w:pPr>
              <w:spacing w:after="120" w:before="0"/>
            </w:pPr>
            <w:r>
              <w:rPr>
                <w:rFonts w:cs="Tahoma"/>
                <w:b w:val="0"/>
                <w:i w:val="0"/>
                <w:sz w:val="19"/>
              </w:rPr>
              <w:t>A brand cluster is a group of domains judged to belong to the same gambling brand or operator. A domain joins a cluster in one of three ways. The crawler may have found it as a variant of, or a redirect from, another domain, which is the strongest basis. Otherwise its name reduces to the same stem once market tags, version numbers and suffixes are removed, so a3game.app and a3game.click both reduce to a3game. Or its stem is near identical to another. A domain that matches no other is a singleton.</w:t>
            </w:r>
          </w:p>
          <w:p>
            <w:pPr>
              <w:spacing w:after="40" w:before="0"/>
            </w:pPr>
            <w:r>
              <w:rPr>
                <w:rFonts w:cs="Tahoma"/>
                <w:b/>
                <w:i w:val="0"/>
                <w:color w:val="1F3F63"/>
                <w:sz w:val="20"/>
              </w:rPr>
              <w:t>Why clusters matter</w:t>
            </w:r>
          </w:p>
          <w:p>
            <w:pPr>
              <w:spacing w:after="0" w:before="0"/>
            </w:pPr>
            <w:r>
              <w:rPr>
                <w:rFonts w:cs="Tahoma"/>
                <w:b w:val="0"/>
                <w:i w:val="0"/>
                <w:sz w:val="19"/>
              </w:rPr>
              <w:t>Operators rarely run a single site. They register many domains, rotate top level domains and redirect players between them, so a blocked address is replaced. Counting URLs therefore overstates how many operators exist and hides who stands behind the estate. Clustering shows how many distinct operations there are, how concentrated the estate is, and which operators run several product types. Acting on a cluster reaches every domain in it, where acting on a single URL leaves the rest of the brand running. Clusters are an analytical grouping based on names and crawler links, not a legal finding about ownership, and the linkage table is indicative only.</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Cluster metrics</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rPr>
                <w:cantSplit/>
              </w:trPr>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2,064</w:t>
                  </w:r>
                </w:p>
                <w:p>
                  <w:pPr>
                    <w:spacing w:after="0" w:before="0"/>
                  </w:pPr>
                  <w:r>
                    <w:rPr>
                      <w:rFonts w:cs="Tahoma"/>
                      <w:b w:val="0"/>
                      <w:i w:val="0"/>
                      <w:color w:val="5A6B7D"/>
                      <w:sz w:val="17"/>
                    </w:rPr>
                    <w:t>Distinct clusters</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1,073</w:t>
                  </w:r>
                </w:p>
                <w:p>
                  <w:pPr>
                    <w:spacing w:after="0" w:before="0"/>
                  </w:pPr>
                  <w:r>
                    <w:rPr>
                      <w:rFonts w:cs="Tahoma"/>
                      <w:b w:val="0"/>
                      <w:i w:val="0"/>
                      <w:color w:val="5A6B7D"/>
                      <w:sz w:val="17"/>
                    </w:rPr>
                    <w:t>Clusters with 2 or more URLs</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991</w:t>
                  </w:r>
                </w:p>
                <w:p>
                  <w:pPr>
                    <w:spacing w:after="0" w:before="0"/>
                  </w:pPr>
                  <w:r>
                    <w:rPr>
                      <w:rFonts w:cs="Tahoma"/>
                      <w:b w:val="0"/>
                      <w:i w:val="0"/>
                      <w:color w:val="5A6B7D"/>
                      <w:sz w:val="17"/>
                    </w:rPr>
                    <w:t>Singletons</w:t>
                  </w:r>
                </w:p>
              </w:tc>
              <w:tc>
                <w:tcPr>
                  <w:tcW w:type="dxa" w:w="1984"/>
                  <w:tcBorders>
                    <w:top w:val="single" w:sz="6" w:color="C9D2DB" w:space="0"/>
                    <w:left w:val="single" w:sz="6" w:color="C9D2DB" w:space="0"/>
                    <w:bottom w:val="single" w:sz="6" w:color="C9D2DB" w:space="0"/>
                    <w:right w:val="single" w:sz="6" w:color="C9D2DB" w:space="0"/>
                  </w:tcBorders>
                  <w:tcMar>
                    <w:top w:w="170" w:type="dxa"/>
                    <w:left w:w="170" w:type="dxa"/>
                    <w:bottom w:w="170" w:type="dxa"/>
                    <w:right w:w="170" w:type="dxa"/>
                  </w:tcMar>
                </w:tcPr>
                <w:p>
                  <w:pPr>
                    <w:spacing w:after="20"/>
                  </w:pPr>
                  <w:r>
                    <w:rPr>
                      <w:rFonts w:cs="Tahoma"/>
                      <w:b/>
                      <w:color w:val="1F3F63"/>
                      <w:sz w:val="34"/>
                    </w:rPr>
                    <w:t>90</w:t>
                  </w:r>
                </w:p>
                <w:p>
                  <w:pPr>
                    <w:spacing w:after="0" w:before="0"/>
                  </w:pPr>
                  <w:r>
                    <w:rPr>
                      <w:rFonts w:cs="Tahoma"/>
                      <w:b w:val="0"/>
                      <w:i w:val="0"/>
                      <w:color w:val="5A6B7D"/>
                      <w:sz w:val="17"/>
                    </w:rPr>
                    <w:t>Clusters to cover half of gambling URLs</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Top 15 brand clusters by URL count</w:t>
            </w:r>
          </w:p>
          <w:p>
            <w:pPr>
              <w:keepNext/>
              <w:spacing w:after="120" w:before="0"/>
            </w:pPr>
            <w:r>
              <w:rPr>
                <w:rFonts w:cs="Tahoma"/>
                <w:b w:val="0"/>
                <w:i w:val="0"/>
                <w:sz w:val="19"/>
              </w:rPr>
              <w:t>The fifteen largest brand clusters by URL count. Bar length is the number of domains in the cluster.</w:t>
            </w:r>
          </w:p>
          <w:p>
            <w:pPr>
              <w:spacing w:after="80"/>
              <w:jc w:val="center"/>
            </w:pPr>
            <w:r>
              <w:drawing>
                <wp:inline xmlns:a="http://schemas.openxmlformats.org/drawingml/2006/main" xmlns:pic="http://schemas.openxmlformats.org/drawingml/2006/picture">
                  <wp:extent cx="4680000" cy="3400240"/>
                  <wp:docPr id="6" name="Picture 6"/>
                  <wp:cNvGraphicFramePr>
                    <a:graphicFrameLocks noChangeAspect="1"/>
                  </wp:cNvGraphicFramePr>
                  <a:graphic>
                    <a:graphicData uri="http://schemas.openxmlformats.org/drawingml/2006/picture">
                      <pic:pic>
                        <pic:nvPicPr>
                          <pic:cNvPr id="0" name="e2.png"/>
                          <pic:cNvPicPr/>
                        </pic:nvPicPr>
                        <pic:blipFill>
                          <a:blip r:embed="rId14"/>
                          <a:stretch>
                            <a:fillRect/>
                          </a:stretch>
                        </pic:blipFill>
                        <pic:spPr>
                          <a:xfrm>
                            <a:off x="0" y="0"/>
                            <a:ext cx="4680000" cy="3400240"/>
                          </a:xfrm>
                          <a:prstGeom prst="rect"/>
                        </pic:spPr>
                      </pic:pic>
                    </a:graphicData>
                  </a:graphic>
                </wp:inline>
              </w:drawing>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Heat map: brand cluster by subcategory</w:t>
            </w:r>
          </w:p>
          <w:p>
            <w:pPr>
              <w:keepNext/>
              <w:spacing w:after="120" w:before="0"/>
            </w:pPr>
            <w:r>
              <w:rPr>
                <w:rFonts w:cs="Tahoma"/>
                <w:b w:val="0"/>
                <w:i w:val="0"/>
                <w:sz w:val="19"/>
              </w:rPr>
              <w:t>Brand clusters against product subcategory. Each cell is the number of URLs a cluster holds in that subcategory.</w:t>
            </w:r>
          </w:p>
          <w:tbl>
            <w:tblPr>
              <w:tblW w:type="auto" w:w="0"/>
              <w:jc w:val="center"/>
              <w:tblLayout w:type="fixed"/>
              <w:tblLook w:firstColumn="1" w:firstRow="1" w:lastColumn="0" w:lastRow="0" w:noHBand="0" w:noVBand="1" w:val="04A0"/>
              <w:tblLayout w:type="fixed"/>
            </w:tblPr>
            <w:tblGrid>
              <w:gridCol w:w="1814"/>
              <w:gridCol w:w="850"/>
              <w:gridCol w:w="850"/>
              <w:gridCol w:w="850"/>
              <w:gridCol w:w="850"/>
              <w:gridCol w:w="850"/>
              <w:gridCol w:w="850"/>
              <w:gridCol w:w="850"/>
            </w:tblGrid>
            <w:tr>
              <w:tc>
                <w:tcPr>
                  <w:tcW w:type="dxa" w:w="1814"/>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Football Betting</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Slots</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Casino</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Lottery</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Playing card</w:t>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Baccarat</w:t>
                  </w:r>
                  <w:r>
                    <w:br/>
                  </w:r>
                </w:p>
              </w:tc>
              <w:tc>
                <w:tcPr>
                  <w:tcW w:type="dxa" w:w="850"/>
                  <w:tcBorders>
                    <w:top w:val="single" w:sz="4" w:color="C9D2DB" w:space="0"/>
                    <w:left w:val="single" w:sz="4" w:color="C9D2DB" w:space="0"/>
                    <w:bottom w:val="single" w:sz="4" w:color="C9D2DB" w:space="0"/>
                    <w:right w:val="single" w:sz="4" w:color="C9D2DB" w:space="0"/>
                  </w:tcBorders>
                  <w:tcMar>
                    <w:top w:w="56" w:type="dxa"/>
                    <w:left w:w="17" w:type="dxa"/>
                    <w:bottom w:w="56" w:type="dxa"/>
                    <w:right w:w="17" w:type="dxa"/>
                  </w:tcMar>
                </w:tcPr>
                <w:p>
                  <w:pPr>
                    <w:spacing w:after="0"/>
                    <w:jc w:val="center"/>
                  </w:pPr>
                  <w:r>
                    <w:rPr>
                      <w:rFonts w:cs="Tahoma"/>
                      <w:b/>
                      <w:sz w:val="16"/>
                    </w:rPr>
                    <w:t>General Gambling</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a3game</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1F3F63"/>
                </w:tcPr>
                <w:p>
                  <w:pPr>
                    <w:spacing w:after="0"/>
                    <w:jc w:val="center"/>
                  </w:pPr>
                  <w:r>
                    <w:rPr>
                      <w:color w:val="FFFFFF"/>
                      <w:sz w:val="16"/>
                    </w:rPr>
                    <w:t>491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10</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jun</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1CAD4"/>
                </w:tcPr>
                <w:p>
                  <w:pPr>
                    <w:spacing w:after="0"/>
                    <w:jc w:val="center"/>
                  </w:pPr>
                  <w:r>
                    <w:rPr>
                      <w:color w:val="202020"/>
                      <w:sz w:val="16"/>
                    </w:rPr>
                    <w:t>104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CC6D0"/>
                </w:tcPr>
                <w:p>
                  <w:pPr>
                    <w:spacing w:after="0"/>
                    <w:jc w:val="center"/>
                  </w:pPr>
                  <w:r>
                    <w:rPr>
                      <w:color w:val="202020"/>
                      <w:sz w:val="16"/>
                    </w:rPr>
                    <w:t>117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4BFCB"/>
                </w:tcPr>
                <w:p>
                  <w:pPr>
                    <w:spacing w:after="0"/>
                    <w:jc w:val="center"/>
                  </w:pPr>
                  <w:r>
                    <w:rPr>
                      <w:color w:val="202020"/>
                      <w:sz w:val="16"/>
                    </w:rPr>
                    <w:t>135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1D8DF"/>
                </w:tcPr>
                <w:p>
                  <w:pPr>
                    <w:spacing w:after="0"/>
                    <w:jc w:val="center"/>
                  </w:pPr>
                  <w:r>
                    <w:rPr>
                      <w:color w:val="202020"/>
                      <w:sz w:val="16"/>
                    </w:rPr>
                    <w:t>66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BE0E6"/>
                </w:tcPr>
                <w:p>
                  <w:pPr>
                    <w:spacing w:after="0"/>
                    <w:jc w:val="center"/>
                  </w:pPr>
                  <w:r>
                    <w:rPr>
                      <w:color w:val="202020"/>
                      <w:sz w:val="16"/>
                    </w:rPr>
                    <w:t>43</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hay</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6C0CC"/>
                </w:tcPr>
                <w:p>
                  <w:pPr>
                    <w:spacing w:after="0"/>
                    <w:jc w:val="center"/>
                  </w:pPr>
                  <w:r>
                    <w:rPr>
                      <w:color w:val="202020"/>
                      <w:sz w:val="16"/>
                    </w:rPr>
                    <w:t>132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8092A6"/>
                </w:tcPr>
                <w:p>
                  <w:pPr>
                    <w:spacing w:after="0"/>
                    <w:jc w:val="center"/>
                  </w:pPr>
                  <w:r>
                    <w:rPr>
                      <w:color w:val="FFFFFF"/>
                      <w:sz w:val="16"/>
                    </w:rPr>
                    <w:t>261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CEF"/>
                </w:tcPr>
                <w:p>
                  <w:pPr>
                    <w:spacing w:after="0"/>
                    <w:jc w:val="center"/>
                  </w:pPr>
                  <w:r>
                    <w:rPr>
                      <w:color w:val="202020"/>
                      <w:sz w:val="16"/>
                    </w:rPr>
                    <w:t>11</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k03</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7B8EA3"/>
                </w:tcPr>
                <w:p>
                  <w:pPr>
                    <w:spacing w:after="0"/>
                    <w:jc w:val="center"/>
                  </w:pPr>
                  <w:r>
                    <w:rPr>
                      <w:color w:val="FFFFFF"/>
                      <w:sz w:val="16"/>
                    </w:rPr>
                    <w:t>272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gg88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7DDE3"/>
                </w:tcPr>
                <w:p>
                  <w:pPr>
                    <w:spacing w:after="0"/>
                    <w:jc w:val="center"/>
                  </w:pPr>
                  <w:r>
                    <w:rPr>
                      <w:color w:val="202020"/>
                      <w:sz w:val="16"/>
                    </w:rPr>
                    <w:t>52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8DEE4"/>
                </w:tcPr>
                <w:p>
                  <w:pPr>
                    <w:spacing w:after="0"/>
                    <w:jc w:val="center"/>
                  </w:pPr>
                  <w:r>
                    <w:rPr>
                      <w:color w:val="202020"/>
                      <w:sz w:val="16"/>
                    </w:rPr>
                    <w:t>50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B8C2CD"/>
                </w:tcPr>
                <w:p>
                  <w:pPr>
                    <w:spacing w:after="0"/>
                    <w:jc w:val="center"/>
                  </w:pPr>
                  <w:r>
                    <w:rPr>
                      <w:color w:val="202020"/>
                      <w:sz w:val="16"/>
                    </w:rPr>
                    <w:t>127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CE1E7"/>
                </w:tcPr>
                <w:p>
                  <w:pPr>
                    <w:spacing w:after="0"/>
                    <w:jc w:val="center"/>
                  </w:pPr>
                  <w:r>
                    <w:rPr>
                      <w:color w:val="202020"/>
                      <w:sz w:val="16"/>
                    </w:rPr>
                    <w:t>40</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paes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1CAD4"/>
                </w:tcPr>
                <w:p>
                  <w:pPr>
                    <w:spacing w:after="0"/>
                    <w:jc w:val="center"/>
                  </w:pPr>
                  <w:r>
                    <w:rPr>
                      <w:color w:val="202020"/>
                      <w:sz w:val="16"/>
                    </w:rPr>
                    <w:t>104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3E7EB"/>
                </w:tcPr>
                <w:p>
                  <w:pPr>
                    <w:spacing w:after="0"/>
                    <w:jc w:val="center"/>
                  </w:pPr>
                  <w:r>
                    <w:rPr>
                      <w:color w:val="202020"/>
                      <w:sz w:val="16"/>
                    </w:rPr>
                    <w:t>25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6CED7"/>
                </w:tcPr>
                <w:p>
                  <w:pPr>
                    <w:spacing w:after="0"/>
                    <w:jc w:val="center"/>
                  </w:pPr>
                  <w:r>
                    <w:rPr>
                      <w:color w:val="202020"/>
                      <w:sz w:val="16"/>
                    </w:rPr>
                    <w:t>94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ADFE5"/>
                </w:tcPr>
                <w:p>
                  <w:pPr>
                    <w:spacing w:after="0"/>
                    <w:jc w:val="center"/>
                  </w:pPr>
                  <w:r>
                    <w:rPr>
                      <w:color w:val="202020"/>
                      <w:sz w:val="16"/>
                    </w:rPr>
                    <w:t>46</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49m</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ED5DD"/>
                </w:tcPr>
                <w:p>
                  <w:pPr>
                    <w:spacing w:after="0"/>
                    <w:jc w:val="center"/>
                  </w:pPr>
                  <w:r>
                    <w:rPr>
                      <w:color w:val="202020"/>
                      <w:sz w:val="16"/>
                    </w:rPr>
                    <w:t>74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A6B3C1"/>
                </w:tcPr>
                <w:p>
                  <w:pPr>
                    <w:spacing w:after="0"/>
                    <w:jc w:val="center"/>
                  </w:pPr>
                  <w:r>
                    <w:rPr>
                      <w:color w:val="202020"/>
                      <w:sz w:val="16"/>
                    </w:rPr>
                    <w:t>169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paegs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2D8E0"/>
                </w:tcPr>
                <w:p>
                  <w:pPr>
                    <w:spacing w:after="0"/>
                    <w:jc w:val="center"/>
                  </w:pPr>
                  <w:r>
                    <w:rPr>
                      <w:color w:val="202020"/>
                      <w:sz w:val="16"/>
                    </w:rPr>
                    <w:t>65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CEF"/>
                </w:tcPr>
                <w:p>
                  <w:pPr>
                    <w:spacing w:after="0"/>
                    <w:jc w:val="center"/>
                  </w:pPr>
                  <w:r>
                    <w:rPr>
                      <w:color w:val="202020"/>
                      <w:sz w:val="16"/>
                    </w:rPr>
                    <w:t>11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DD4DC"/>
                </w:tcPr>
                <w:p>
                  <w:pPr>
                    <w:spacing w:after="0"/>
                    <w:jc w:val="center"/>
                  </w:pPr>
                  <w:r>
                    <w:rPr>
                      <w:color w:val="202020"/>
                      <w:sz w:val="16"/>
                    </w:rPr>
                    <w:t>76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3E7EC"/>
                </w:tcPr>
                <w:p>
                  <w:pPr>
                    <w:spacing w:after="0"/>
                    <w:jc w:val="center"/>
                  </w:pPr>
                  <w:r>
                    <w:rPr>
                      <w:color w:val="202020"/>
                      <w:sz w:val="16"/>
                    </w:rPr>
                    <w:t>24</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jin</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5E9ED"/>
                </w:tcPr>
                <w:p>
                  <w:pPr>
                    <w:spacing w:after="0"/>
                    <w:jc w:val="center"/>
                  </w:pPr>
                  <w:r>
                    <w:rPr>
                      <w:color w:val="202020"/>
                      <w:sz w:val="16"/>
                    </w:rPr>
                    <w:t>19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0E4E9"/>
                </w:tcPr>
                <w:p>
                  <w:pPr>
                    <w:spacing w:after="0"/>
                    <w:jc w:val="center"/>
                  </w:pPr>
                  <w:r>
                    <w:rPr>
                      <w:color w:val="202020"/>
                      <w:sz w:val="16"/>
                    </w:rPr>
                    <w:t>31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5E8ED"/>
                </w:tcPr>
                <w:p>
                  <w:pPr>
                    <w:spacing w:after="0"/>
                    <w:jc w:val="center"/>
                  </w:pPr>
                  <w:r>
                    <w:rPr>
                      <w:color w:val="202020"/>
                      <w:sz w:val="16"/>
                    </w:rPr>
                    <w:t>20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1E6EA"/>
                </w:tcPr>
                <w:p>
                  <w:pPr>
                    <w:spacing w:after="0"/>
                    <w:jc w:val="center"/>
                  </w:pPr>
                  <w:r>
                    <w:rPr>
                      <w:color w:val="202020"/>
                      <w:sz w:val="16"/>
                    </w:rPr>
                    <w:t>28</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lott</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10</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CDD4DC"/>
                </w:tcPr>
                <w:p>
                  <w:pPr>
                    <w:spacing w:after="0"/>
                    <w:jc w:val="center"/>
                  </w:pPr>
                  <w:r>
                    <w:rPr>
                      <w:color w:val="202020"/>
                      <w:sz w:val="16"/>
                    </w:rPr>
                    <w:t>77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9ECF0"/>
                </w:tcPr>
                <w:p>
                  <w:pPr>
                    <w:spacing w:after="0"/>
                    <w:jc w:val="center"/>
                  </w:pPr>
                  <w:r>
                    <w:rPr>
                      <w:color w:val="202020"/>
                      <w:sz w:val="16"/>
                    </w:rPr>
                    <w:t>10</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uu8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5E9ED"/>
                </w:tcPr>
                <w:p>
                  <w:pPr>
                    <w:spacing w:after="0"/>
                    <w:jc w:val="center"/>
                  </w:pPr>
                  <w:r>
                    <w:rPr>
                      <w:color w:val="202020"/>
                      <w:sz w:val="16"/>
                    </w:rPr>
                    <w:t>19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4E8EC"/>
                </w:tcPr>
                <w:p>
                  <w:pPr>
                    <w:spacing w:after="0"/>
                    <w:jc w:val="center"/>
                  </w:pPr>
                  <w:r>
                    <w:rPr>
                      <w:color w:val="202020"/>
                      <w:sz w:val="16"/>
                    </w:rPr>
                    <w:t>21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1E5EA"/>
                </w:tcPr>
                <w:p>
                  <w:pPr>
                    <w:spacing w:after="0"/>
                    <w:jc w:val="center"/>
                  </w:pPr>
                  <w:r>
                    <w:rPr>
                      <w:color w:val="202020"/>
                      <w:sz w:val="16"/>
                    </w:rPr>
                    <w:t>29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CEF"/>
                </w:tcPr>
                <w:p>
                  <w:pPr>
                    <w:spacing w:after="0"/>
                    <w:jc w:val="center"/>
                  </w:pPr>
                  <w:r>
                    <w:rPr>
                      <w:color w:val="202020"/>
                      <w:sz w:val="16"/>
                    </w:rPr>
                    <w:t>11</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7ok</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0D7DE"/>
                </w:tcPr>
                <w:p>
                  <w:pPr>
                    <w:spacing w:after="0"/>
                    <w:jc w:val="center"/>
                  </w:pPr>
                  <w:r>
                    <w:rPr>
                      <w:color w:val="202020"/>
                      <w:sz w:val="16"/>
                    </w:rPr>
                    <w:t>69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o8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6DCE2"/>
                </w:tcPr>
                <w:p>
                  <w:pPr>
                    <w:spacing w:after="0"/>
                    <w:jc w:val="center"/>
                  </w:pPr>
                  <w:r>
                    <w:rPr>
                      <w:color w:val="202020"/>
                      <w:sz w:val="16"/>
                    </w:rPr>
                    <w:t>55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6E9ED"/>
                </w:tcPr>
                <w:p>
                  <w:pPr>
                    <w:spacing w:after="0"/>
                    <w:jc w:val="center"/>
                  </w:pPr>
                  <w:r>
                    <w:rPr>
                      <w:color w:val="202020"/>
                      <w:sz w:val="16"/>
                    </w:rPr>
                    <w:t>18</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min</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9DFE5"/>
                </w:tcPr>
                <w:p>
                  <w:pPr>
                    <w:spacing w:after="0"/>
                    <w:jc w:val="center"/>
                  </w:pPr>
                  <w:r>
                    <w:rPr>
                      <w:color w:val="202020"/>
                      <w:sz w:val="16"/>
                    </w:rPr>
                    <w:t>47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l8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BE0E6"/>
                </w:tcPr>
                <w:p>
                  <w:pPr>
                    <w:spacing w:after="0"/>
                    <w:jc w:val="center"/>
                  </w:pPr>
                  <w:r>
                    <w:rPr>
                      <w:color w:val="202020"/>
                      <w:sz w:val="16"/>
                    </w:rPr>
                    <w:t>44</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s8s</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FE4E9"/>
                </w:tcPr>
                <w:p>
                  <w:pPr>
                    <w:spacing w:after="0"/>
                    <w:jc w:val="center"/>
                  </w:pPr>
                  <w:r>
                    <w:rPr>
                      <w:color w:val="202020"/>
                      <w:sz w:val="16"/>
                    </w:rPr>
                    <w:t>33</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bohocasino</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DDE2E7"/>
                </w:tcPr>
                <w:p>
                  <w:pPr>
                    <w:spacing w:after="0"/>
                    <w:jc w:val="center"/>
                  </w:pPr>
                  <w:r>
                    <w:rPr>
                      <w:color w:val="202020"/>
                      <w:sz w:val="16"/>
                    </w:rPr>
                    <w:t>38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oo7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8EBEF"/>
                </w:tcPr>
                <w:p>
                  <w:pPr>
                    <w:spacing w:after="0"/>
                    <w:jc w:val="center"/>
                  </w:pPr>
                  <w:r>
                    <w:rPr>
                      <w:color w:val="202020"/>
                      <w:sz w:val="16"/>
                    </w:rPr>
                    <w:t>12</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2E6EB"/>
                </w:tcPr>
                <w:p>
                  <w:pPr>
                    <w:spacing w:after="0"/>
                    <w:jc w:val="center"/>
                  </w:pPr>
                  <w:r>
                    <w:rPr>
                      <w:color w:val="202020"/>
                      <w:sz w:val="16"/>
                    </w:rPr>
                    <w:t>26</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bu8</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5</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2E6EB"/>
                </w:tcPr>
                <w:p>
                  <w:pPr>
                    <w:spacing w:after="0"/>
                    <w:jc w:val="center"/>
                  </w:pPr>
                  <w:r>
                    <w:rPr>
                      <w:color w:val="202020"/>
                      <w:sz w:val="16"/>
                    </w:rPr>
                    <w:t>27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DF1"/>
                </w:tcPr>
                <w:p>
                  <w:pPr>
                    <w:spacing w:after="0"/>
                    <w:jc w:val="center"/>
                  </w:pPr>
                  <w:r>
                    <w:rPr>
                      <w:color w:val="202020"/>
                      <w:sz w:val="16"/>
                    </w:rPr>
                    <w:t>6</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DEFF2"/>
                </w:tcPr>
                <w:p>
                  <w:pPr>
                    <w:spacing w:after="0"/>
                    <w:jc w:val="center"/>
                  </w:pPr>
                  <w:r>
                    <w:rPr>
                      <w:color w:val="202020"/>
                      <w:sz w:val="16"/>
                    </w:rPr>
                    <w:t>1</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r>
            <w:tr>
              <w:trPr>
                <w:cantSplit/>
              </w:trPr>
              <w:tc>
                <w:tcPr>
                  <w:tcW w:type="dxa" w:w="1814"/>
                  <w:tcBorders>
                    <w:top w:val="single" w:sz="4" w:color="C9D2DB" w:space="0"/>
                    <w:left w:val="single" w:sz="4" w:color="C9D2DB" w:space="0"/>
                    <w:bottom w:val="single" w:sz="4" w:color="C9D2DB" w:space="0"/>
                    <w:right w:val="single" w:sz="4" w:color="C9D2DB" w:space="0"/>
                  </w:tcBorders>
                  <w:tcMar>
                    <w:top w:w="28" w:type="dxa"/>
                    <w:left w:w="85" w:type="dxa"/>
                    <w:bottom w:w="28" w:type="dxa"/>
                    <w:right w:w="56" w:type="dxa"/>
                  </w:tcMar>
                </w:tcPr>
                <w:p>
                  <w:pPr>
                    <w:spacing w:after="0"/>
                  </w:pPr>
                  <w:r>
                    <w:rPr>
                      <w:rFonts w:cs="Tahoma"/>
                      <w:sz w:val="16"/>
                    </w:rPr>
                    <w:t>jju</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AEDF0"/>
                </w:tcPr>
                <w:p>
                  <w:pPr>
                    <w:spacing w:after="0"/>
                    <w:jc w:val="center"/>
                  </w:pPr>
                  <w:r>
                    <w:rPr>
                      <w:color w:val="202020"/>
                      <w:sz w:val="16"/>
                    </w:rPr>
                    <w:t>7</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5E9ED"/>
                </w:tcPr>
                <w:p>
                  <w:pPr>
                    <w:spacing w:after="0"/>
                    <w:jc w:val="center"/>
                  </w:pPr>
                  <w:r>
                    <w:rPr>
                      <w:color w:val="202020"/>
                      <w:sz w:val="16"/>
                    </w:rPr>
                    <w:t>19</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tcPr>
                <w:p>
                  <w:pPr>
                    <w:spacing w:after="0"/>
                    <w:jc w:val="center"/>
                  </w:pPr>
                  <w:r>
                    <w:rPr>
                      <w:sz w:val="16"/>
                    </w:rPr>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BEEF1"/>
                </w:tcPr>
                <w:p>
                  <w:pPr>
                    <w:spacing w:after="0"/>
                    <w:jc w:val="center"/>
                  </w:pPr>
                  <w:r>
                    <w:rPr>
                      <w:color w:val="202020"/>
                      <w:sz w:val="16"/>
                    </w:rPr>
                    <w:t>4</w:t>
                  </w:r>
                </w:p>
              </w:tc>
              <w:tc>
                <w:tcPr>
                  <w:tcW w:type="dxa" w:w="850"/>
                  <w:tcBorders>
                    <w:top w:val="single" w:sz="4" w:color="C9D2DB" w:space="0"/>
                    <w:left w:val="single" w:sz="4" w:color="C9D2DB" w:space="0"/>
                    <w:bottom w:val="single" w:sz="4" w:color="C9D2DB" w:space="0"/>
                    <w:right w:val="single" w:sz="4" w:color="C9D2DB" w:space="0"/>
                  </w:tcBorders>
                  <w:tcMar>
                    <w:top w:w="28" w:type="dxa"/>
                    <w:left w:w="28" w:type="dxa"/>
                    <w:bottom w:w="28" w:type="dxa"/>
                    <w:right w:w="28" w:type="dxa"/>
                  </w:tcMar>
                  <w:shd w:val="clear" w:color="auto" w:fill="ECEFF2"/>
                </w:tcPr>
                <w:p>
                  <w:pPr>
                    <w:spacing w:after="0"/>
                    <w:jc w:val="center"/>
                  </w:pPr>
                  <w:r>
                    <w:rPr>
                      <w:color w:val="202020"/>
                      <w:sz w:val="16"/>
                    </w:rPr>
                    <w:t>3</w:t>
                  </w:r>
                </w:p>
              </w:tc>
            </w:tr>
          </w:tbl>
          <w:p/>
          <w:p>
            <w:pPr>
              <w:spacing w:after="0" w:line="60" w:lineRule="exact"/>
            </w:pPr>
          </w:p>
          <w:tbl>
            <w:tblPr>
              <w:tblW w:type="auto" w:w="0"/>
              <w:jc w:val="center"/>
              <w:tblLayout w:type="fixed"/>
              <w:tblLook w:firstColumn="1" w:firstRow="1" w:lastColumn="0" w:lastRow="0" w:noHBand="0" w:noVBand="1" w:val="04A0"/>
              <w:tblLayout w:type="fixed"/>
            </w:tblPr>
            <w:tblGrid>
              <w:gridCol w:w="453"/>
              <w:gridCol w:w="1247"/>
              <w:gridCol w:w="453"/>
              <w:gridCol w:w="1247"/>
            </w:tblGrid>
            <w:tr>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EDF0F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Low: 1</w:t>
                  </w:r>
                </w:p>
              </w:tc>
              <w:tc>
                <w:tcPr>
                  <w:tcW w:type="dxa" w:w="454"/>
                  <w:tcMar>
                    <w:top w:w="28" w:type="dxa"/>
                    <w:left w:w="56" w:type="dxa"/>
                    <w:bottom w:w="28" w:type="dxa"/>
                    <w:right w:w="56" w:type="dxa"/>
                  </w:tcMar>
                  <w:tcBorders>
                    <w:top w:val="single" w:sz="4" w:color="C9D2DB" w:space="0"/>
                    <w:left w:val="single" w:sz="4" w:color="C9D2DB" w:space="0"/>
                    <w:bottom w:val="single" w:sz="4" w:color="C9D2DB" w:space="0"/>
                    <w:right w:val="single" w:sz="4" w:color="C9D2DB" w:space="0"/>
                  </w:tcBorders>
                  <w:shd w:val="clear" w:color="auto" w:fill="1F3F63"/>
                </w:tcPr>
                <w:p/>
                <w:p>
                  <w:pPr>
                    <w:spacing w:after="0" w:before="0"/>
                  </w:pPr>
                  <w:r>
                    <w:rPr>
                      <w:rFonts w:cs="Tahoma"/>
                      <w:b w:val="0"/>
                      <w:i w:val="0"/>
                      <w:sz w:val="12"/>
                    </w:rPr>
                    <w:t xml:space="preserve"> </w:t>
                  </w:r>
                </w:p>
              </w:tc>
              <w:tc>
                <w:tcPr>
                  <w:tcW w:type="dxa" w:w="1247"/>
                  <w:tcMar>
                    <w:top w:w="28" w:type="dxa"/>
                    <w:left w:w="56" w:type="dxa"/>
                    <w:bottom w:w="28" w:type="dxa"/>
                    <w:right w:w="56" w:type="dxa"/>
                  </w:tcMar>
                  <w:tcBorders>
                    <w:top w:val="single" w:sz="2" w:color="FFFFFF" w:space="0"/>
                    <w:left w:val="single" w:sz="2" w:color="FFFFFF" w:space="0"/>
                    <w:bottom w:val="single" w:sz="2" w:color="FFFFFF" w:space="0"/>
                    <w:right w:val="single" w:sz="2" w:color="FFFFFF" w:space="0"/>
                  </w:tcBorders>
                </w:tcPr>
                <w:p/>
                <w:p>
                  <w:pPr>
                    <w:spacing w:after="0" w:before="0"/>
                  </w:pPr>
                  <w:r>
                    <w:rPr>
                      <w:rFonts w:cs="Tahoma"/>
                      <w:b w:val="0"/>
                      <w:i w:val="0"/>
                      <w:sz w:val="16"/>
                    </w:rPr>
                    <w:t>High: 491</w:t>
                  </w:r>
                </w:p>
              </w:tc>
            </w:tr>
          </w:tbl>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Cluster expansion: a3game</w:t>
            </w:r>
          </w:p>
          <w:p>
            <w:pPr>
              <w:keepNext/>
              <w:spacing w:after="120" w:before="0"/>
            </w:pPr>
            <w:r>
              <w:rPr>
                <w:rFonts w:cs="Tahoma"/>
                <w:b w:val="0"/>
                <w:i w:val="0"/>
                <w:sz w:val="19"/>
              </w:rPr>
              <w:t>The largest brand cluster and its member domains. Edge style records why each domain joined the cluster.</w:t>
            </w:r>
          </w:p>
          <w:p>
            <w:pPr>
              <w:spacing w:after="80"/>
              <w:jc w:val="center"/>
            </w:pPr>
            <w:r>
              <w:drawing>
                <wp:inline xmlns:a="http://schemas.openxmlformats.org/drawingml/2006/main" xmlns:pic="http://schemas.openxmlformats.org/drawingml/2006/picture">
                  <wp:extent cx="3168000" cy="3168000"/>
                  <wp:docPr id="7" name="Picture 7"/>
                  <wp:cNvGraphicFramePr>
                    <a:graphicFrameLocks noChangeAspect="1"/>
                  </wp:cNvGraphicFramePr>
                  <a:graphic>
                    <a:graphicData uri="http://schemas.openxmlformats.org/drawingml/2006/picture">
                      <pic:pic>
                        <pic:nvPicPr>
                          <pic:cNvPr id="0" name="e4.png"/>
                          <pic:cNvPicPr/>
                        </pic:nvPicPr>
                        <pic:blipFill>
                          <a:blip r:embed="rId15"/>
                          <a:stretch>
                            <a:fillRect/>
                          </a:stretch>
                        </pic:blipFill>
                        <pic:spPr>
                          <a:xfrm>
                            <a:off x="0" y="0"/>
                            <a:ext cx="3168000" cy="3168000"/>
                          </a:xfrm>
                          <a:prstGeom prst="rect"/>
                        </pic:spPr>
                      </pic:pic>
                    </a:graphicData>
                  </a:graphic>
                </wp:inline>
              </w:drawing>
            </w:r>
          </w:p>
          <w:p>
            <w:pPr>
              <w:spacing w:after="80" w:before="0"/>
            </w:pPr>
            <w:r>
              <w:rPr>
                <w:rFonts w:cs="Tahoma"/>
                <w:b w:val="0"/>
                <w:i w:val="0"/>
                <w:sz w:val="18"/>
              </w:rPr>
              <w:t>Dashed edges mark members that share the cluster stem. Dotted edges mark members that joined by spelling similarity.</w:t>
            </w:r>
          </w:p>
          <w:tbl>
            <w:tblPr>
              <w:tblW w:type="auto" w:w="0"/>
              <w:jc w:val="center"/>
              <w:tblLayout w:type="fixed"/>
              <w:tblLook w:firstColumn="1" w:firstRow="1" w:lastColumn="0" w:lastRow="0" w:noHBand="0" w:noVBand="1" w:val="04A0"/>
              <w:tblLayout w:type="fixed"/>
            </w:tblPr>
            <w:tblGrid>
              <w:gridCol w:w="453"/>
              <w:gridCol w:w="3515"/>
              <w:gridCol w:w="453"/>
              <w:gridCol w:w="3515"/>
            </w:tblGrid>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a3game.app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21</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account.m.login.a3game.vip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a3game.click</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22</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account.m.m.a3game.vip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a3game.net</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23</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account.m.mobile.a3game.vip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24</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account.m.secure.a3game.vip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5</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25</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account.m.support.a3game.vip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6</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26</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account.m.www.a3game.vip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account.account.account.a3game.vip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27</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account.m.www.mobile.a3game.vip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8</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account.account.account.support.a3game.vip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28</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9</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account.account.login.a3game.vip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29</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account.mobile.account.a3game.vip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10</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account.account.m.a3game.vip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30</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account.mobile.login.a3game.vip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11</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account.account.mobile.a3game.vip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31</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account.mobile.m.a3game.vip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12</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account.account.secure.a3game.vip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32</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account.mobile.m.www.a3game.vip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13</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account.account.support.a3game.vip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33</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account.mobile.mobile.a3game.vip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14</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account.account.verify.a3game.vip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34</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account.mobile.secure.a3game.vip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15</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account.account.www.a3game.vip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35</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account.mobile.support.a3game.vip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16</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account.login.a3game.vip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36</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account.secure.a3game.vip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17</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account.login.secure.mobile.a3game.vip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37</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account.secure.mobile.a3game.vip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18</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account.login.verify.a3game.vip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38</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account.secure.secure.a3game.vip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19</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39</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account.secure.verify.a3game.vip</w:t>
                  </w:r>
                </w:p>
              </w:tc>
            </w:tr>
            <w:tr>
              <w:trPr>
                <w:cantSplit/>
              </w:trPr>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20</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account.m.account.a3game.vip</w:t>
                  </w:r>
                </w:p>
              </w:tc>
              <w:tc>
                <w:tcPr>
                  <w:tcW w:type="dxa" w:w="45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40</w:t>
                  </w:r>
                </w:p>
              </w:tc>
              <w:tc>
                <w:tcPr>
                  <w:tcW w:type="dxa" w:w="351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account.support.a3game.vip</w:t>
                  </w:r>
                </w:p>
              </w:tc>
            </w:tr>
          </w:tbl>
          <w:p/>
          <w:p>
            <w:pPr>
              <w:spacing w:after="0" w:before="80"/>
            </w:pPr>
            <w:r>
              <w:rPr>
                <w:rFonts w:cs="Tahoma"/>
                <w:b w:val="0"/>
                <w:i/>
                <w:color w:val="5A6B7D"/>
                <w:sz w:val="17"/>
              </w:rPr>
              <w:t>Showing 40 of 507 member domains.</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Clusters spanning multiple subcategories</w:t>
            </w:r>
          </w:p>
          <w:tbl>
            <w:tblPr>
              <w:tblW w:type="auto" w:w="0"/>
              <w:jc w:val="center"/>
              <w:tblLayout w:type="fixed"/>
              <w:tblLook w:firstColumn="1" w:firstRow="1" w:lastColumn="0" w:lastRow="0" w:noHBand="0" w:noVBand="1" w:val="04A0"/>
              <w:tblLayout w:type="fixed"/>
            </w:tblPr>
            <w:tblGrid>
              <w:gridCol w:w="1360"/>
              <w:gridCol w:w="963"/>
              <w:gridCol w:w="3742"/>
              <w:gridCol w:w="1871"/>
            </w:tblGrid>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Cluster</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URL count</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Subcategories</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Suffixes</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a3game</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507</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 491; General Gambling 10; Casino 3; Lottery 3</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.app, .click, .net, .vip</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jun</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484</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 135; Slots 117; Football Betting 104; Lottery 66; General Gambling 43; Playing card 12; Baccarat 7</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.top, .cc, .mobile, .xyz</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hay</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414</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 261; Football Betting 132; General Gambling 11; Slots 10</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.net, .app, .bet, .club</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gg88</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271</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 127; Football Betting 52; Slots 50; General Gambling 40; Playing card 1; Baccarat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.pro, .app, .bet, .cc</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paes</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269</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Football Betting 104; Casino 94; General Gambling 46; Slots 25</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.dev</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49m</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255</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Playing card 169; Casino 74; Slots 12</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paegs</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176</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 76; Football Betting 65; General Gambling 24; Slots 11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.dev</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jin</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106</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 31; General Gambling 28; Casino 20; Football Betting 19; Playing card 7; Lottery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.vip, .com, .net, .bet</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lott</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105</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Lottery 77; Slots 10; General Gambling 10; Casino 4; Playing card 2; Football Betting 2</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.th, .cc, .fun</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uu8</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82</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 29; Slots 21; Football Betting 19; General Gambling 11; Lottery 1; Playing card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.cc, .app, .io, .click</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75</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 69; General Gambling 3; Casino 2; Lottery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.bet, .club, .io, .live</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o8</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75</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 55; General Gambling 18; Casino 2</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.game, .live</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min</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62</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Football Betting 47; Casino 8; Slots 5; Playing card 1; General Gambling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.net, .academy, .actor</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l8</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57</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General Gambling 44; Slots 12; Casino 1</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.game</w:t>
                  </w:r>
                </w:p>
              </w:tc>
            </w:tr>
            <w:tr>
              <w:trPr>
                <w:cantSplit/>
              </w:trPr>
              <w:tc>
                <w:tcPr>
                  <w:tcW w:type="dxa" w:w="136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s8s</w:t>
                  </w:r>
                </w:p>
              </w:tc>
              <w:tc>
                <w:tcPr>
                  <w:tcW w:type="dxa" w:w="96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49</w:t>
                  </w:r>
                </w:p>
              </w:tc>
              <w:tc>
                <w:tcPr>
                  <w:tcW w:type="dxa" w:w="3742"/>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General Gambling 33; Casino 12; Slots 4</w:t>
                  </w:r>
                </w:p>
              </w:tc>
              <w:tc>
                <w:tcPr>
                  <w:tcW w:type="dxa" w:w="187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w:t>
                  </w:r>
                </w:p>
              </w:tc>
            </w:tr>
          </w:tbl>
          <w:p/>
          <w:p>
            <w:pPr>
              <w:spacing w:after="0" w:line="80" w:lineRule="exact"/>
            </w:pPr>
          </w:p>
          <w:p>
            <w:pPr>
              <w:spacing w:after="0" w:before="80"/>
            </w:pPr>
            <w:r>
              <w:rPr>
                <w:rFonts w:cs="Tahoma"/>
                <w:b w:val="0"/>
                <w:i/>
                <w:color w:val="5A6B7D"/>
                <w:sz w:val="17"/>
              </w:rPr>
              <w:t>Largest 15 of 791 clusters spanning two or more product subcategories.</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Clusters rotating top level domains</w:t>
            </w:r>
          </w:p>
          <w:tbl>
            <w:tblPr>
              <w:tblW w:type="auto" w:w="0"/>
              <w:jc w:val="center"/>
              <w:tblLayout w:type="fixed"/>
              <w:tblLook w:firstColumn="1" w:firstRow="1" w:lastColumn="0" w:lastRow="0" w:noHBand="0" w:noVBand="1" w:val="04A0"/>
              <w:tblLayout w:type="fixed"/>
            </w:tblPr>
            <w:tblGrid>
              <w:gridCol w:w="1474"/>
              <w:gridCol w:w="1020"/>
              <w:gridCol w:w="5443"/>
            </w:tblGrid>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Cluster</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Suffixes</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Counts</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jun</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30</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.top 93, .com 71, .net 54, .bet 32, .cc 25, .app 25</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min</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29</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.net 7, .com 6, .app 4, .vip 3, .actor 2, .art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uu8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22</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.cc 11, .com 9, .net 9, .pro 7, .app 6, .click 5</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bu8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21</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6, .app 2, .bid 2, .cab 2, .club 2, .in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gg88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19</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.net 50, .app 43, .pro 41, .bet 31, .com 28, .online 17</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jin</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19</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.vip 21, .com 16, .co 14, .net 13, .bet 7, .pro 7</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m88thcasino</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17</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.buzz 2, .casino 2, .cc 2, .click 2, .club 2, .co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ezslot</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17</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.bet 4, .live 3, .buzz 2, .cc 2, .info 2, .land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lott</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16</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59, .net 9, .cc 4, .live 4, .online 4, .bet 4</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hh9</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16</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.pro 3, .net 3, .vip 3, .bet 3, .club 2, .click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bohocasino</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15</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29, .info 3, .net 2, .co 2, .app 1, .bet 1</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mu8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15</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.net 4, .cc 3, .me 3, .bet 3, .online 2, .fun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jju</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14</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5, .net 5, .xyz 5, .pro 4, .co 4, .top 4</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pgcat</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14</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17, .info 3, .bet 2, .buzz 2, .click 2, .club 2</w:t>
                  </w:r>
                </w:p>
              </w:tc>
            </w:tr>
            <w:tr>
              <w:trPr>
                <w:cantSplit/>
              </w:trPr>
              <w:tc>
                <w:tcPr>
                  <w:tcW w:type="dxa" w:w="147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ku8</w:t>
                  </w:r>
                </w:p>
              </w:tc>
              <w:tc>
                <w:tcPr>
                  <w:tcW w:type="dxa" w:w="1020"/>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14</w:t>
                  </w:r>
                </w:p>
              </w:tc>
              <w:tc>
                <w:tcPr>
                  <w:tcW w:type="dxa" w:w="544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.com 7, .net 4, .pro 3, .casino 2, .io 2, .live 2</w:t>
                  </w:r>
                </w:p>
              </w:tc>
            </w:tr>
          </w:tbl>
          <w:p/>
          <w:p>
            <w:pPr>
              <w:spacing w:after="0" w:line="80" w:lineRule="exact"/>
            </w:pPr>
          </w:p>
          <w:p>
            <w:pPr>
              <w:spacing w:after="0" w:before="80"/>
            </w:pPr>
            <w:r>
              <w:rPr>
                <w:rFonts w:cs="Tahoma"/>
                <w:b w:val="0"/>
                <w:i/>
                <w:color w:val="5A6B7D"/>
                <w:sz w:val="17"/>
              </w:rPr>
              <w:t>Top 15 of 757 clusters using two or more suffixes, ranked by number of suffixes.</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Possible operator linkage</w:t>
            </w:r>
          </w:p>
          <w:p>
            <w:pPr>
              <w:keepNext/>
              <w:spacing w:after="80" w:before="0"/>
            </w:pPr>
            <w:r>
              <w:rPr>
                <w:rFonts w:cs="Tahoma"/>
                <w:b w:val="0"/>
                <w:i/>
                <w:color w:val="5A6B7D"/>
                <w:sz w:val="18"/>
              </w:rPr>
              <w:t>Indicative, not a clustering decision</w:t>
            </w:r>
          </w:p>
          <w:tbl>
            <w:tblPr>
              <w:tblW w:type="auto" w:w="0"/>
              <w:jc w:val="center"/>
              <w:tblLayout w:type="fixed"/>
              <w:tblLook w:firstColumn="1" w:firstRow="1" w:lastColumn="0" w:lastRow="0" w:noHBand="0" w:noVBand="1" w:val="04A0"/>
              <w:tblLayout w:type="fixed"/>
            </w:tblPr>
            <w:tblGrid>
              <w:gridCol w:w="1587"/>
              <w:gridCol w:w="1587"/>
              <w:gridCol w:w="3855"/>
              <w:gridCol w:w="907"/>
            </w:tblGrid>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Cluster A</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Cluster B</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Shared keywords</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jc w:val="right"/>
                  </w:pPr>
                  <w:r>
                    <w:rPr>
                      <w:rFonts w:cs="Tahoma"/>
                      <w:b/>
                      <w:color w:val="FFFFFF"/>
                      <w:sz w:val="16"/>
                    </w:rPr>
                    <w:t>Jaccard</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gg88</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hh88</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Affiliate, Partner</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jju</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mun</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jub</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ko9</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ub8</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wingame</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jon</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hun</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kh88</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hub</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jn789</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m98</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ms88</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r>
              <w:trPr>
                <w:cantSplit/>
              </w:trPr>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7ok</w:t>
                  </w:r>
                </w:p>
              </w:tc>
              <w:tc>
                <w:tcPr>
                  <w:tcW w:type="dxa" w:w="158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dreamworld</w:t>
                  </w:r>
                </w:p>
              </w:tc>
              <w:tc>
                <w:tcPr>
                  <w:tcW w:type="dxa" w:w="3855"/>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Wallet, สมัครสมาชิก</w:t>
                  </w:r>
                </w:p>
              </w:tc>
              <w:tc>
                <w:tcPr>
                  <w:tcW w:type="dxa" w:w="907"/>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cs="Tahoma"/>
                      <w:sz w:val="16"/>
                    </w:rPr>
                    <w:t>1.00</w:t>
                  </w:r>
                </w:p>
              </w:tc>
            </w:tr>
          </w:tbl>
          <w:p/>
          <w:p>
            <w:pPr>
              <w:spacing w:after="0" w:line="80" w:lineRule="exact"/>
            </w:pPr>
          </w:p>
          <w:p>
            <w:pPr>
              <w:spacing w:after="0" w:before="80"/>
            </w:pPr>
            <w:r>
              <w:rPr>
                <w:rFonts w:cs="Tahoma"/>
                <w:b w:val="0"/>
                <w:i/>
                <w:color w:val="5A6B7D"/>
                <w:sz w:val="17"/>
              </w:rPr>
              <w:t>Top 15 of 224 pairs with at least two shared signal keywords and a Jaccard score of 0.60 or more. Abbreviation keywords are excluded.</w:t>
            </w: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Naming conventions</w:t>
            </w:r>
          </w:p>
          <w:p>
            <w:pPr>
              <w:spacing w:after="60" w:before="0"/>
            </w:pPr>
            <w:r>
              <w:rPr>
                <w:rFonts w:cs="Tahoma"/>
                <w:b w:val="0"/>
                <w:i w:val="0"/>
                <w:sz w:val="19"/>
              </w:rPr>
              <w:t>• Recurring tokens across the 10 largest clusters: m. (781 names), mobile (653 names), login (630 names), out of 2,859 domain names. This is consistent with a templated naming scheme.</w:t>
            </w:r>
          </w:p>
          <w:p>
            <w:pPr>
              <w:spacing w:after="60" w:before="0"/>
            </w:pPr>
            <w:r>
              <w:rPr>
                <w:rFonts w:cs="Tahoma"/>
                <w:b w:val="0"/>
                <w:i w:val="0"/>
                <w:sz w:val="19"/>
              </w:rPr>
              <w:t>• Names in the largest cluster span more than one suffix: .vip (502), .app (2), .click (2), .net (1). The operator rotates top level domains.</w:t>
            </w:r>
          </w:p>
          <w:p>
            <w:pPr>
              <w:spacing w:after="60" w:before="0"/>
            </w:pPr>
            <w:r>
              <w:rPr>
                <w:rFonts w:cs="Tahoma"/>
                <w:b w:val="0"/>
                <w:i w:val="0"/>
                <w:sz w:val="19"/>
              </w:rPr>
              <w:t>• 9,858 distinct domains across 2,064 brand clusters.</w:t>
            </w:r>
          </w:p>
        </w:tc>
      </w:tr>
    </w:tbl>
    <w:p>
      <w:pPr>
        <w:spacing w:after="0" w:before="0" w:line="340" w:lineRule="exact"/>
      </w:pPr>
    </w:p>
    <w:p>
      <w:pPr>
        <w:pStyle w:val="Heading1"/>
      </w:pPr>
      <w:r>
        <w:rPr>
          <w:rFonts w:cs="Tahoma"/>
        </w:rPr>
        <w:t>Ranking</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Gambling ranking</w:t>
            </w:r>
          </w:p>
          <w:p>
            <w:pPr>
              <w:keepNext/>
              <w:spacing w:after="80" w:before="0"/>
            </w:pPr>
            <w:r>
              <w:rPr>
                <w:rFonts w:cs="Tahoma"/>
                <w:b w:val="0"/>
                <w:i/>
                <w:color w:val="5A6B7D"/>
                <w:sz w:val="18"/>
              </w:rPr>
              <w:t>Sample of gambling sites. None carries a numeric rank in this dataset.</w:t>
            </w:r>
          </w:p>
          <w:tbl>
            <w:tblPr>
              <w:tblW w:type="auto" w:w="0"/>
              <w:jc w:val="center"/>
              <w:tblLayout w:type="fixed"/>
              <w:tblLook w:firstColumn="1" w:firstRow="1" w:lastColumn="0" w:lastRow="0" w:noHBand="0" w:noVBand="1" w:val="04A0"/>
              <w:tblLayout w:type="fixed"/>
            </w:tblPr>
            <w:tblGrid>
              <w:gridCol w:w="793"/>
              <w:gridCol w:w="2494"/>
              <w:gridCol w:w="1814"/>
              <w:gridCol w:w="2041"/>
              <w:gridCol w:w="793"/>
            </w:tblGrid>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Rank</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Domain</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Brand cluster</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Subcategory</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shd w:val="clear" w:color="auto" w:fill="1F3F63"/>
                </w:tcPr>
                <w:p>
                  <w:pPr>
                    <w:spacing w:after="0"/>
                  </w:pPr>
                  <w:r>
                    <w:rPr>
                      <w:rFonts w:cs="Tahoma"/>
                      <w:b/>
                      <w:color w:val="FFFFFF"/>
                      <w:sz w:val="16"/>
                    </w:rPr>
                    <w:t>Source</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000ok.net</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000ok</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002025.com</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002025</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Casino</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005p.com</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005p</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Football Betting</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007game.pro</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007game</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007squidgame.club</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007squidgame</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008416.com</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008416</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General Gambling</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008464.com</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008464</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General Gambling</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008n.vip</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008n</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008op.cc</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008op</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Playing card</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r>
              <w:trPr>
                <w:cantSplit/>
              </w:trPr>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c>
                <w:tcPr>
                  <w:tcW w:type="dxa" w:w="24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008p.vip</w:t>
                  </w:r>
                </w:p>
              </w:tc>
              <w:tc>
                <w:tcPr>
                  <w:tcW w:type="dxa" w:w="181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008p</w:t>
                  </w:r>
                </w:p>
              </w:tc>
              <w:tc>
                <w:tcPr>
                  <w:tcW w:type="dxa" w:w="2041"/>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Slots</w:t>
                  </w:r>
                </w:p>
              </w:tc>
              <w:tc>
                <w:tcPr>
                  <w:tcW w:type="dxa" w:w="794"/>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cs="Tahoma"/>
                      <w:sz w:val="16"/>
                    </w:rPr>
                    <w:t>—</w:t>
                  </w:r>
                </w:p>
              </w:tc>
            </w:tr>
          </w:tbl>
          <w:p/>
          <w:p>
            <w:pPr>
              <w:spacing w:after="0" w:line="80" w:lineRule="exact"/>
            </w:pPr>
          </w:p>
          <w:p>
            <w:pPr>
              <w:spacing w:after="0" w:before="80"/>
            </w:pPr>
            <w:r>
              <w:rPr>
                <w:rFonts w:cs="Tahoma"/>
                <w:b w:val="0"/>
                <w:i/>
                <w:color w:val="5A6B7D"/>
                <w:sz w:val="17"/>
              </w:rPr>
              <w:t>Rank reflects search visibility in the source feed, not harm, reach or revenue.</w:t>
            </w:r>
          </w:p>
        </w:tc>
      </w:tr>
    </w:tbl>
    <w:p>
      <w:pPr>
        <w:spacing w:after="0" w:before="0" w:line="340" w:lineRule="exact"/>
      </w:pPr>
    </w:p>
    <w:p>
      <w:pPr>
        <w:pStyle w:val="Heading1"/>
      </w:pPr>
      <w:r>
        <w:rPr>
          <w:rFonts w:cs="Tahoma"/>
        </w:rPr>
        <w:t>Key insights</w:t>
      </w: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Scale of the analysis</w:t>
            </w:r>
          </w:p>
          <w:p>
            <w:pPr>
              <w:spacing w:after="120" w:before="0"/>
            </w:pPr>
            <w:r>
              <w:rPr>
                <w:rFonts w:cs="Tahoma"/>
                <w:b w:val="0"/>
                <w:i w:val="0"/>
                <w:sz w:val="20"/>
              </w:rPr>
              <w:t>21,978 distinct URLs were analysed over 32 days, from 2026-09-04 to 2026-10-05. Of these, 9,858 are gambling, 12,120 are not gambling and 0 are unreachable.</w:t>
            </w:r>
          </w:p>
          <w:tbl>
            <w:tblPr>
              <w:tblW w:type="auto" w:w="0"/>
              <w:jc w:val="center"/>
              <w:tblLayout w:type="fixed"/>
              <w:tblLook w:firstColumn="1" w:firstRow="1" w:lastColumn="0" w:lastRow="0" w:noHBand="0" w:noVBand="1" w:val="04A0"/>
              <w:tblLayout w:type="fixed"/>
            </w:tblPr>
            <w:tblGrid>
              <w:gridCol w:w="7938"/>
            </w:tblGrid>
            <w:tr>
              <w:tc>
                <w:tcPr>
                  <w:tcW w:type="dxa" w:w="7937"/>
                  <w:tcBorders>
                    <w:top w:val="nil" w:space="0"/>
                    <w:left w:val="single" w:sz="12" w:color="1F3F63" w:space="0"/>
                    <w:bottom w:val="nil" w:space="0"/>
                    <w:right w:val="nil" w:space="0"/>
                  </w:tcBorders>
                  <w:tcMar>
                    <w:top w:w="113" w:type="dxa"/>
                    <w:left w:w="226" w:type="dxa"/>
                    <w:bottom w:w="113" w:type="dxa"/>
                    <w:right w:w="113" w:type="dxa"/>
                  </w:tcMar>
                </w:tcPr>
                <w:p>
                  <w:pPr>
                    <w:spacing w:after="0"/>
                  </w:pPr>
                  <w:r>
                    <w:rPr>
                      <w:rFonts w:cs="Tahoma"/>
                      <w:b/>
                      <w:color w:val="1F3F63"/>
                      <w:sz w:val="20"/>
                    </w:rPr>
                    <w:t>The sample is large enough to reason about patterns, not isolated cases.</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What is being offered</w:t>
            </w:r>
          </w:p>
          <w:p>
            <w:pPr>
              <w:spacing w:after="120" w:before="0"/>
            </w:pPr>
            <w:r>
              <w:rPr>
                <w:rFonts w:cs="Tahoma"/>
                <w:b w:val="0"/>
                <w:i w:val="0"/>
                <w:sz w:val="20"/>
              </w:rPr>
              <w:t>The top three product subcategories are Casino (2,858, 29.0%), Slots (2,822, 28.6%) and Football Betting (2,194, 22.3%). 13.6% of gambling sites are confirmed as gambling without an evidenced product type, and 96.0% of assignments are inferred. 210 lexicon keywords never matched.</w:t>
            </w:r>
          </w:p>
          <w:tbl>
            <w:tblPr>
              <w:tblW w:type="auto" w:w="0"/>
              <w:jc w:val="center"/>
              <w:tblLayout w:type="fixed"/>
              <w:tblLook w:firstColumn="1" w:firstRow="1" w:lastColumn="0" w:lastRow="0" w:noHBand="0" w:noVBand="1" w:val="04A0"/>
              <w:tblLayout w:type="fixed"/>
            </w:tblPr>
            <w:tblGrid>
              <w:gridCol w:w="7938"/>
            </w:tblGrid>
            <w:tr>
              <w:tc>
                <w:tcPr>
                  <w:tcW w:type="dxa" w:w="7937"/>
                  <w:tcBorders>
                    <w:top w:val="nil" w:space="0"/>
                    <w:left w:val="single" w:sz="12" w:color="1F3F63" w:space="0"/>
                    <w:bottom w:val="nil" w:space="0"/>
                    <w:right w:val="nil" w:space="0"/>
                  </w:tcBorders>
                  <w:tcMar>
                    <w:top w:w="113" w:type="dxa"/>
                    <w:left w:w="226" w:type="dxa"/>
                    <w:bottom w:w="113" w:type="dxa"/>
                    <w:right w:w="113" w:type="dxa"/>
                  </w:tcMar>
                </w:tcPr>
                <w:p>
                  <w:pPr>
                    <w:spacing w:after="0"/>
                  </w:pPr>
                  <w:r>
                    <w:rPr>
                      <w:rFonts w:cs="Tahoma"/>
                      <w:b/>
                      <w:color w:val="1F3F63"/>
                      <w:sz w:val="20"/>
                    </w:rPr>
                    <w:t>The estate is spread across product types rather than concentrated, with Casino the largest. The lexicon has poor coverage of this dataset and subcategory figures are indicative only; Vague-Evasion Terms, Hashtags have the weakest coverage, with no keyword matched.</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Brand clustering</w:t>
            </w:r>
          </w:p>
          <w:p>
            <w:pPr>
              <w:spacing w:after="120" w:before="0"/>
            </w:pPr>
            <w:r>
              <w:rPr>
                <w:rFonts w:cs="Tahoma"/>
                <w:b w:val="0"/>
                <w:i w:val="0"/>
                <w:sz w:val="20"/>
              </w:rPr>
              <w:t>2,064 clusters cover 9,858 gambling URLs. 1,073 of them hold more than one domain, and 90 clusters cover half the estate. The largest, a3game, holds 507 domains across 4 subcategories.</w:t>
            </w:r>
          </w:p>
          <w:tbl>
            <w:tblPr>
              <w:tblW w:type="auto" w:w="0"/>
              <w:jc w:val="center"/>
              <w:tblLayout w:type="fixed"/>
              <w:tblLook w:firstColumn="1" w:firstRow="1" w:lastColumn="0" w:lastRow="0" w:noHBand="0" w:noVBand="1" w:val="04A0"/>
              <w:tblLayout w:type="fixed"/>
            </w:tblPr>
            <w:tblGrid>
              <w:gridCol w:w="7938"/>
            </w:tblGrid>
            <w:tr>
              <w:tc>
                <w:tcPr>
                  <w:tcW w:type="dxa" w:w="7937"/>
                  <w:tcBorders>
                    <w:top w:val="nil" w:space="0"/>
                    <w:left w:val="single" w:sz="12" w:color="1F3F63" w:space="0"/>
                    <w:bottom w:val="nil" w:space="0"/>
                    <w:right w:val="nil" w:space="0"/>
                  </w:tcBorders>
                  <w:tcMar>
                    <w:top w:w="113" w:type="dxa"/>
                    <w:left w:w="226" w:type="dxa"/>
                    <w:bottom w:w="113" w:type="dxa"/>
                    <w:right w:w="113" w:type="dxa"/>
                  </w:tcMar>
                </w:tcPr>
                <w:p>
                  <w:pPr>
                    <w:spacing w:after="0"/>
                  </w:pPr>
                  <w:r>
                    <w:rPr>
                      <w:rFonts w:cs="Tahoma"/>
                      <w:b/>
                      <w:color w:val="1F3F63"/>
                      <w:sz w:val="20"/>
                    </w:rPr>
                    <w:t>The estate is diffuse and per URL blocking has limited leverage.</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How the estate is grown and marketed</w:t>
            </w:r>
          </w:p>
          <w:p>
            <w:pPr>
              <w:spacing w:after="120" w:before="0"/>
            </w:pPr>
            <w:r>
              <w:rPr>
                <w:rFonts w:cs="Tahoma"/>
                <w:b w:val="0"/>
                <w:i w:val="0"/>
                <w:sz w:val="20"/>
              </w:rPr>
              <w:t>757 clusters rotate across more than one top level domain. The two most common signal tags are Abbreviations (34.4% of gambling sites) and Marketing &amp; Acquisition (3.8%).</w:t>
            </w:r>
          </w:p>
          <w:tbl>
            <w:tblPr>
              <w:tblW w:type="auto" w:w="0"/>
              <w:jc w:val="center"/>
              <w:tblLayout w:type="fixed"/>
              <w:tblLook w:firstColumn="1" w:firstRow="1" w:lastColumn="0" w:lastRow="0" w:noHBand="0" w:noVBand="1" w:val="04A0"/>
              <w:tblLayout w:type="fixed"/>
            </w:tblPr>
            <w:tblGrid>
              <w:gridCol w:w="7938"/>
            </w:tblGrid>
            <w:tr>
              <w:tc>
                <w:tcPr>
                  <w:tcW w:type="dxa" w:w="7937"/>
                  <w:tcBorders>
                    <w:top w:val="nil" w:space="0"/>
                    <w:left w:val="single" w:sz="12" w:color="1F3F63" w:space="0"/>
                    <w:bottom w:val="nil" w:space="0"/>
                    <w:right w:val="nil" w:space="0"/>
                  </w:tcBorders>
                  <w:tcMar>
                    <w:top w:w="113" w:type="dxa"/>
                    <w:left w:w="226" w:type="dxa"/>
                    <w:bottom w:w="113" w:type="dxa"/>
                    <w:right w:w="113" w:type="dxa"/>
                  </w:tcMar>
                </w:tcPr>
                <w:p>
                  <w:pPr>
                    <w:spacing w:after="0"/>
                  </w:pPr>
                  <w:r>
                    <w:rPr>
                      <w:rFonts w:cs="Tahoma"/>
                      <w:b/>
                      <w:color w:val="1F3F63"/>
                      <w:sz w:val="20"/>
                    </w:rPr>
                    <w:t>Rotation across top level domains keeps a stable brand name while the addresses behind it change. Promotions and Vague-Evasion Terms are not dominant, so the acquisition route is not primarily promotional content.</w:t>
                  </w:r>
                </w:p>
              </w:tc>
            </w:tr>
          </w:tbl>
          <w:p/>
          <w:p>
            <w:pPr>
              <w:spacing w:after="0" w:line="80" w:lineRule="exact"/>
            </w:pPr>
          </w:p>
        </w:tc>
      </w:tr>
    </w:tbl>
    <w:p>
      <w:pPr>
        <w:spacing w:after="0" w:before="0" w:line="340" w:lineRule="exact"/>
      </w:pPr>
    </w:p>
    <w:tbl>
      <w:tblPr>
        <w:tblW w:type="auto" w:w="0"/>
        <w:jc w:val="center"/>
        <w:tblLayout w:type="fixed"/>
        <w:tblLook w:firstColumn="1" w:firstRow="1" w:lastColumn="0" w:lastRow="0" w:noHBand="0" w:noVBand="1" w:val="04A0"/>
        <w:tblLayout w:type="fixed"/>
      </w:tblPr>
      <w:tblGrid>
        <w:gridCol w:w="9072"/>
      </w:tblGrid>
      <w:tr>
        <w:trPr>
          <w:cantSplit/>
        </w:trPr>
        <w:tc>
          <w:tcPr>
            <w:tcW w:type="dxa" w:w="9071"/>
            <w:tcBorders>
              <w:top w:val="single" w:sz="6" w:color="C9D2DB" w:space="0"/>
              <w:left w:val="single" w:sz="6" w:color="C9D2DB" w:space="0"/>
              <w:bottom w:val="single" w:sz="6" w:color="C9D2DB" w:space="0"/>
              <w:right w:val="single" w:sz="6" w:color="C9D2DB" w:space="0"/>
            </w:tcBorders>
            <w:tcMar>
              <w:top w:w="567" w:type="dxa"/>
              <w:left w:w="567" w:type="dxa"/>
              <w:bottom w:w="567" w:type="dxa"/>
              <w:right w:w="567" w:type="dxa"/>
            </w:tcMar>
          </w:tcPr>
          <w:p>
            <w:pPr>
              <w:pStyle w:val="Heading2"/>
              <w:keepNext/>
            </w:pPr>
            <w:r>
              <w:rPr>
                <w:rFonts w:cs="Tahoma"/>
              </w:rPr>
              <w:t>Enforcement position</w:t>
            </w:r>
          </w:p>
          <w:p>
            <w:pPr>
              <w:spacing w:after="120" w:before="0"/>
            </w:pPr>
            <w:r>
              <w:rPr>
                <w:rFonts w:cs="Tahoma"/>
                <w:b w:val="0"/>
                <w:i w:val="0"/>
                <w:sz w:val="20"/>
              </w:rPr>
              <w:t>7 pages already show regulatory blocking indicators such as court orders, regulator notices or block pages.</w:t>
            </w:r>
          </w:p>
          <w:tbl>
            <w:tblPr>
              <w:tblW w:type="auto" w:w="0"/>
              <w:jc w:val="center"/>
              <w:tblLayout w:type="fixed"/>
              <w:tblLook w:firstColumn="1" w:firstRow="1" w:lastColumn="0" w:lastRow="0" w:noHBand="0" w:noVBand="1" w:val="04A0"/>
              <w:tblLayout w:type="fixed"/>
            </w:tblPr>
            <w:tblGrid>
              <w:gridCol w:w="7938"/>
            </w:tblGrid>
            <w:tr>
              <w:tc>
                <w:tcPr>
                  <w:tcW w:type="dxa" w:w="7937"/>
                  <w:tcBorders>
                    <w:top w:val="nil" w:space="0"/>
                    <w:left w:val="single" w:sz="12" w:color="1F3F63" w:space="0"/>
                    <w:bottom w:val="nil" w:space="0"/>
                    <w:right w:val="nil" w:space="0"/>
                  </w:tcBorders>
                  <w:tcMar>
                    <w:top w:w="113" w:type="dxa"/>
                    <w:left w:w="226" w:type="dxa"/>
                    <w:bottom w:w="113" w:type="dxa"/>
                    <w:right w:w="113" w:type="dxa"/>
                  </w:tcMar>
                </w:tcPr>
                <w:p>
                  <w:pPr>
                    <w:spacing w:after="0"/>
                  </w:pPr>
                  <w:r>
                    <w:rPr>
                      <w:rFonts w:cs="Tahoma"/>
                      <w:b/>
                      <w:color w:val="1F3F63"/>
                      <w:sz w:val="20"/>
                    </w:rPr>
                    <w:t>A measurable share is already under enforcement, and the remainder is a candidate for a first enforcement pass, prioritised by cluster rather than by URL.</w:t>
                  </w:r>
                </w:p>
              </w:tc>
            </w:tr>
          </w:tbl>
          <w:p/>
          <w:p>
            <w:pPr>
              <w:spacing w:after="0" w:line="80" w:lineRule="exact"/>
            </w:pPr>
          </w:p>
        </w:tc>
      </w:tr>
    </w:tbl>
    <w:p>
      <w:pPr>
        <w:spacing w:after="0" w:before="0" w:line="340" w:lineRule="exact"/>
      </w:pPr>
    </w:p>
    <w:p>
      <w:pPr>
        <w:spacing w:after="0" w:before="120"/>
      </w:pPr>
      <w:r>
        <w:rPr>
          <w:rFonts w:cs="Tahoma"/>
          <w:b w:val="0"/>
          <w:i w:val="0"/>
          <w:color w:val="5A6B7D"/>
          <w:sz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96.0%. General Gambling share 13.6%. Rows normalised from Licensed gambling: 0. Abbreviations flagged as probable false positives: none. Clustering: Jaro-Winkler similarity at or above 0.90 with prefix relation; linkage Jaccard at or above 0.60.</w:t>
      </w:r>
    </w:p>
    <w:p/>
    <w:sectPr w:rsidR="00FC693F" w:rsidRPr="0006063C" w:rsidSect="00034616">
      <w:footerReference w:type="default" r:id="rId16"/>
      <w:headerReference w:type="default" r:id="rId17"/>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7D"/>
        <w:sz w:val="16"/>
      </w:rPr>
      <w:t xml:space="preserve">Data Insights &amp; Patterns · SICPADetect · SICPA SA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B7D"/>
        <w:sz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s="Tahoma"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Tahoma"/>
      <w:b/>
      <w:bCs/>
      <w:color w:val="1F3F63"/>
      <w:sz w:val="32"/>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Arial" w:hAnsi="Arial" w:cs="Tahoma"/>
      <w:b/>
      <w:bCs/>
      <w:color w:val="1F3F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