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1F3F63"/>
          <w:sz w:val="60"/>
        </w:rPr>
        <w:t>Data Insights &amp; Patterns</w:t>
      </w:r>
    </w:p>
    <w:p>
      <w:pPr>
        <w:spacing w:after="520"/>
      </w:pPr>
      <w:r>
        <w:rPr>
          <w:color w:val="4A5B6B"/>
          <w:sz w:val="26"/>
        </w:rPr>
        <w:t>Online gambling estate — structure, brands and enforcement position</w:t>
      </w:r>
    </w:p>
    <w:tbl>
      <w:tblPr>
        <w:tblW w:type="auto" w:w="0"/>
        <w:tblLook w:firstColumn="1" w:firstRow="1" w:lastColumn="0" w:lastRow="0" w:noHBand="0" w:noVBand="1" w:val="04A0"/>
      </w:tblPr>
      <w:tblGrid>
        <w:gridCol w:w="4819"/>
        <w:gridCol w:w="4819"/>
      </w:tblGrid>
      <w:tr>
        <w:tc>
          <w:tcPr>
            <w:tcW w:type="dxa" w:w="3288"/>
          </w:tcPr>
          <w:p>
            <w:pPr>
              <w:spacing w:after="40" w:before="40"/>
            </w:pPr>
            <w:r/>
            <w:r>
              <w:rPr>
                <w:rFonts w:ascii="Calibri" w:hAnsi="Calibri" w:cs="Loma"/>
                <w:b/>
                <w:color w:val="1F3F63"/>
                <w:sz w:val="20"/>
              </w:rPr>
              <w:t>Prepared for</w:t>
            </w:r>
          </w:p>
        </w:tc>
        <w:tc>
          <w:tcPr>
            <w:tcW w:type="dxa" w:w="6350"/>
          </w:tcPr>
          <w:p>
            <w:pPr>
              <w:spacing w:after="40" w:before="40"/>
            </w:pPr>
            <w:r/>
            <w:r>
              <w:rPr>
                <w:rFonts w:ascii="Calibri" w:hAnsi="Calibri" w:cs="Loma"/>
                <w:b w:val="0"/>
                <w:color w:val="22303C"/>
                <w:sz w:val="20"/>
              </w:rPr>
              <w:t>Ministry of Digital Economy and Society (MDES), Thailand</w:t>
            </w:r>
          </w:p>
        </w:tc>
      </w:tr>
      <w:tr>
        <w:tc>
          <w:tcPr>
            <w:tcW w:type="dxa" w:w="3288"/>
          </w:tcPr>
          <w:p>
            <w:pPr>
              <w:spacing w:after="40" w:before="40"/>
            </w:pPr>
            <w:r/>
            <w:r>
              <w:rPr>
                <w:rFonts w:ascii="Calibri" w:hAnsi="Calibri" w:cs="Loma"/>
                <w:b/>
                <w:color w:val="1F3F63"/>
                <w:sz w:val="20"/>
              </w:rPr>
              <w:t>Evaluation period</w:t>
            </w:r>
          </w:p>
        </w:tc>
        <w:tc>
          <w:tcPr>
            <w:tcW w:type="dxa" w:w="6350"/>
          </w:tcPr>
          <w:p>
            <w:pPr>
              <w:spacing w:after="40" w:before="40"/>
            </w:pPr>
            <w:r/>
            <w:r>
              <w:rPr>
                <w:rFonts w:ascii="Calibri" w:hAnsi="Calibri" w:cs="Loma"/>
                <w:b w:val="0"/>
                <w:color w:val="22303C"/>
                <w:sz w:val="20"/>
              </w:rPr>
              <w:t>2026-08-06 → 2026-09-17  (43 days)</w:t>
            </w:r>
          </w:p>
        </w:tc>
      </w:tr>
      <w:tr>
        <w:tc>
          <w:tcPr>
            <w:tcW w:type="dxa" w:w="3288"/>
          </w:tcPr>
          <w:p>
            <w:pPr>
              <w:spacing w:after="40" w:before="40"/>
            </w:pPr>
            <w:r/>
            <w:r>
              <w:rPr>
                <w:rFonts w:ascii="Calibri" w:hAnsi="Calibri" w:cs="Loma"/>
                <w:b/>
                <w:color w:val="1F3F63"/>
                <w:sz w:val="20"/>
              </w:rPr>
              <w:t>URLs analysed</w:t>
            </w:r>
          </w:p>
        </w:tc>
        <w:tc>
          <w:tcPr>
            <w:tcW w:type="dxa" w:w="6350"/>
          </w:tcPr>
          <w:p>
            <w:pPr>
              <w:spacing w:after="40" w:before="40"/>
            </w:pPr>
            <w:r/>
            <w:r>
              <w:rPr>
                <w:rFonts w:ascii="Calibri" w:hAnsi="Calibri" w:cs="Loma"/>
                <w:b w:val="0"/>
                <w:color w:val="22303C"/>
                <w:sz w:val="20"/>
              </w:rPr>
              <w:t>23,496</w:t>
            </w:r>
          </w:p>
        </w:tc>
      </w:tr>
      <w:tr>
        <w:tc>
          <w:tcPr>
            <w:tcW w:type="dxa" w:w="3288"/>
          </w:tcPr>
          <w:p>
            <w:pPr>
              <w:spacing w:after="40" w:before="40"/>
            </w:pPr>
            <w:r/>
            <w:r>
              <w:rPr>
                <w:rFonts w:ascii="Calibri" w:hAnsi="Calibri" w:cs="Loma"/>
                <w:b/>
                <w:color w:val="1F3F63"/>
                <w:sz w:val="20"/>
              </w:rPr>
              <w:t>Gambling sites identified</w:t>
            </w:r>
          </w:p>
        </w:tc>
        <w:tc>
          <w:tcPr>
            <w:tcW w:type="dxa" w:w="6350"/>
          </w:tcPr>
          <w:p>
            <w:pPr>
              <w:spacing w:after="40" w:before="40"/>
            </w:pPr>
            <w:r/>
            <w:r>
              <w:rPr>
                <w:rFonts w:ascii="Calibri" w:hAnsi="Calibri" w:cs="Loma"/>
                <w:b w:val="0"/>
                <w:color w:val="22303C"/>
                <w:sz w:val="20"/>
              </w:rPr>
              <w:t>9,102  (38.7% of the set)</w:t>
            </w:r>
          </w:p>
        </w:tc>
      </w:tr>
      <w:tr>
        <w:tc>
          <w:tcPr>
            <w:tcW w:type="dxa" w:w="3288"/>
          </w:tcPr>
          <w:p>
            <w:pPr>
              <w:spacing w:after="40" w:before="40"/>
            </w:pPr>
            <w:r/>
            <w:r>
              <w:rPr>
                <w:rFonts w:ascii="Calibri" w:hAnsi="Calibri" w:cs="Loma"/>
                <w:b/>
                <w:color w:val="1F3F63"/>
                <w:sz w:val="20"/>
              </w:rPr>
              <w:t>Brand clusters identified</w:t>
            </w:r>
          </w:p>
        </w:tc>
        <w:tc>
          <w:tcPr>
            <w:tcW w:type="dxa" w:w="6350"/>
          </w:tcPr>
          <w:p>
            <w:pPr>
              <w:spacing w:after="40" w:before="40"/>
            </w:pPr>
            <w:r/>
            <w:r>
              <w:rPr>
                <w:rFonts w:ascii="Calibri" w:hAnsi="Calibri" w:cs="Loma"/>
                <w:b w:val="0"/>
                <w:color w:val="22303C"/>
                <w:sz w:val="20"/>
              </w:rPr>
              <w:t>1,010</w:t>
            </w:r>
          </w:p>
        </w:tc>
      </w:tr>
    </w:tbl>
    <w:p>
      <w:r>
        <w:br w:type="page"/>
      </w:r>
    </w:p>
    <w:p>
      <w:pPr>
        <w:spacing w:after="160"/>
      </w:pPr>
      <w:r>
        <w:rPr>
          <w:b/>
          <w:color w:val="1F3F63"/>
          <w:sz w:val="34"/>
        </w:rPr>
        <w:t>Contents</w:t>
      </w:r>
    </w:p>
    <w:p>
      <w:r>
        <w:fldChar w:fldCharType="begin"/>
        <w:instrText xml:space="preserve">TOC \o "1-2" \h \z \u</w:instrText>
        <w:fldChar w:fldCharType="separate"/>
        <w:t>…</w:t>
        <w:fldChar w:fldCharType="end"/>
      </w:r>
    </w:p>
    <w:p>
      <w:r>
        <w:br w:type="page"/>
      </w:r>
    </w:p>
    <w:p>
      <w:pPr>
        <w:pStyle w:val="Heading1"/>
      </w:pPr>
      <w:r>
        <w:t>1  Executive summary</w:t>
      </w:r>
    </w:p>
    <w:p>
      <w:pPr>
        <w:spacing w:after="120"/>
      </w:pPr>
      <w:r>
        <w:rPr>
          <w:rFonts w:cs="Loma"/>
          <w:i w:val="0"/>
          <w:color w:val="22303C"/>
          <w:sz w:val="21"/>
        </w:rPr>
        <w:t>This report analyses 23,496 distinct URLs reviewed over 43 days (2026-08-06 → 2026-09-17). Of these, 9,102 (38.7%) were assessed as gambling sites, 14,380 as not gambling and 14 as unreachable. The gambling estate resolves to 1,010 brand clusters, of which 764 hold more than one domain. Concentration is low: the largest cluster, “bet”, accounts for 177 URLs (1.9% of the estate), and 125 clusters are needed to cover half of it.</w:t>
      </w:r>
    </w:p>
    <w:p>
      <w:pPr>
        <w:spacing w:after="120"/>
      </w:pPr>
      <w:r>
        <w:rPr>
          <w:rFonts w:cs="Loma"/>
          <w:i w:val="0"/>
          <w:color w:val="22303C"/>
          <w:sz w:val="21"/>
        </w:rPr>
        <w:t>The dominant product type is Casino at 39.9% of gambling sites, followed by Slots (21.1%) and General Gambling (20.5%). These subcategory figures are indicative only: 97.6% of gambling rows carried no product keyword from the lexicon and were placed by reading the classifier's own reasoning text. Only 73 of the 286 lexicon keywords matched anything in this sample.</w:t>
      </w:r>
    </w:p>
    <w:p>
      <w:pPr>
        <w:spacing w:after="120"/>
      </w:pPr>
      <w:r>
        <w:rPr>
          <w:rFonts w:cs="Loma"/>
          <w:i w:val="0"/>
          <w:color w:val="22303C"/>
          <w:sz w:val="21"/>
        </w:rPr>
        <w:t>Structurally, the estate is overwhelmingly crawler-propagated: 92.6% of gambling URLs are identified variants of a known seed and a further 6.0% sit behind redirects, leaving only 1.4% reached directly. 559 clusters rotate across more than one top-level domain. No page in the set showed regulatory-blocking indicators, so this estate appears to be pre-enforcement and is a candidate for a first blocking pass.</w:t>
      </w:r>
    </w:p>
    <w:p>
      <w:pPr>
        <w:pStyle w:val="Heading2"/>
      </w:pPr>
      <w:r>
        <w:t>1.1  Reporting figures at a glance</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4819"/>
        <w:gridCol w:w="4819"/>
      </w:tblGrid>
      <w:tr>
        <w:tc>
          <w:tcPr>
            <w:tcW w:type="dxa" w:w="5386"/>
            <w:shd w:val="clear" w:fill="1F3F63"/>
          </w:tcPr>
          <w:p>
            <w:pPr>
              <w:spacing w:after="40" w:before="40"/>
            </w:pPr>
            <w:r/>
            <w:r>
              <w:rPr>
                <w:rFonts w:ascii="Calibri" w:hAnsi="Calibri" w:cs="Loma"/>
                <w:b/>
                <w:color w:val="FFFFFF"/>
                <w:sz w:val="18"/>
              </w:rPr>
              <w:t>Reporting figure</w:t>
            </w:r>
          </w:p>
        </w:tc>
        <w:tc>
          <w:tcPr>
            <w:tcW w:type="dxa" w:w="4252"/>
            <w:shd w:val="clear" w:fill="1F3F63"/>
          </w:tcPr>
          <w:p>
            <w:pPr>
              <w:spacing w:after="40" w:before="40"/>
            </w:pPr>
            <w:r/>
            <w:r>
              <w:rPr>
                <w:rFonts w:ascii="Calibri" w:hAnsi="Calibri" w:cs="Loma"/>
                <w:b/>
                <w:color w:val="FFFFFF"/>
                <w:sz w:val="18"/>
              </w:rPr>
              <w:t>Value</w:t>
            </w:r>
          </w:p>
        </w:tc>
      </w:tr>
      <w:tr>
        <w:tc>
          <w:tcPr>
            <w:tcW w:type="dxa" w:w="5386"/>
          </w:tcPr>
          <w:p>
            <w:pPr>
              <w:spacing w:after="40" w:before="40"/>
            </w:pPr>
            <w:r/>
            <w:r>
              <w:rPr>
                <w:rFonts w:ascii="Calibri" w:hAnsi="Calibri" w:cs="Loma"/>
                <w:b w:val="0"/>
                <w:color w:val="22303C"/>
                <w:sz w:val="18"/>
              </w:rPr>
              <w:t>URLs analysed</w:t>
            </w:r>
          </w:p>
        </w:tc>
        <w:tc>
          <w:tcPr>
            <w:tcW w:type="dxa" w:w="4252"/>
          </w:tcPr>
          <w:p>
            <w:pPr>
              <w:spacing w:after="40" w:before="40"/>
            </w:pPr>
            <w:r/>
            <w:r>
              <w:rPr>
                <w:rFonts w:ascii="Calibri" w:hAnsi="Calibri" w:cs="Loma"/>
                <w:b w:val="0"/>
                <w:color w:val="22303C"/>
                <w:sz w:val="18"/>
              </w:rPr>
              <w:t>23,496</w:t>
            </w:r>
          </w:p>
        </w:tc>
      </w:tr>
      <w:tr>
        <w:tc>
          <w:tcPr>
            <w:tcW w:type="dxa" w:w="5386"/>
            <w:shd w:val="clear" w:fill="F4F7FA"/>
          </w:tcPr>
          <w:p>
            <w:pPr>
              <w:spacing w:after="40" w:before="40"/>
            </w:pPr>
            <w:r/>
            <w:r>
              <w:rPr>
                <w:rFonts w:ascii="Calibri" w:hAnsi="Calibri" w:cs="Loma"/>
                <w:b w:val="0"/>
                <w:color w:val="22303C"/>
                <w:sz w:val="18"/>
              </w:rPr>
              <w:t>Gambling sites</w:t>
            </w:r>
          </w:p>
        </w:tc>
        <w:tc>
          <w:tcPr>
            <w:tcW w:type="dxa" w:w="4252"/>
            <w:shd w:val="clear" w:fill="F4F7FA"/>
          </w:tcPr>
          <w:p>
            <w:pPr>
              <w:spacing w:after="40" w:before="40"/>
            </w:pPr>
            <w:r/>
            <w:r>
              <w:rPr>
                <w:rFonts w:ascii="Calibri" w:hAnsi="Calibri" w:cs="Loma"/>
                <w:b w:val="0"/>
                <w:color w:val="22303C"/>
                <w:sz w:val="18"/>
              </w:rPr>
              <w:t>9,102  (38.7%)</w:t>
            </w:r>
          </w:p>
        </w:tc>
      </w:tr>
      <w:tr>
        <w:tc>
          <w:tcPr>
            <w:tcW w:type="dxa" w:w="5386"/>
          </w:tcPr>
          <w:p>
            <w:pPr>
              <w:spacing w:after="40" w:before="40"/>
            </w:pPr>
            <w:r/>
            <w:r>
              <w:rPr>
                <w:rFonts w:ascii="Calibri" w:hAnsi="Calibri" w:cs="Loma"/>
                <w:b w:val="0"/>
                <w:color w:val="22303C"/>
                <w:sz w:val="18"/>
              </w:rPr>
              <w:t>Not gambling</w:t>
            </w:r>
          </w:p>
        </w:tc>
        <w:tc>
          <w:tcPr>
            <w:tcW w:type="dxa" w:w="4252"/>
          </w:tcPr>
          <w:p>
            <w:pPr>
              <w:spacing w:after="40" w:before="40"/>
            </w:pPr>
            <w:r/>
            <w:r>
              <w:rPr>
                <w:rFonts w:ascii="Calibri" w:hAnsi="Calibri" w:cs="Loma"/>
                <w:b w:val="0"/>
                <w:color w:val="22303C"/>
                <w:sz w:val="18"/>
              </w:rPr>
              <w:t>14,380</w:t>
            </w:r>
          </w:p>
        </w:tc>
      </w:tr>
      <w:tr>
        <w:tc>
          <w:tcPr>
            <w:tcW w:type="dxa" w:w="5386"/>
            <w:shd w:val="clear" w:fill="F4F7FA"/>
          </w:tcPr>
          <w:p>
            <w:pPr>
              <w:spacing w:after="40" w:before="40"/>
            </w:pPr>
            <w:r/>
            <w:r>
              <w:rPr>
                <w:rFonts w:ascii="Calibri" w:hAnsi="Calibri" w:cs="Loma"/>
                <w:b w:val="0"/>
                <w:color w:val="22303C"/>
                <w:sz w:val="18"/>
              </w:rPr>
              <w:t>Unreachable</w:t>
            </w:r>
          </w:p>
        </w:tc>
        <w:tc>
          <w:tcPr>
            <w:tcW w:type="dxa" w:w="4252"/>
            <w:shd w:val="clear" w:fill="F4F7FA"/>
          </w:tcPr>
          <w:p>
            <w:pPr>
              <w:spacing w:after="40" w:before="40"/>
            </w:pPr>
            <w:r/>
            <w:r>
              <w:rPr>
                <w:rFonts w:ascii="Calibri" w:hAnsi="Calibri" w:cs="Loma"/>
                <w:b w:val="0"/>
                <w:color w:val="22303C"/>
                <w:sz w:val="18"/>
              </w:rPr>
              <w:t>14</w:t>
            </w:r>
          </w:p>
        </w:tc>
      </w:tr>
      <w:tr>
        <w:tc>
          <w:tcPr>
            <w:tcW w:type="dxa" w:w="5386"/>
          </w:tcPr>
          <w:p>
            <w:pPr>
              <w:spacing w:after="40" w:before="40"/>
            </w:pPr>
            <w:r/>
            <w:r>
              <w:rPr>
                <w:rFonts w:ascii="Calibri" w:hAnsi="Calibri" w:cs="Loma"/>
                <w:b w:val="0"/>
                <w:color w:val="22303C"/>
                <w:sz w:val="18"/>
              </w:rPr>
              <w:t>Brand clusters identified</w:t>
            </w:r>
          </w:p>
        </w:tc>
        <w:tc>
          <w:tcPr>
            <w:tcW w:type="dxa" w:w="4252"/>
          </w:tcPr>
          <w:p>
            <w:pPr>
              <w:spacing w:after="40" w:before="40"/>
            </w:pPr>
            <w:r/>
            <w:r>
              <w:rPr>
                <w:rFonts w:ascii="Calibri" w:hAnsi="Calibri" w:cs="Loma"/>
                <w:b w:val="0"/>
                <w:color w:val="22303C"/>
                <w:sz w:val="18"/>
              </w:rPr>
              <w:t>1,010</w:t>
            </w:r>
          </w:p>
        </w:tc>
      </w:tr>
      <w:tr>
        <w:tc>
          <w:tcPr>
            <w:tcW w:type="dxa" w:w="5386"/>
            <w:shd w:val="clear" w:fill="F4F7FA"/>
          </w:tcPr>
          <w:p>
            <w:pPr>
              <w:spacing w:after="40" w:before="40"/>
            </w:pPr>
            <w:r/>
            <w:r>
              <w:rPr>
                <w:rFonts w:ascii="Calibri" w:hAnsi="Calibri" w:cs="Loma"/>
                <w:b w:val="0"/>
                <w:color w:val="22303C"/>
                <w:sz w:val="18"/>
              </w:rPr>
              <w:t>Clusters holding more than one domain</w:t>
            </w:r>
          </w:p>
        </w:tc>
        <w:tc>
          <w:tcPr>
            <w:tcW w:type="dxa" w:w="4252"/>
            <w:shd w:val="clear" w:fill="F4F7FA"/>
          </w:tcPr>
          <w:p>
            <w:pPr>
              <w:spacing w:after="40" w:before="40"/>
            </w:pPr>
            <w:r/>
            <w:r>
              <w:rPr>
                <w:rFonts w:ascii="Calibri" w:hAnsi="Calibri" w:cs="Loma"/>
                <w:b w:val="0"/>
                <w:color w:val="22303C"/>
                <w:sz w:val="18"/>
              </w:rPr>
              <w:t>764</w:t>
            </w:r>
          </w:p>
        </w:tc>
      </w:tr>
      <w:tr>
        <w:tc>
          <w:tcPr>
            <w:tcW w:type="dxa" w:w="5386"/>
          </w:tcPr>
          <w:p>
            <w:pPr>
              <w:spacing w:after="40" w:before="40"/>
            </w:pPr>
            <w:r/>
            <w:r>
              <w:rPr>
                <w:rFonts w:ascii="Calibri" w:hAnsi="Calibri" w:cs="Loma"/>
                <w:b w:val="0"/>
                <w:color w:val="22303C"/>
                <w:sz w:val="18"/>
              </w:rPr>
              <w:t>Clusters needed to cover 50% of gambling URLs</w:t>
            </w:r>
          </w:p>
        </w:tc>
        <w:tc>
          <w:tcPr>
            <w:tcW w:type="dxa" w:w="4252"/>
          </w:tcPr>
          <w:p>
            <w:pPr>
              <w:spacing w:after="40" w:before="40"/>
            </w:pPr>
            <w:r/>
            <w:r>
              <w:rPr>
                <w:rFonts w:ascii="Calibri" w:hAnsi="Calibri" w:cs="Loma"/>
                <w:b w:val="0"/>
                <w:color w:val="22303C"/>
                <w:sz w:val="18"/>
              </w:rPr>
              <w:t>125</w:t>
            </w:r>
          </w:p>
        </w:tc>
      </w:tr>
      <w:tr>
        <w:tc>
          <w:tcPr>
            <w:tcW w:type="dxa" w:w="5386"/>
            <w:shd w:val="clear" w:fill="F4F7FA"/>
          </w:tcPr>
          <w:p>
            <w:pPr>
              <w:spacing w:after="40" w:before="40"/>
            </w:pPr>
            <w:r/>
            <w:r>
              <w:rPr>
                <w:rFonts w:ascii="Calibri" w:hAnsi="Calibri" w:cs="Loma"/>
                <w:b w:val="0"/>
                <w:color w:val="22303C"/>
                <w:sz w:val="18"/>
              </w:rPr>
              <w:t>Largest cluster</w:t>
            </w:r>
          </w:p>
        </w:tc>
        <w:tc>
          <w:tcPr>
            <w:tcW w:type="dxa" w:w="4252"/>
            <w:shd w:val="clear" w:fill="F4F7FA"/>
          </w:tcPr>
          <w:p>
            <w:pPr>
              <w:spacing w:after="40" w:before="40"/>
            </w:pPr>
            <w:r/>
            <w:r>
              <w:rPr>
                <w:rFonts w:ascii="Calibri" w:hAnsi="Calibri" w:cs="Loma"/>
                <w:b w:val="0"/>
                <w:color w:val="22303C"/>
                <w:sz w:val="18"/>
              </w:rPr>
              <w:t>bet — 177 URLs (1.9%)</w:t>
            </w:r>
          </w:p>
        </w:tc>
      </w:tr>
      <w:tr>
        <w:tc>
          <w:tcPr>
            <w:tcW w:type="dxa" w:w="5386"/>
          </w:tcPr>
          <w:p>
            <w:pPr>
              <w:spacing w:after="40" w:before="40"/>
            </w:pPr>
            <w:r/>
            <w:r>
              <w:rPr>
                <w:rFonts w:ascii="Calibri" w:hAnsi="Calibri" w:cs="Loma"/>
                <w:b w:val="0"/>
                <w:color w:val="22303C"/>
                <w:sz w:val="18"/>
              </w:rPr>
              <w:t>Dominant product subcategory</w:t>
            </w:r>
          </w:p>
        </w:tc>
        <w:tc>
          <w:tcPr>
            <w:tcW w:type="dxa" w:w="4252"/>
          </w:tcPr>
          <w:p>
            <w:pPr>
              <w:spacing w:after="40" w:before="40"/>
            </w:pPr>
            <w:r/>
            <w:r>
              <w:rPr>
                <w:rFonts w:ascii="Calibri" w:hAnsi="Calibri" w:cs="Loma"/>
                <w:b w:val="0"/>
                <w:color w:val="22303C"/>
                <w:sz w:val="18"/>
              </w:rPr>
              <w:t>Casino — 3,635 (39.9%)</w:t>
            </w:r>
          </w:p>
        </w:tc>
      </w:tr>
      <w:tr>
        <w:tc>
          <w:tcPr>
            <w:tcW w:type="dxa" w:w="5386"/>
            <w:shd w:val="clear" w:fill="F4F7FA"/>
          </w:tcPr>
          <w:p>
            <w:pPr>
              <w:spacing w:after="40" w:before="40"/>
            </w:pPr>
            <w:r/>
            <w:r>
              <w:rPr>
                <w:rFonts w:ascii="Calibri" w:hAnsi="Calibri" w:cs="Loma"/>
                <w:b w:val="0"/>
                <w:color w:val="22303C"/>
                <w:sz w:val="18"/>
              </w:rPr>
              <w:t>Most common signal tag</w:t>
            </w:r>
          </w:p>
        </w:tc>
        <w:tc>
          <w:tcPr>
            <w:tcW w:type="dxa" w:w="4252"/>
            <w:shd w:val="clear" w:fill="F4F7FA"/>
          </w:tcPr>
          <w:p>
            <w:pPr>
              <w:spacing w:after="40" w:before="40"/>
            </w:pPr>
            <w:r/>
            <w:r>
              <w:rPr>
                <w:rFonts w:ascii="Calibri" w:hAnsi="Calibri" w:cs="Loma"/>
                <w:b w:val="0"/>
                <w:color w:val="22303C"/>
                <w:sz w:val="18"/>
              </w:rPr>
              <w:t>Abbreviations — 3,502 (38.5%)</w:t>
            </w:r>
          </w:p>
        </w:tc>
      </w:tr>
      <w:tr>
        <w:tc>
          <w:tcPr>
            <w:tcW w:type="dxa" w:w="5386"/>
          </w:tcPr>
          <w:p>
            <w:pPr>
              <w:spacing w:after="40" w:before="40"/>
            </w:pPr>
            <w:r/>
            <w:r>
              <w:rPr>
                <w:rFonts w:ascii="Calibri" w:hAnsi="Calibri" w:cs="Loma"/>
                <w:b w:val="0"/>
                <w:color w:val="22303C"/>
                <w:sz w:val="18"/>
              </w:rPr>
              <w:t>Sites showing blocking indicators</w:t>
            </w:r>
          </w:p>
        </w:tc>
        <w:tc>
          <w:tcPr>
            <w:tcW w:type="dxa" w:w="4252"/>
          </w:tcPr>
          <w:p>
            <w:pPr>
              <w:spacing w:after="40" w:before="40"/>
            </w:pPr>
            <w:r/>
            <w:r>
              <w:rPr>
                <w:rFonts w:ascii="Calibri" w:hAnsi="Calibri" w:cs="Loma"/>
                <w:b w:val="0"/>
                <w:color w:val="22303C"/>
                <w:sz w:val="18"/>
              </w:rPr>
              <w:t>0</w:t>
            </w:r>
          </w:p>
        </w:tc>
      </w:tr>
      <w:tr>
        <w:tc>
          <w:tcPr>
            <w:tcW w:type="dxa" w:w="5386"/>
            <w:shd w:val="clear" w:fill="F4F7FA"/>
          </w:tcPr>
          <w:p>
            <w:pPr>
              <w:spacing w:after="40" w:before="40"/>
            </w:pPr>
            <w:r/>
            <w:r>
              <w:rPr>
                <w:rFonts w:ascii="Calibri" w:hAnsi="Calibri" w:cs="Loma"/>
                <w:b w:val="0"/>
                <w:color w:val="22303C"/>
                <w:sz w:val="18"/>
              </w:rPr>
              <w:t>Subcategory assignment: keyword vs inferred</w:t>
            </w:r>
          </w:p>
        </w:tc>
        <w:tc>
          <w:tcPr>
            <w:tcW w:type="dxa" w:w="4252"/>
            <w:shd w:val="clear" w:fill="F4F7FA"/>
          </w:tcPr>
          <w:p>
            <w:pPr>
              <w:spacing w:after="40" w:before="40"/>
            </w:pPr>
            <w:r/>
            <w:r>
              <w:rPr>
                <w:rFonts w:ascii="Calibri" w:hAnsi="Calibri" w:cs="Loma"/>
                <w:b w:val="0"/>
                <w:color w:val="22303C"/>
                <w:sz w:val="18"/>
              </w:rPr>
              <w:t>221 keyword / 8,881 inferred (97.6% inferred)</w:t>
            </w:r>
          </w:p>
        </w:tc>
      </w:tr>
    </w:tbl>
    <w:p>
      <w:pPr>
        <w:spacing w:after="0"/>
      </w:pPr>
    </w:p>
    <w:p>
      <w:pPr>
        <w:spacing w:before="60" w:after="220"/>
      </w:pPr>
      <w:r>
        <w:rPr>
          <w:b/>
          <w:color w:val="1F3F63"/>
          <w:sz w:val="17"/>
        </w:rPr>
        <w:t xml:space="preserve">Table 1. </w:t>
      </w:r>
      <w:r>
        <w:rPr>
          <w:rFonts w:cs="Loma"/>
          <w:color w:val="4A5B6B"/>
          <w:sz w:val="17"/>
        </w:rPr>
        <w:t>Headline reporting figures for the evaluation period.</w:t>
      </w:r>
    </w:p>
    <w:p>
      <w:r>
        <w:br w:type="page"/>
      </w:r>
    </w:p>
    <w:p>
      <w:pPr>
        <w:pStyle w:val="Heading1"/>
      </w:pPr>
      <w:r>
        <w:t>2  The numbers</w:t>
      </w:r>
    </w:p>
    <w:p>
      <w:pPr>
        <w:pStyle w:val="Heading2"/>
      </w:pPr>
      <w:r>
        <w:t>2.1  Scale of the analysis</w:t>
      </w:r>
    </w:p>
    <w:tbl>
      <w:tblPr>
        <w:tblStyle w:val="TableGrid"/>
        <w:tblW w:type="auto" w:w="0"/>
        <w:jc w:val="center"/>
        <w:tblBorders>
          <w:top w:val="single" w:sz="4" w:space="0" w:color="C9D2DB"/>
          <w:left w:val="single" w:sz="4" w:space="0" w:color="C9D2DB"/>
          <w:bottom w:val="single" w:sz="4" w:space="0" w:color="C9D2DB"/>
          <w:right w:val="single" w:sz="4" w:space="0" w:color="C9D2DB"/>
          <w:insideH w:val="nil" w:sz="4" w:space="0" w:color="C9D2DB"/>
          <w:insideV w:val="single" w:sz="4" w:space="0" w:color="C9D2DB"/>
        </w:tblBorders>
        <w:tblLook w:firstColumn="1" w:firstRow="1" w:lastColumn="0" w:lastRow="0" w:noHBand="0" w:noVBand="1" w:val="04A0"/>
      </w:tblPr>
      <w:tblGrid>
        <w:gridCol w:w="2409"/>
        <w:gridCol w:w="2409"/>
        <w:gridCol w:w="2409"/>
        <w:gridCol w:w="2409"/>
      </w:tblGrid>
      <w:tr>
        <w:tc>
          <w:tcPr>
            <w:tcW w:type="dxa" w:w="2409"/>
          </w:tcPr>
          <w:p>
            <w:pPr>
              <w:spacing w:after="40" w:before="120"/>
              <w:jc w:val="center"/>
            </w:pPr>
            <w:r/>
            <w:r>
              <w:rPr>
                <w:rFonts w:ascii="Calibri" w:hAnsi="Calibri" w:cs="Loma"/>
                <w:b/>
                <w:color w:val="1F3F63"/>
                <w:sz w:val="36"/>
              </w:rPr>
              <w:t>23,496</w:t>
            </w:r>
          </w:p>
        </w:tc>
        <w:tc>
          <w:tcPr>
            <w:tcW w:type="dxa" w:w="2409"/>
          </w:tcPr>
          <w:p>
            <w:pPr>
              <w:spacing w:after="40" w:before="120"/>
              <w:jc w:val="center"/>
            </w:pPr>
            <w:r/>
            <w:r>
              <w:rPr>
                <w:rFonts w:ascii="Calibri" w:hAnsi="Calibri" w:cs="Loma"/>
                <w:b/>
                <w:color w:val="1F3F63"/>
                <w:sz w:val="36"/>
              </w:rPr>
              <w:t>9,102</w:t>
            </w:r>
          </w:p>
        </w:tc>
        <w:tc>
          <w:tcPr>
            <w:tcW w:type="dxa" w:w="2409"/>
          </w:tcPr>
          <w:p>
            <w:pPr>
              <w:spacing w:after="40" w:before="120"/>
              <w:jc w:val="center"/>
            </w:pPr>
            <w:r/>
            <w:r>
              <w:rPr>
                <w:rFonts w:ascii="Calibri" w:hAnsi="Calibri" w:cs="Loma"/>
                <w:b/>
                <w:color w:val="1F3F63"/>
                <w:sz w:val="36"/>
              </w:rPr>
              <w:t>1,010</w:t>
            </w:r>
          </w:p>
        </w:tc>
        <w:tc>
          <w:tcPr>
            <w:tcW w:type="dxa" w:w="2409"/>
          </w:tcPr>
          <w:p>
            <w:pPr>
              <w:spacing w:after="40" w:before="120"/>
              <w:jc w:val="center"/>
            </w:pPr>
            <w:r/>
            <w:r>
              <w:rPr>
                <w:rFonts w:ascii="Calibri" w:hAnsi="Calibri" w:cs="Loma"/>
                <w:b/>
                <w:color w:val="1F3F63"/>
                <w:sz w:val="36"/>
              </w:rPr>
              <w:t>43</w:t>
            </w:r>
          </w:p>
        </w:tc>
      </w:tr>
      <w:tr>
        <w:tc>
          <w:tcPr>
            <w:tcW w:type="dxa" w:w="2409"/>
          </w:tcPr>
          <w:p>
            <w:pPr>
              <w:spacing w:after="120" w:before="40"/>
              <w:jc w:val="center"/>
            </w:pPr>
            <w:r/>
            <w:r>
              <w:rPr>
                <w:rFonts w:ascii="Calibri" w:hAnsi="Calibri" w:cs="Loma"/>
                <w:b w:val="0"/>
                <w:color w:val="4A5B6B"/>
                <w:sz w:val="17"/>
              </w:rPr>
              <w:t>Total URLs analyzed</w:t>
            </w:r>
          </w:p>
        </w:tc>
        <w:tc>
          <w:tcPr>
            <w:tcW w:type="dxa" w:w="2409"/>
          </w:tcPr>
          <w:p>
            <w:pPr>
              <w:spacing w:after="120" w:before="40"/>
              <w:jc w:val="center"/>
            </w:pPr>
            <w:r/>
            <w:r>
              <w:rPr>
                <w:rFonts w:ascii="Calibri" w:hAnsi="Calibri" w:cs="Loma"/>
                <w:b w:val="0"/>
                <w:color w:val="4A5B6B"/>
                <w:sz w:val="17"/>
              </w:rPr>
              <w:t>Gambling sites</w:t>
            </w:r>
          </w:p>
        </w:tc>
        <w:tc>
          <w:tcPr>
            <w:tcW w:type="dxa" w:w="2409"/>
          </w:tcPr>
          <w:p>
            <w:pPr>
              <w:spacing w:after="120" w:before="40"/>
              <w:jc w:val="center"/>
            </w:pPr>
            <w:r/>
            <w:r>
              <w:rPr>
                <w:rFonts w:ascii="Calibri" w:hAnsi="Calibri" w:cs="Loma"/>
                <w:b w:val="0"/>
                <w:color w:val="4A5B6B"/>
                <w:sz w:val="17"/>
              </w:rPr>
              <w:t>Brand clusters identified</w:t>
            </w:r>
          </w:p>
        </w:tc>
        <w:tc>
          <w:tcPr>
            <w:tcW w:type="dxa" w:w="2409"/>
          </w:tcPr>
          <w:p>
            <w:pPr>
              <w:spacing w:after="120" w:before="40"/>
              <w:jc w:val="center"/>
            </w:pPr>
            <w:r/>
            <w:r>
              <w:rPr>
                <w:rFonts w:ascii="Calibri" w:hAnsi="Calibri" w:cs="Loma"/>
                <w:b w:val="0"/>
                <w:color w:val="4A5B6B"/>
                <w:sz w:val="17"/>
              </w:rPr>
              <w:t>Days</w:t>
              <w:br/>
              <w:t>2026-08-06 → 2026-09-17</w:t>
            </w:r>
          </w:p>
        </w:tc>
      </w:tr>
    </w:tbl>
    <w:p>
      <w:pPr>
        <w:spacing w:after="0"/>
      </w:pPr>
    </w:p>
    <w:p>
      <w:pPr>
        <w:spacing w:before="60" w:after="220"/>
      </w:pPr>
      <w:r>
        <w:rPr>
          <w:b/>
          <w:color w:val="1F3F63"/>
          <w:sz w:val="17"/>
        </w:rPr>
        <w:t xml:space="preserve">Table 2. </w:t>
      </w:r>
      <w:r>
        <w:rPr>
          <w:rFonts w:cs="Loma"/>
          <w:color w:val="4A5B6B"/>
          <w:sz w:val="17"/>
        </w:rPr>
        <w:t>Headline volumes for the evaluation period.</w:t>
      </w:r>
    </w:p>
    <w:p>
      <w:pPr>
        <w:pStyle w:val="Heading2"/>
      </w:pPr>
      <w:r>
        <w:t>2.2  URLs analyzed per day</w:t>
      </w:r>
    </w:p>
    <w:p>
      <w:pPr>
        <w:keepNext/>
        <w:spacing w:before="80" w:after="0"/>
        <w:jc w:val="center"/>
      </w:pPr>
      <w:r>
        <w:drawing>
          <wp:inline xmlns:a="http://schemas.openxmlformats.org/drawingml/2006/main" xmlns:pic="http://schemas.openxmlformats.org/drawingml/2006/picture">
            <wp:extent cx="6120000" cy="2137318"/>
            <wp:docPr id="1" name="Picture 1"/>
            <wp:cNvGraphicFramePr>
              <a:graphicFrameLocks noChangeAspect="1"/>
            </wp:cNvGraphicFramePr>
            <a:graphic>
              <a:graphicData uri="http://schemas.openxmlformats.org/drawingml/2006/picture">
                <pic:pic>
                  <pic:nvPicPr>
                    <pic:cNvPr id="0" name="a2_perday.png"/>
                    <pic:cNvPicPr/>
                  </pic:nvPicPr>
                  <pic:blipFill>
                    <a:blip r:embed="rId9"/>
                    <a:stretch>
                      <a:fillRect/>
                    </a:stretch>
                  </pic:blipFill>
                  <pic:spPr>
                    <a:xfrm>
                      <a:off x="0" y="0"/>
                      <a:ext cx="6120000" cy="2137318"/>
                    </a:xfrm>
                    <a:prstGeom prst="rect"/>
                  </pic:spPr>
                </pic:pic>
              </a:graphicData>
            </a:graphic>
          </wp:inline>
        </w:drawing>
      </w:r>
    </w:p>
    <w:p>
      <w:pPr>
        <w:spacing w:before="60" w:after="220"/>
      </w:pPr>
      <w:r>
        <w:rPr>
          <w:b/>
          <w:color w:val="1F3F63"/>
          <w:sz w:val="17"/>
        </w:rPr>
        <w:t xml:space="preserve">Figure 1. </w:t>
      </w:r>
      <w:r>
        <w:rPr>
          <w:rFonts w:cs="Loma"/>
          <w:color w:val="4A5B6B"/>
          <w:sz w:val="17"/>
        </w:rPr>
        <w:t>Distinct URLs updated per day across the evaluation period (41 days carried activity).</w:t>
      </w:r>
    </w:p>
    <w:p>
      <w:pPr>
        <w:spacing w:after="120"/>
      </w:pPr>
      <w:r>
        <w:rPr>
          <w:rFonts w:cs="Loma"/>
          <w:i w:val="0"/>
          <w:color w:val="22303C"/>
          <w:sz w:val="21"/>
        </w:rPr>
        <w:t>Figure 1 shows review volume was not spread evenly across the period; the series covers 41 distinct dates between 2026-08-06 and 2026-09-17.</w:t>
      </w:r>
    </w:p>
    <w:p>
      <w:pPr>
        <w:pStyle w:val="Heading2"/>
      </w:pPr>
      <w:r>
        <w:t>2.3  Status distribution</w:t>
      </w:r>
    </w:p>
    <w:p>
      <w:pPr>
        <w:keepNext/>
        <w:spacing w:before="80" w:after="0"/>
        <w:jc w:val="center"/>
      </w:pPr>
      <w:r>
        <w:drawing>
          <wp:inline xmlns:a="http://schemas.openxmlformats.org/drawingml/2006/main" xmlns:pic="http://schemas.openxmlformats.org/drawingml/2006/picture">
            <wp:extent cx="6120000" cy="2755789"/>
            <wp:docPr id="2" name="Picture 2"/>
            <wp:cNvGraphicFramePr>
              <a:graphicFrameLocks noChangeAspect="1"/>
            </wp:cNvGraphicFramePr>
            <a:graphic>
              <a:graphicData uri="http://schemas.openxmlformats.org/drawingml/2006/picture">
                <pic:pic>
                  <pic:nvPicPr>
                    <pic:cNvPr id="0" name="a3_status.png"/>
                    <pic:cNvPicPr/>
                  </pic:nvPicPr>
                  <pic:blipFill>
                    <a:blip r:embed="rId10"/>
                    <a:stretch>
                      <a:fillRect/>
                    </a:stretch>
                  </pic:blipFill>
                  <pic:spPr>
                    <a:xfrm>
                      <a:off x="0" y="0"/>
                      <a:ext cx="6120000" cy="2755789"/>
                    </a:xfrm>
                    <a:prstGeom prst="rect"/>
                  </pic:spPr>
                </pic:pic>
              </a:graphicData>
            </a:graphic>
          </wp:inline>
        </w:drawing>
      </w:r>
    </w:p>
    <w:p>
      <w:pPr>
        <w:spacing w:before="60" w:after="220"/>
      </w:pPr>
      <w:r>
        <w:rPr>
          <w:b/>
          <w:color w:val="1F3F63"/>
          <w:sz w:val="17"/>
        </w:rPr>
        <w:t xml:space="preserve">Figure 2. </w:t>
      </w:r>
      <w:r>
        <w:rPr>
          <w:rFonts w:cs="Loma"/>
          <w:color w:val="4A5B6B"/>
          <w:sz w:val="17"/>
        </w:rPr>
        <w:t>Share of the analysed set by assessed status.</w:t>
      </w:r>
    </w:p>
    <w:p>
      <w:pPr>
        <w:spacing w:after="120"/>
      </w:pPr>
      <w:r>
        <w:rPr>
          <w:rFonts w:cs="Loma"/>
          <w:i w:val="0"/>
          <w:color w:val="22303C"/>
          <w:sz w:val="21"/>
        </w:rPr>
        <w:t xml:space="preserve">Figure 2 and Table 3 give the same split. </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3213"/>
        <w:gridCol w:w="3213"/>
        <w:gridCol w:w="3213"/>
      </w:tblGrid>
      <w:tr>
        <w:tc>
          <w:tcPr>
            <w:tcW w:type="dxa" w:w="5102"/>
            <w:shd w:val="clear" w:fill="1F3F63"/>
          </w:tcPr>
          <w:p>
            <w:pPr>
              <w:spacing w:after="40" w:before="40"/>
            </w:pPr>
            <w:r/>
            <w:r>
              <w:rPr>
                <w:rFonts w:ascii="Calibri" w:hAnsi="Calibri" w:cs="Loma"/>
                <w:b/>
                <w:color w:val="FFFFFF"/>
                <w:sz w:val="18"/>
              </w:rPr>
              <w:t>Status</w:t>
            </w:r>
          </w:p>
        </w:tc>
        <w:tc>
          <w:tcPr>
            <w:tcW w:type="dxa" w:w="2268"/>
            <w:shd w:val="clear" w:fill="1F3F63"/>
          </w:tcPr>
          <w:p>
            <w:pPr>
              <w:spacing w:after="40" w:before="40"/>
              <w:jc w:val="right"/>
            </w:pPr>
            <w:r/>
            <w:r>
              <w:rPr>
                <w:rFonts w:ascii="Calibri" w:hAnsi="Calibri" w:cs="Loma"/>
                <w:b/>
                <w:color w:val="FFFFFF"/>
                <w:sz w:val="18"/>
              </w:rPr>
              <w:t>Count</w:t>
            </w:r>
          </w:p>
        </w:tc>
        <w:tc>
          <w:tcPr>
            <w:tcW w:type="dxa" w:w="2268"/>
            <w:shd w:val="clear" w:fill="1F3F63"/>
          </w:tcPr>
          <w:p>
            <w:pPr>
              <w:spacing w:after="40" w:before="40"/>
              <w:jc w:val="right"/>
            </w:pPr>
            <w:r/>
            <w:r>
              <w:rPr>
                <w:rFonts w:ascii="Calibri" w:hAnsi="Calibri" w:cs="Loma"/>
                <w:b/>
                <w:color w:val="FFFFFF"/>
                <w:sz w:val="18"/>
              </w:rPr>
              <w:t>% of set</w:t>
            </w:r>
          </w:p>
        </w:tc>
      </w:tr>
      <w:tr>
        <w:tc>
          <w:tcPr>
            <w:tcW w:type="dxa" w:w="5102"/>
          </w:tcPr>
          <w:p>
            <w:pPr>
              <w:spacing w:after="40" w:before="40"/>
            </w:pPr>
            <w:r/>
            <w:r>
              <w:rPr>
                <w:rFonts w:ascii="Calibri" w:hAnsi="Calibri" w:cs="Loma"/>
                <w:b w:val="0"/>
                <w:color w:val="22303C"/>
                <w:sz w:val="18"/>
              </w:rPr>
              <w:t>Not gambling</w:t>
            </w:r>
          </w:p>
        </w:tc>
        <w:tc>
          <w:tcPr>
            <w:tcW w:type="dxa" w:w="2268"/>
          </w:tcPr>
          <w:p>
            <w:pPr>
              <w:spacing w:after="40" w:before="40"/>
              <w:jc w:val="right"/>
            </w:pPr>
            <w:r/>
            <w:r>
              <w:rPr>
                <w:rFonts w:ascii="Calibri" w:hAnsi="Calibri" w:cs="Loma"/>
                <w:b w:val="0"/>
                <w:color w:val="22303C"/>
                <w:sz w:val="18"/>
              </w:rPr>
              <w:t>14,380</w:t>
            </w:r>
          </w:p>
        </w:tc>
        <w:tc>
          <w:tcPr>
            <w:tcW w:type="dxa" w:w="2268"/>
          </w:tcPr>
          <w:p>
            <w:pPr>
              <w:spacing w:after="40" w:before="40"/>
              <w:jc w:val="right"/>
            </w:pPr>
            <w:r/>
            <w:r>
              <w:rPr>
                <w:rFonts w:ascii="Calibri" w:hAnsi="Calibri" w:cs="Loma"/>
                <w:b w:val="0"/>
                <w:color w:val="22303C"/>
                <w:sz w:val="18"/>
              </w:rPr>
              <w:t>61.2%</w:t>
            </w:r>
          </w:p>
        </w:tc>
      </w:tr>
      <w:tr>
        <w:tc>
          <w:tcPr>
            <w:tcW w:type="dxa" w:w="5102"/>
            <w:shd w:val="clear" w:fill="F4F7FA"/>
          </w:tcPr>
          <w:p>
            <w:pPr>
              <w:spacing w:after="40" w:before="40"/>
            </w:pPr>
            <w:r/>
            <w:r>
              <w:rPr>
                <w:rFonts w:ascii="Calibri" w:hAnsi="Calibri" w:cs="Loma"/>
                <w:b w:val="0"/>
                <w:color w:val="22303C"/>
                <w:sz w:val="18"/>
              </w:rPr>
              <w:t>Gambling</w:t>
            </w:r>
          </w:p>
        </w:tc>
        <w:tc>
          <w:tcPr>
            <w:tcW w:type="dxa" w:w="2268"/>
            <w:shd w:val="clear" w:fill="F4F7FA"/>
          </w:tcPr>
          <w:p>
            <w:pPr>
              <w:spacing w:after="40" w:before="40"/>
              <w:jc w:val="right"/>
            </w:pPr>
            <w:r/>
            <w:r>
              <w:rPr>
                <w:rFonts w:ascii="Calibri" w:hAnsi="Calibri" w:cs="Loma"/>
                <w:b w:val="0"/>
                <w:color w:val="22303C"/>
                <w:sz w:val="18"/>
              </w:rPr>
              <w:t>9,102</w:t>
            </w:r>
          </w:p>
        </w:tc>
        <w:tc>
          <w:tcPr>
            <w:tcW w:type="dxa" w:w="2268"/>
            <w:shd w:val="clear" w:fill="F4F7FA"/>
          </w:tcPr>
          <w:p>
            <w:pPr>
              <w:spacing w:after="40" w:before="40"/>
              <w:jc w:val="right"/>
            </w:pPr>
            <w:r/>
            <w:r>
              <w:rPr>
                <w:rFonts w:ascii="Calibri" w:hAnsi="Calibri" w:cs="Loma"/>
                <w:b w:val="0"/>
                <w:color w:val="22303C"/>
                <w:sz w:val="18"/>
              </w:rPr>
              <w:t>38.7%</w:t>
            </w:r>
          </w:p>
        </w:tc>
      </w:tr>
      <w:tr>
        <w:tc>
          <w:tcPr>
            <w:tcW w:type="dxa" w:w="5102"/>
          </w:tcPr>
          <w:p>
            <w:pPr>
              <w:spacing w:after="40" w:before="40"/>
            </w:pPr>
            <w:r/>
            <w:r>
              <w:rPr>
                <w:rFonts w:ascii="Calibri" w:hAnsi="Calibri" w:cs="Loma"/>
                <w:b w:val="0"/>
                <w:color w:val="22303C"/>
                <w:sz w:val="18"/>
              </w:rPr>
              <w:t>Unreachable</w:t>
            </w:r>
          </w:p>
        </w:tc>
        <w:tc>
          <w:tcPr>
            <w:tcW w:type="dxa" w:w="2268"/>
          </w:tcPr>
          <w:p>
            <w:pPr>
              <w:spacing w:after="40" w:before="40"/>
              <w:jc w:val="right"/>
            </w:pPr>
            <w:r/>
            <w:r>
              <w:rPr>
                <w:rFonts w:ascii="Calibri" w:hAnsi="Calibri" w:cs="Loma"/>
                <w:b w:val="0"/>
                <w:color w:val="22303C"/>
                <w:sz w:val="18"/>
              </w:rPr>
              <w:t>14</w:t>
            </w:r>
          </w:p>
        </w:tc>
        <w:tc>
          <w:tcPr>
            <w:tcW w:type="dxa" w:w="2268"/>
          </w:tcPr>
          <w:p>
            <w:pPr>
              <w:spacing w:after="40" w:before="40"/>
              <w:jc w:val="right"/>
            </w:pPr>
            <w:r/>
            <w:r>
              <w:rPr>
                <w:rFonts w:ascii="Calibri" w:hAnsi="Calibri" w:cs="Loma"/>
                <w:b w:val="0"/>
                <w:color w:val="22303C"/>
                <w:sz w:val="18"/>
              </w:rPr>
              <w:t>0.1%</w:t>
            </w:r>
          </w:p>
        </w:tc>
      </w:tr>
    </w:tbl>
    <w:p>
      <w:pPr>
        <w:spacing w:after="0"/>
      </w:pPr>
    </w:p>
    <w:p>
      <w:pPr>
        <w:spacing w:before="60" w:after="220"/>
      </w:pPr>
      <w:r>
        <w:rPr>
          <w:b/>
          <w:color w:val="1F3F63"/>
          <w:sz w:val="17"/>
        </w:rPr>
        <w:t xml:space="preserve">Table 3. </w:t>
      </w:r>
      <w:r>
        <w:rPr>
          <w:rFonts w:cs="Loma"/>
          <w:color w:val="4A5B6B"/>
          <w:sz w:val="17"/>
        </w:rPr>
        <w:t>Assessed status across the analysed set.</w:t>
      </w:r>
    </w:p>
    <w:p>
      <w:pPr>
        <w:pStyle w:val="Heading2"/>
      </w:pPr>
      <w:r>
        <w:t>2.4  Top 10 URL suffixes</w:t>
      </w:r>
    </w:p>
    <w:p>
      <w:pPr>
        <w:keepNext/>
        <w:spacing w:before="80" w:after="0"/>
        <w:jc w:val="center"/>
      </w:pPr>
      <w:r>
        <w:drawing>
          <wp:inline xmlns:a="http://schemas.openxmlformats.org/drawingml/2006/main" xmlns:pic="http://schemas.openxmlformats.org/drawingml/2006/picture">
            <wp:extent cx="6120000" cy="2746007"/>
            <wp:docPr id="3" name="Picture 3"/>
            <wp:cNvGraphicFramePr>
              <a:graphicFrameLocks noChangeAspect="1"/>
            </wp:cNvGraphicFramePr>
            <a:graphic>
              <a:graphicData uri="http://schemas.openxmlformats.org/drawingml/2006/picture">
                <pic:pic>
                  <pic:nvPicPr>
                    <pic:cNvPr id="0" name="a4_suffixes.png"/>
                    <pic:cNvPicPr/>
                  </pic:nvPicPr>
                  <pic:blipFill>
                    <a:blip r:embed="rId11"/>
                    <a:stretch>
                      <a:fillRect/>
                    </a:stretch>
                  </pic:blipFill>
                  <pic:spPr>
                    <a:xfrm>
                      <a:off x="0" y="0"/>
                      <a:ext cx="6120000" cy="2746007"/>
                    </a:xfrm>
                    <a:prstGeom prst="rect"/>
                  </pic:spPr>
                </pic:pic>
              </a:graphicData>
            </a:graphic>
          </wp:inline>
        </w:drawing>
      </w:r>
    </w:p>
    <w:p>
      <w:pPr>
        <w:spacing w:before="60" w:after="220"/>
      </w:pPr>
      <w:r>
        <w:rPr>
          <w:b/>
          <w:color w:val="1F3F63"/>
          <w:sz w:val="17"/>
        </w:rPr>
        <w:t xml:space="preserve">Figure 3. </w:t>
      </w:r>
      <w:r>
        <w:rPr>
          <w:rFonts w:cs="Loma"/>
          <w:color w:val="4A5B6B"/>
          <w:sz w:val="17"/>
        </w:rPr>
        <w:t>The ten most common URL suffixes, with the gambling share of each.</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1928"/>
        <w:gridCol w:w="1928"/>
        <w:gridCol w:w="1928"/>
        <w:gridCol w:w="1928"/>
        <w:gridCol w:w="1928"/>
      </w:tblGrid>
      <w:tr>
        <w:tc>
          <w:tcPr>
            <w:tcW w:type="dxa" w:w="2608"/>
            <w:shd w:val="clear" w:fill="1F3F63"/>
          </w:tcPr>
          <w:p>
            <w:pPr>
              <w:spacing w:after="40" w:before="40"/>
            </w:pPr>
            <w:r/>
            <w:r>
              <w:rPr>
                <w:rFonts w:ascii="Calibri" w:hAnsi="Calibri" w:cs="Loma"/>
                <w:b/>
                <w:color w:val="FFFFFF"/>
                <w:sz w:val="18"/>
              </w:rPr>
              <w:t>Suffix</w:t>
            </w:r>
          </w:p>
        </w:tc>
        <w:tc>
          <w:tcPr>
            <w:tcW w:type="dxa" w:w="1757"/>
            <w:shd w:val="clear" w:fill="1F3F63"/>
          </w:tcPr>
          <w:p>
            <w:pPr>
              <w:spacing w:after="40" w:before="40"/>
              <w:jc w:val="right"/>
            </w:pPr>
            <w:r/>
            <w:r>
              <w:rPr>
                <w:rFonts w:ascii="Calibri" w:hAnsi="Calibri" w:cs="Loma"/>
                <w:b/>
                <w:color w:val="FFFFFF"/>
                <w:sz w:val="18"/>
              </w:rPr>
              <w:t>Total</w:t>
            </w:r>
          </w:p>
        </w:tc>
        <w:tc>
          <w:tcPr>
            <w:tcW w:type="dxa" w:w="1757"/>
            <w:shd w:val="clear" w:fill="1F3F63"/>
          </w:tcPr>
          <w:p>
            <w:pPr>
              <w:spacing w:after="40" w:before="40"/>
              <w:jc w:val="right"/>
            </w:pPr>
            <w:r/>
            <w:r>
              <w:rPr>
                <w:rFonts w:ascii="Calibri" w:hAnsi="Calibri" w:cs="Loma"/>
                <w:b/>
                <w:color w:val="FFFFFF"/>
                <w:sz w:val="18"/>
              </w:rPr>
              <w:t>% of all</w:t>
            </w:r>
          </w:p>
        </w:tc>
        <w:tc>
          <w:tcPr>
            <w:tcW w:type="dxa" w:w="1757"/>
            <w:shd w:val="clear" w:fill="1F3F63"/>
          </w:tcPr>
          <w:p>
            <w:pPr>
              <w:spacing w:after="40" w:before="40"/>
              <w:jc w:val="right"/>
            </w:pPr>
            <w:r/>
            <w:r>
              <w:rPr>
                <w:rFonts w:ascii="Calibri" w:hAnsi="Calibri" w:cs="Loma"/>
                <w:b/>
                <w:color w:val="FFFFFF"/>
                <w:sz w:val="18"/>
              </w:rPr>
              <w:t>Gambling</w:t>
            </w:r>
          </w:p>
        </w:tc>
        <w:tc>
          <w:tcPr>
            <w:tcW w:type="dxa" w:w="1757"/>
            <w:shd w:val="clear" w:fill="1F3F63"/>
          </w:tcPr>
          <w:p>
            <w:pPr>
              <w:spacing w:after="40" w:before="40"/>
              <w:jc w:val="right"/>
            </w:pPr>
            <w:r/>
            <w:r>
              <w:rPr>
                <w:rFonts w:ascii="Calibri" w:hAnsi="Calibri" w:cs="Loma"/>
                <w:b/>
                <w:color w:val="FFFFFF"/>
                <w:sz w:val="18"/>
              </w:rPr>
              <w:t>% gambling</w:t>
            </w:r>
          </w:p>
        </w:tc>
      </w:tr>
      <w:tr>
        <w:tc>
          <w:tcPr>
            <w:tcW w:type="dxa" w:w="2608"/>
          </w:tcPr>
          <w:p>
            <w:pPr>
              <w:spacing w:after="40" w:before="40"/>
            </w:pPr>
            <w:r/>
            <w:r>
              <w:rPr>
                <w:rFonts w:ascii="Calibri" w:hAnsi="Calibri" w:cs="Loma"/>
                <w:b w:val="0"/>
                <w:color w:val="22303C"/>
                <w:sz w:val="18"/>
              </w:rPr>
              <w:t>.org</w:t>
            </w:r>
          </w:p>
        </w:tc>
        <w:tc>
          <w:tcPr>
            <w:tcW w:type="dxa" w:w="1757"/>
          </w:tcPr>
          <w:p>
            <w:pPr>
              <w:spacing w:after="40" w:before="40"/>
              <w:jc w:val="right"/>
            </w:pPr>
            <w:r/>
            <w:r>
              <w:rPr>
                <w:rFonts w:ascii="Calibri" w:hAnsi="Calibri" w:cs="Loma"/>
                <w:b w:val="0"/>
                <w:color w:val="22303C"/>
                <w:sz w:val="18"/>
              </w:rPr>
              <w:t>7,132</w:t>
            </w:r>
          </w:p>
        </w:tc>
        <w:tc>
          <w:tcPr>
            <w:tcW w:type="dxa" w:w="1757"/>
          </w:tcPr>
          <w:p>
            <w:pPr>
              <w:spacing w:after="40" w:before="40"/>
              <w:jc w:val="right"/>
            </w:pPr>
            <w:r/>
            <w:r>
              <w:rPr>
                <w:rFonts w:ascii="Calibri" w:hAnsi="Calibri" w:cs="Loma"/>
                <w:b w:val="0"/>
                <w:color w:val="22303C"/>
                <w:sz w:val="18"/>
              </w:rPr>
              <w:t>30.4%</w:t>
            </w:r>
          </w:p>
        </w:tc>
        <w:tc>
          <w:tcPr>
            <w:tcW w:type="dxa" w:w="1757"/>
          </w:tcPr>
          <w:p>
            <w:pPr>
              <w:spacing w:after="40" w:before="40"/>
              <w:jc w:val="right"/>
            </w:pPr>
            <w:r/>
            <w:r>
              <w:rPr>
                <w:rFonts w:ascii="Calibri" w:hAnsi="Calibri" w:cs="Loma"/>
                <w:b w:val="0"/>
                <w:color w:val="22303C"/>
                <w:sz w:val="18"/>
              </w:rPr>
              <w:t>10</w:t>
            </w:r>
          </w:p>
        </w:tc>
        <w:tc>
          <w:tcPr>
            <w:tcW w:type="dxa" w:w="1757"/>
          </w:tcPr>
          <w:p>
            <w:pPr>
              <w:spacing w:after="40" w:before="40"/>
              <w:jc w:val="right"/>
            </w:pPr>
            <w:r/>
            <w:r>
              <w:rPr>
                <w:rFonts w:ascii="Calibri" w:hAnsi="Calibri" w:cs="Loma"/>
                <w:b w:val="0"/>
                <w:color w:val="22303C"/>
                <w:sz w:val="18"/>
              </w:rPr>
              <w:t>0.1%</w:t>
            </w:r>
          </w:p>
        </w:tc>
      </w:tr>
      <w:tr>
        <w:tc>
          <w:tcPr>
            <w:tcW w:type="dxa" w:w="2608"/>
            <w:shd w:val="clear" w:fill="F4F7FA"/>
          </w:tcPr>
          <w:p>
            <w:pPr>
              <w:spacing w:after="40" w:before="40"/>
            </w:pPr>
            <w:r/>
            <w:r>
              <w:rPr>
                <w:rFonts w:ascii="Calibri" w:hAnsi="Calibri" w:cs="Loma"/>
                <w:b w:val="0"/>
                <w:color w:val="22303C"/>
                <w:sz w:val="18"/>
              </w:rPr>
              <w:t>.com</w:t>
            </w:r>
          </w:p>
        </w:tc>
        <w:tc>
          <w:tcPr>
            <w:tcW w:type="dxa" w:w="1757"/>
            <w:shd w:val="clear" w:fill="F4F7FA"/>
          </w:tcPr>
          <w:p>
            <w:pPr>
              <w:spacing w:after="40" w:before="40"/>
              <w:jc w:val="right"/>
            </w:pPr>
            <w:r/>
            <w:r>
              <w:rPr>
                <w:rFonts w:ascii="Calibri" w:hAnsi="Calibri" w:cs="Loma"/>
                <w:b w:val="0"/>
                <w:color w:val="22303C"/>
                <w:sz w:val="18"/>
              </w:rPr>
              <w:t>3,339</w:t>
            </w:r>
          </w:p>
        </w:tc>
        <w:tc>
          <w:tcPr>
            <w:tcW w:type="dxa" w:w="1757"/>
            <w:shd w:val="clear" w:fill="F4F7FA"/>
          </w:tcPr>
          <w:p>
            <w:pPr>
              <w:spacing w:after="40" w:before="40"/>
              <w:jc w:val="right"/>
            </w:pPr>
            <w:r/>
            <w:r>
              <w:rPr>
                <w:rFonts w:ascii="Calibri" w:hAnsi="Calibri" w:cs="Loma"/>
                <w:b w:val="0"/>
                <w:color w:val="22303C"/>
                <w:sz w:val="18"/>
              </w:rPr>
              <w:t>14.2%</w:t>
            </w:r>
          </w:p>
        </w:tc>
        <w:tc>
          <w:tcPr>
            <w:tcW w:type="dxa" w:w="1757"/>
            <w:shd w:val="clear" w:fill="F4F7FA"/>
          </w:tcPr>
          <w:p>
            <w:pPr>
              <w:spacing w:after="40" w:before="40"/>
              <w:jc w:val="right"/>
            </w:pPr>
            <w:r/>
            <w:r>
              <w:rPr>
                <w:rFonts w:ascii="Calibri" w:hAnsi="Calibri" w:cs="Loma"/>
                <w:b w:val="0"/>
                <w:color w:val="22303C"/>
                <w:sz w:val="18"/>
              </w:rPr>
              <w:t>1,451</w:t>
            </w:r>
          </w:p>
        </w:tc>
        <w:tc>
          <w:tcPr>
            <w:tcW w:type="dxa" w:w="1757"/>
            <w:shd w:val="clear" w:fill="F4F7FA"/>
          </w:tcPr>
          <w:p>
            <w:pPr>
              <w:spacing w:after="40" w:before="40"/>
              <w:jc w:val="right"/>
            </w:pPr>
            <w:r/>
            <w:r>
              <w:rPr>
                <w:rFonts w:ascii="Calibri" w:hAnsi="Calibri" w:cs="Loma"/>
                <w:b w:val="0"/>
                <w:color w:val="22303C"/>
                <w:sz w:val="18"/>
              </w:rPr>
              <w:t>43.5%</w:t>
            </w:r>
          </w:p>
        </w:tc>
      </w:tr>
      <w:tr>
        <w:tc>
          <w:tcPr>
            <w:tcW w:type="dxa" w:w="2608"/>
          </w:tcPr>
          <w:p>
            <w:pPr>
              <w:spacing w:after="40" w:before="40"/>
            </w:pPr>
            <w:r/>
            <w:r>
              <w:rPr>
                <w:rFonts w:ascii="Calibri" w:hAnsi="Calibri" w:cs="Loma"/>
                <w:b w:val="0"/>
                <w:color w:val="22303C"/>
                <w:sz w:val="18"/>
              </w:rPr>
              <w:t>.net</w:t>
            </w:r>
          </w:p>
        </w:tc>
        <w:tc>
          <w:tcPr>
            <w:tcW w:type="dxa" w:w="1757"/>
          </w:tcPr>
          <w:p>
            <w:pPr>
              <w:spacing w:after="40" w:before="40"/>
              <w:jc w:val="right"/>
            </w:pPr>
            <w:r/>
            <w:r>
              <w:rPr>
                <w:rFonts w:ascii="Calibri" w:hAnsi="Calibri" w:cs="Loma"/>
                <w:b w:val="0"/>
                <w:color w:val="22303C"/>
                <w:sz w:val="18"/>
              </w:rPr>
              <w:t>1,680</w:t>
            </w:r>
          </w:p>
        </w:tc>
        <w:tc>
          <w:tcPr>
            <w:tcW w:type="dxa" w:w="1757"/>
          </w:tcPr>
          <w:p>
            <w:pPr>
              <w:spacing w:after="40" w:before="40"/>
              <w:jc w:val="right"/>
            </w:pPr>
            <w:r/>
            <w:r>
              <w:rPr>
                <w:rFonts w:ascii="Calibri" w:hAnsi="Calibri" w:cs="Loma"/>
                <w:b w:val="0"/>
                <w:color w:val="22303C"/>
                <w:sz w:val="18"/>
              </w:rPr>
              <w:t>7.2%</w:t>
            </w:r>
          </w:p>
        </w:tc>
        <w:tc>
          <w:tcPr>
            <w:tcW w:type="dxa" w:w="1757"/>
          </w:tcPr>
          <w:p>
            <w:pPr>
              <w:spacing w:after="40" w:before="40"/>
              <w:jc w:val="right"/>
            </w:pPr>
            <w:r/>
            <w:r>
              <w:rPr>
                <w:rFonts w:ascii="Calibri" w:hAnsi="Calibri" w:cs="Loma"/>
                <w:b w:val="0"/>
                <w:color w:val="22303C"/>
                <w:sz w:val="18"/>
              </w:rPr>
              <w:t>1,001</w:t>
            </w:r>
          </w:p>
        </w:tc>
        <w:tc>
          <w:tcPr>
            <w:tcW w:type="dxa" w:w="1757"/>
          </w:tcPr>
          <w:p>
            <w:pPr>
              <w:spacing w:after="40" w:before="40"/>
              <w:jc w:val="right"/>
            </w:pPr>
            <w:r/>
            <w:r>
              <w:rPr>
                <w:rFonts w:ascii="Calibri" w:hAnsi="Calibri" w:cs="Loma"/>
                <w:b w:val="0"/>
                <w:color w:val="22303C"/>
                <w:sz w:val="18"/>
              </w:rPr>
              <w:t>59.6%</w:t>
            </w:r>
          </w:p>
        </w:tc>
      </w:tr>
      <w:tr>
        <w:tc>
          <w:tcPr>
            <w:tcW w:type="dxa" w:w="2608"/>
            <w:shd w:val="clear" w:fill="F4F7FA"/>
          </w:tcPr>
          <w:p>
            <w:pPr>
              <w:spacing w:after="40" w:before="40"/>
            </w:pPr>
            <w:r/>
            <w:r>
              <w:rPr>
                <w:rFonts w:ascii="Calibri" w:hAnsi="Calibri" w:cs="Loma"/>
                <w:b w:val="0"/>
                <w:color w:val="22303C"/>
                <w:sz w:val="18"/>
              </w:rPr>
              <w:t>.app</w:t>
            </w:r>
          </w:p>
        </w:tc>
        <w:tc>
          <w:tcPr>
            <w:tcW w:type="dxa" w:w="1757"/>
            <w:shd w:val="clear" w:fill="F4F7FA"/>
          </w:tcPr>
          <w:p>
            <w:pPr>
              <w:spacing w:after="40" w:before="40"/>
              <w:jc w:val="right"/>
            </w:pPr>
            <w:r/>
            <w:r>
              <w:rPr>
                <w:rFonts w:ascii="Calibri" w:hAnsi="Calibri" w:cs="Loma"/>
                <w:b w:val="0"/>
                <w:color w:val="22303C"/>
                <w:sz w:val="18"/>
              </w:rPr>
              <w:t>983</w:t>
            </w:r>
          </w:p>
        </w:tc>
        <w:tc>
          <w:tcPr>
            <w:tcW w:type="dxa" w:w="1757"/>
            <w:shd w:val="clear" w:fill="F4F7FA"/>
          </w:tcPr>
          <w:p>
            <w:pPr>
              <w:spacing w:after="40" w:before="40"/>
              <w:jc w:val="right"/>
            </w:pPr>
            <w:r/>
            <w:r>
              <w:rPr>
                <w:rFonts w:ascii="Calibri" w:hAnsi="Calibri" w:cs="Loma"/>
                <w:b w:val="0"/>
                <w:color w:val="22303C"/>
                <w:sz w:val="18"/>
              </w:rPr>
              <w:t>4.2%</w:t>
            </w:r>
          </w:p>
        </w:tc>
        <w:tc>
          <w:tcPr>
            <w:tcW w:type="dxa" w:w="1757"/>
            <w:shd w:val="clear" w:fill="F4F7FA"/>
          </w:tcPr>
          <w:p>
            <w:pPr>
              <w:spacing w:after="40" w:before="40"/>
              <w:jc w:val="right"/>
            </w:pPr>
            <w:r/>
            <w:r>
              <w:rPr>
                <w:rFonts w:ascii="Calibri" w:hAnsi="Calibri" w:cs="Loma"/>
                <w:b w:val="0"/>
                <w:color w:val="22303C"/>
                <w:sz w:val="18"/>
              </w:rPr>
              <w:t>673</w:t>
            </w:r>
          </w:p>
        </w:tc>
        <w:tc>
          <w:tcPr>
            <w:tcW w:type="dxa" w:w="1757"/>
            <w:shd w:val="clear" w:fill="F4F7FA"/>
          </w:tcPr>
          <w:p>
            <w:pPr>
              <w:spacing w:after="40" w:before="40"/>
              <w:jc w:val="right"/>
            </w:pPr>
            <w:r/>
            <w:r>
              <w:rPr>
                <w:rFonts w:ascii="Calibri" w:hAnsi="Calibri" w:cs="Loma"/>
                <w:b w:val="0"/>
                <w:color w:val="22303C"/>
                <w:sz w:val="18"/>
              </w:rPr>
              <w:t>68.5%</w:t>
            </w:r>
          </w:p>
        </w:tc>
      </w:tr>
      <w:tr>
        <w:tc>
          <w:tcPr>
            <w:tcW w:type="dxa" w:w="2608"/>
          </w:tcPr>
          <w:p>
            <w:pPr>
              <w:spacing w:after="40" w:before="40"/>
            </w:pPr>
            <w:r/>
            <w:r>
              <w:rPr>
                <w:rFonts w:ascii="Calibri" w:hAnsi="Calibri" w:cs="Loma"/>
                <w:b w:val="0"/>
                <w:color w:val="22303C"/>
                <w:sz w:val="18"/>
              </w:rPr>
              <w:t>.cc</w:t>
            </w:r>
          </w:p>
        </w:tc>
        <w:tc>
          <w:tcPr>
            <w:tcW w:type="dxa" w:w="1757"/>
          </w:tcPr>
          <w:p>
            <w:pPr>
              <w:spacing w:after="40" w:before="40"/>
              <w:jc w:val="right"/>
            </w:pPr>
            <w:r/>
            <w:r>
              <w:rPr>
                <w:rFonts w:ascii="Calibri" w:hAnsi="Calibri" w:cs="Loma"/>
                <w:b w:val="0"/>
                <w:color w:val="22303C"/>
                <w:sz w:val="18"/>
              </w:rPr>
              <w:t>803</w:t>
            </w:r>
          </w:p>
        </w:tc>
        <w:tc>
          <w:tcPr>
            <w:tcW w:type="dxa" w:w="1757"/>
          </w:tcPr>
          <w:p>
            <w:pPr>
              <w:spacing w:after="40" w:before="40"/>
              <w:jc w:val="right"/>
            </w:pPr>
            <w:r/>
            <w:r>
              <w:rPr>
                <w:rFonts w:ascii="Calibri" w:hAnsi="Calibri" w:cs="Loma"/>
                <w:b w:val="0"/>
                <w:color w:val="22303C"/>
                <w:sz w:val="18"/>
              </w:rPr>
              <w:t>3.4%</w:t>
            </w:r>
          </w:p>
        </w:tc>
        <w:tc>
          <w:tcPr>
            <w:tcW w:type="dxa" w:w="1757"/>
          </w:tcPr>
          <w:p>
            <w:pPr>
              <w:spacing w:after="40" w:before="40"/>
              <w:jc w:val="right"/>
            </w:pPr>
            <w:r/>
            <w:r>
              <w:rPr>
                <w:rFonts w:ascii="Calibri" w:hAnsi="Calibri" w:cs="Loma"/>
                <w:b w:val="0"/>
                <w:color w:val="22303C"/>
                <w:sz w:val="18"/>
              </w:rPr>
              <w:t>492</w:t>
            </w:r>
          </w:p>
        </w:tc>
        <w:tc>
          <w:tcPr>
            <w:tcW w:type="dxa" w:w="1757"/>
          </w:tcPr>
          <w:p>
            <w:pPr>
              <w:spacing w:after="40" w:before="40"/>
              <w:jc w:val="right"/>
            </w:pPr>
            <w:r/>
            <w:r>
              <w:rPr>
                <w:rFonts w:ascii="Calibri" w:hAnsi="Calibri" w:cs="Loma"/>
                <w:b w:val="0"/>
                <w:color w:val="22303C"/>
                <w:sz w:val="18"/>
              </w:rPr>
              <w:t>61.3%</w:t>
            </w:r>
          </w:p>
        </w:tc>
      </w:tr>
      <w:tr>
        <w:tc>
          <w:tcPr>
            <w:tcW w:type="dxa" w:w="2608"/>
            <w:shd w:val="clear" w:fill="F4F7FA"/>
          </w:tcPr>
          <w:p>
            <w:pPr>
              <w:spacing w:after="40" w:before="40"/>
            </w:pPr>
            <w:r/>
            <w:r>
              <w:rPr>
                <w:rFonts w:ascii="Calibri" w:hAnsi="Calibri" w:cs="Loma"/>
                <w:b w:val="0"/>
                <w:color w:val="22303C"/>
                <w:sz w:val="18"/>
              </w:rPr>
              <w:t>.bet</w:t>
            </w:r>
          </w:p>
        </w:tc>
        <w:tc>
          <w:tcPr>
            <w:tcW w:type="dxa" w:w="1757"/>
            <w:shd w:val="clear" w:fill="F4F7FA"/>
          </w:tcPr>
          <w:p>
            <w:pPr>
              <w:spacing w:after="40" w:before="40"/>
              <w:jc w:val="right"/>
            </w:pPr>
            <w:r/>
            <w:r>
              <w:rPr>
                <w:rFonts w:ascii="Calibri" w:hAnsi="Calibri" w:cs="Loma"/>
                <w:b w:val="0"/>
                <w:color w:val="22303C"/>
                <w:sz w:val="18"/>
              </w:rPr>
              <w:t>768</w:t>
            </w:r>
          </w:p>
        </w:tc>
        <w:tc>
          <w:tcPr>
            <w:tcW w:type="dxa" w:w="1757"/>
            <w:shd w:val="clear" w:fill="F4F7FA"/>
          </w:tcPr>
          <w:p>
            <w:pPr>
              <w:spacing w:after="40" w:before="40"/>
              <w:jc w:val="right"/>
            </w:pPr>
            <w:r/>
            <w:r>
              <w:rPr>
                <w:rFonts w:ascii="Calibri" w:hAnsi="Calibri" w:cs="Loma"/>
                <w:b w:val="0"/>
                <w:color w:val="22303C"/>
                <w:sz w:val="18"/>
              </w:rPr>
              <w:t>3.3%</w:t>
            </w:r>
          </w:p>
        </w:tc>
        <w:tc>
          <w:tcPr>
            <w:tcW w:type="dxa" w:w="1757"/>
            <w:shd w:val="clear" w:fill="F4F7FA"/>
          </w:tcPr>
          <w:p>
            <w:pPr>
              <w:spacing w:after="40" w:before="40"/>
              <w:jc w:val="right"/>
            </w:pPr>
            <w:r/>
            <w:r>
              <w:rPr>
                <w:rFonts w:ascii="Calibri" w:hAnsi="Calibri" w:cs="Loma"/>
                <w:b w:val="0"/>
                <w:color w:val="22303C"/>
                <w:sz w:val="18"/>
              </w:rPr>
              <w:t>736</w:t>
            </w:r>
          </w:p>
        </w:tc>
        <w:tc>
          <w:tcPr>
            <w:tcW w:type="dxa" w:w="1757"/>
            <w:shd w:val="clear" w:fill="F4F7FA"/>
          </w:tcPr>
          <w:p>
            <w:pPr>
              <w:spacing w:after="40" w:before="40"/>
              <w:jc w:val="right"/>
            </w:pPr>
            <w:r/>
            <w:r>
              <w:rPr>
                <w:rFonts w:ascii="Calibri" w:hAnsi="Calibri" w:cs="Loma"/>
                <w:b w:val="0"/>
                <w:color w:val="22303C"/>
                <w:sz w:val="18"/>
              </w:rPr>
              <w:t>95.8%</w:t>
            </w:r>
          </w:p>
        </w:tc>
      </w:tr>
      <w:tr>
        <w:tc>
          <w:tcPr>
            <w:tcW w:type="dxa" w:w="2608"/>
          </w:tcPr>
          <w:p>
            <w:pPr>
              <w:spacing w:after="40" w:before="40"/>
            </w:pPr>
            <w:r/>
            <w:r>
              <w:rPr>
                <w:rFonts w:ascii="Calibri" w:hAnsi="Calibri" w:cs="Loma"/>
                <w:b w:val="0"/>
                <w:color w:val="22303C"/>
                <w:sz w:val="18"/>
              </w:rPr>
              <w:t>.pro</w:t>
            </w:r>
          </w:p>
        </w:tc>
        <w:tc>
          <w:tcPr>
            <w:tcW w:type="dxa" w:w="1757"/>
          </w:tcPr>
          <w:p>
            <w:pPr>
              <w:spacing w:after="40" w:before="40"/>
              <w:jc w:val="right"/>
            </w:pPr>
            <w:r/>
            <w:r>
              <w:rPr>
                <w:rFonts w:ascii="Calibri" w:hAnsi="Calibri" w:cs="Loma"/>
                <w:b w:val="0"/>
                <w:color w:val="22303C"/>
                <w:sz w:val="18"/>
              </w:rPr>
              <w:t>692</w:t>
            </w:r>
          </w:p>
        </w:tc>
        <w:tc>
          <w:tcPr>
            <w:tcW w:type="dxa" w:w="1757"/>
          </w:tcPr>
          <w:p>
            <w:pPr>
              <w:spacing w:after="40" w:before="40"/>
              <w:jc w:val="right"/>
            </w:pPr>
            <w:r/>
            <w:r>
              <w:rPr>
                <w:rFonts w:ascii="Calibri" w:hAnsi="Calibri" w:cs="Loma"/>
                <w:b w:val="0"/>
                <w:color w:val="22303C"/>
                <w:sz w:val="18"/>
              </w:rPr>
              <w:t>2.9%</w:t>
            </w:r>
          </w:p>
        </w:tc>
        <w:tc>
          <w:tcPr>
            <w:tcW w:type="dxa" w:w="1757"/>
          </w:tcPr>
          <w:p>
            <w:pPr>
              <w:spacing w:after="40" w:before="40"/>
              <w:jc w:val="right"/>
            </w:pPr>
            <w:r/>
            <w:r>
              <w:rPr>
                <w:rFonts w:ascii="Calibri" w:hAnsi="Calibri" w:cs="Loma"/>
                <w:b w:val="0"/>
                <w:color w:val="22303C"/>
                <w:sz w:val="18"/>
              </w:rPr>
              <w:t>591</w:t>
            </w:r>
          </w:p>
        </w:tc>
        <w:tc>
          <w:tcPr>
            <w:tcW w:type="dxa" w:w="1757"/>
          </w:tcPr>
          <w:p>
            <w:pPr>
              <w:spacing w:after="40" w:before="40"/>
              <w:jc w:val="right"/>
            </w:pPr>
            <w:r/>
            <w:r>
              <w:rPr>
                <w:rFonts w:ascii="Calibri" w:hAnsi="Calibri" w:cs="Loma"/>
                <w:b w:val="0"/>
                <w:color w:val="22303C"/>
                <w:sz w:val="18"/>
              </w:rPr>
              <w:t>85.4%</w:t>
            </w:r>
          </w:p>
        </w:tc>
      </w:tr>
      <w:tr>
        <w:tc>
          <w:tcPr>
            <w:tcW w:type="dxa" w:w="2608"/>
            <w:shd w:val="clear" w:fill="F4F7FA"/>
          </w:tcPr>
          <w:p>
            <w:pPr>
              <w:spacing w:after="40" w:before="40"/>
            </w:pPr>
            <w:r/>
            <w:r>
              <w:rPr>
                <w:rFonts w:ascii="Calibri" w:hAnsi="Calibri" w:cs="Loma"/>
                <w:b w:val="0"/>
                <w:color w:val="22303C"/>
                <w:sz w:val="18"/>
              </w:rPr>
              <w:t>.fun</w:t>
            </w:r>
          </w:p>
        </w:tc>
        <w:tc>
          <w:tcPr>
            <w:tcW w:type="dxa" w:w="1757"/>
            <w:shd w:val="clear" w:fill="F4F7FA"/>
          </w:tcPr>
          <w:p>
            <w:pPr>
              <w:spacing w:after="40" w:before="40"/>
              <w:jc w:val="right"/>
            </w:pPr>
            <w:r/>
            <w:r>
              <w:rPr>
                <w:rFonts w:ascii="Calibri" w:hAnsi="Calibri" w:cs="Loma"/>
                <w:b w:val="0"/>
                <w:color w:val="22303C"/>
                <w:sz w:val="18"/>
              </w:rPr>
              <w:t>636</w:t>
            </w:r>
          </w:p>
        </w:tc>
        <w:tc>
          <w:tcPr>
            <w:tcW w:type="dxa" w:w="1757"/>
            <w:shd w:val="clear" w:fill="F4F7FA"/>
          </w:tcPr>
          <w:p>
            <w:pPr>
              <w:spacing w:after="40" w:before="40"/>
              <w:jc w:val="right"/>
            </w:pPr>
            <w:r/>
            <w:r>
              <w:rPr>
                <w:rFonts w:ascii="Calibri" w:hAnsi="Calibri" w:cs="Loma"/>
                <w:b w:val="0"/>
                <w:color w:val="22303C"/>
                <w:sz w:val="18"/>
              </w:rPr>
              <w:t>2.7%</w:t>
            </w:r>
          </w:p>
        </w:tc>
        <w:tc>
          <w:tcPr>
            <w:tcW w:type="dxa" w:w="1757"/>
            <w:shd w:val="clear" w:fill="F4F7FA"/>
          </w:tcPr>
          <w:p>
            <w:pPr>
              <w:spacing w:after="40" w:before="40"/>
              <w:jc w:val="right"/>
            </w:pPr>
            <w:r/>
            <w:r>
              <w:rPr>
                <w:rFonts w:ascii="Calibri" w:hAnsi="Calibri" w:cs="Loma"/>
                <w:b w:val="0"/>
                <w:color w:val="22303C"/>
                <w:sz w:val="18"/>
              </w:rPr>
              <w:t>549</w:t>
            </w:r>
          </w:p>
        </w:tc>
        <w:tc>
          <w:tcPr>
            <w:tcW w:type="dxa" w:w="1757"/>
            <w:shd w:val="clear" w:fill="F4F7FA"/>
          </w:tcPr>
          <w:p>
            <w:pPr>
              <w:spacing w:after="40" w:before="40"/>
              <w:jc w:val="right"/>
            </w:pPr>
            <w:r/>
            <w:r>
              <w:rPr>
                <w:rFonts w:ascii="Calibri" w:hAnsi="Calibri" w:cs="Loma"/>
                <w:b w:val="0"/>
                <w:color w:val="22303C"/>
                <w:sz w:val="18"/>
              </w:rPr>
              <w:t>86.3%</w:t>
            </w:r>
          </w:p>
        </w:tc>
      </w:tr>
      <w:tr>
        <w:tc>
          <w:tcPr>
            <w:tcW w:type="dxa" w:w="2608"/>
          </w:tcPr>
          <w:p>
            <w:pPr>
              <w:spacing w:after="40" w:before="40"/>
            </w:pPr>
            <w:r/>
            <w:r>
              <w:rPr>
                <w:rFonts w:ascii="Calibri" w:hAnsi="Calibri" w:cs="Loma"/>
                <w:b w:val="0"/>
                <w:color w:val="22303C"/>
                <w:sz w:val="18"/>
              </w:rPr>
              <w:t>.club</w:t>
            </w:r>
          </w:p>
        </w:tc>
        <w:tc>
          <w:tcPr>
            <w:tcW w:type="dxa" w:w="1757"/>
          </w:tcPr>
          <w:p>
            <w:pPr>
              <w:spacing w:after="40" w:before="40"/>
              <w:jc w:val="right"/>
            </w:pPr>
            <w:r/>
            <w:r>
              <w:rPr>
                <w:rFonts w:ascii="Calibri" w:hAnsi="Calibri" w:cs="Loma"/>
                <w:b w:val="0"/>
                <w:color w:val="22303C"/>
                <w:sz w:val="18"/>
              </w:rPr>
              <w:t>533</w:t>
            </w:r>
          </w:p>
        </w:tc>
        <w:tc>
          <w:tcPr>
            <w:tcW w:type="dxa" w:w="1757"/>
          </w:tcPr>
          <w:p>
            <w:pPr>
              <w:spacing w:after="40" w:before="40"/>
              <w:jc w:val="right"/>
            </w:pPr>
            <w:r/>
            <w:r>
              <w:rPr>
                <w:rFonts w:ascii="Calibri" w:hAnsi="Calibri" w:cs="Loma"/>
                <w:b w:val="0"/>
                <w:color w:val="22303C"/>
                <w:sz w:val="18"/>
              </w:rPr>
              <w:t>2.3%</w:t>
            </w:r>
          </w:p>
        </w:tc>
        <w:tc>
          <w:tcPr>
            <w:tcW w:type="dxa" w:w="1757"/>
          </w:tcPr>
          <w:p>
            <w:pPr>
              <w:spacing w:after="40" w:before="40"/>
              <w:jc w:val="right"/>
            </w:pPr>
            <w:r/>
            <w:r>
              <w:rPr>
                <w:rFonts w:ascii="Calibri" w:hAnsi="Calibri" w:cs="Loma"/>
                <w:b w:val="0"/>
                <w:color w:val="22303C"/>
                <w:sz w:val="18"/>
              </w:rPr>
              <w:t>451</w:t>
            </w:r>
          </w:p>
        </w:tc>
        <w:tc>
          <w:tcPr>
            <w:tcW w:type="dxa" w:w="1757"/>
          </w:tcPr>
          <w:p>
            <w:pPr>
              <w:spacing w:after="40" w:before="40"/>
              <w:jc w:val="right"/>
            </w:pPr>
            <w:r/>
            <w:r>
              <w:rPr>
                <w:rFonts w:ascii="Calibri" w:hAnsi="Calibri" w:cs="Loma"/>
                <w:b w:val="0"/>
                <w:color w:val="22303C"/>
                <w:sz w:val="18"/>
              </w:rPr>
              <w:t>84.6%</w:t>
            </w:r>
          </w:p>
        </w:tc>
      </w:tr>
      <w:tr>
        <w:tc>
          <w:tcPr>
            <w:tcW w:type="dxa" w:w="2608"/>
            <w:shd w:val="clear" w:fill="F4F7FA"/>
          </w:tcPr>
          <w:p>
            <w:pPr>
              <w:spacing w:after="40" w:before="40"/>
            </w:pPr>
            <w:r/>
            <w:r>
              <w:rPr>
                <w:rFonts w:ascii="Calibri" w:hAnsi="Calibri" w:cs="Loma"/>
                <w:b w:val="0"/>
                <w:color w:val="22303C"/>
                <w:sz w:val="18"/>
              </w:rPr>
              <w:t>.co</w:t>
            </w:r>
          </w:p>
        </w:tc>
        <w:tc>
          <w:tcPr>
            <w:tcW w:type="dxa" w:w="1757"/>
            <w:shd w:val="clear" w:fill="F4F7FA"/>
          </w:tcPr>
          <w:p>
            <w:pPr>
              <w:spacing w:after="40" w:before="40"/>
              <w:jc w:val="right"/>
            </w:pPr>
            <w:r/>
            <w:r>
              <w:rPr>
                <w:rFonts w:ascii="Calibri" w:hAnsi="Calibri" w:cs="Loma"/>
                <w:b w:val="0"/>
                <w:color w:val="22303C"/>
                <w:sz w:val="18"/>
              </w:rPr>
              <w:t>445</w:t>
            </w:r>
          </w:p>
        </w:tc>
        <w:tc>
          <w:tcPr>
            <w:tcW w:type="dxa" w:w="1757"/>
            <w:shd w:val="clear" w:fill="F4F7FA"/>
          </w:tcPr>
          <w:p>
            <w:pPr>
              <w:spacing w:after="40" w:before="40"/>
              <w:jc w:val="right"/>
            </w:pPr>
            <w:r/>
            <w:r>
              <w:rPr>
                <w:rFonts w:ascii="Calibri" w:hAnsi="Calibri" w:cs="Loma"/>
                <w:b w:val="0"/>
                <w:color w:val="22303C"/>
                <w:sz w:val="18"/>
              </w:rPr>
              <w:t>1.9%</w:t>
            </w:r>
          </w:p>
        </w:tc>
        <w:tc>
          <w:tcPr>
            <w:tcW w:type="dxa" w:w="1757"/>
            <w:shd w:val="clear" w:fill="F4F7FA"/>
          </w:tcPr>
          <w:p>
            <w:pPr>
              <w:spacing w:after="40" w:before="40"/>
              <w:jc w:val="right"/>
            </w:pPr>
            <w:r/>
            <w:r>
              <w:rPr>
                <w:rFonts w:ascii="Calibri" w:hAnsi="Calibri" w:cs="Loma"/>
                <w:b w:val="0"/>
                <w:color w:val="22303C"/>
                <w:sz w:val="18"/>
              </w:rPr>
              <w:t>158</w:t>
            </w:r>
          </w:p>
        </w:tc>
        <w:tc>
          <w:tcPr>
            <w:tcW w:type="dxa" w:w="1757"/>
            <w:shd w:val="clear" w:fill="F4F7FA"/>
          </w:tcPr>
          <w:p>
            <w:pPr>
              <w:spacing w:after="40" w:before="40"/>
              <w:jc w:val="right"/>
            </w:pPr>
            <w:r/>
            <w:r>
              <w:rPr>
                <w:rFonts w:ascii="Calibri" w:hAnsi="Calibri" w:cs="Loma"/>
                <w:b w:val="0"/>
                <w:color w:val="22303C"/>
                <w:sz w:val="18"/>
              </w:rPr>
              <w:t>35.5%</w:t>
            </w:r>
          </w:p>
        </w:tc>
      </w:tr>
    </w:tbl>
    <w:p>
      <w:pPr>
        <w:spacing w:after="0"/>
      </w:pPr>
    </w:p>
    <w:p>
      <w:pPr>
        <w:spacing w:before="60" w:after="220"/>
      </w:pPr>
      <w:r>
        <w:rPr>
          <w:b/>
          <w:color w:val="1F3F63"/>
          <w:sz w:val="17"/>
        </w:rPr>
        <w:t xml:space="preserve">Table 4. </w:t>
      </w:r>
      <w:r>
        <w:rPr>
          <w:rFonts w:cs="Loma"/>
          <w:color w:val="4A5B6B"/>
          <w:sz w:val="17"/>
        </w:rPr>
        <w:t>URL suffix distribution and the gambling rate within each suffix.</w:t>
      </w:r>
    </w:p>
    <w:p>
      <w:pPr>
        <w:spacing w:after="120"/>
      </w:pPr>
      <w:r>
        <w:rPr>
          <w:rFonts w:cs="Loma"/>
          <w:i w:val="0"/>
          <w:color w:val="22303C"/>
          <w:sz w:val="21"/>
        </w:rPr>
        <w:t>Table 4 shows the suffixes differ sharply in gambling rate: .org is the most common suffix overall (30.4% of the set) but only 0.1% of it is gambling, while the highest-rate suffix in the top ten reaches 95.8%.</w:t>
      </w:r>
    </w:p>
    <w:p>
      <w:pPr>
        <w:pStyle w:val="Heading2"/>
      </w:pPr>
      <w:r>
        <w:t>2.5  Source analysis</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1928"/>
        <w:gridCol w:w="1928"/>
        <w:gridCol w:w="1928"/>
        <w:gridCol w:w="1928"/>
        <w:gridCol w:w="1928"/>
      </w:tblGrid>
      <w:tr>
        <w:tc>
          <w:tcPr>
            <w:tcW w:type="dxa" w:w="2608"/>
            <w:shd w:val="clear" w:fill="1F3F63"/>
          </w:tcPr>
          <w:p>
            <w:pPr>
              <w:spacing w:after="40" w:before="40"/>
            </w:pPr>
            <w:r/>
            <w:r>
              <w:rPr>
                <w:rFonts w:ascii="Calibri" w:hAnsi="Calibri" w:cs="Loma"/>
                <w:b/>
                <w:color w:val="FFFFFF"/>
                <w:sz w:val="18"/>
              </w:rPr>
              <w:t>Source category</w:t>
            </w:r>
          </w:p>
        </w:tc>
        <w:tc>
          <w:tcPr>
            <w:tcW w:type="dxa" w:w="1757"/>
            <w:shd w:val="clear" w:fill="1F3F63"/>
          </w:tcPr>
          <w:p>
            <w:pPr>
              <w:spacing w:after="40" w:before="40"/>
              <w:jc w:val="right"/>
            </w:pPr>
            <w:r/>
            <w:r>
              <w:rPr>
                <w:rFonts w:ascii="Calibri" w:hAnsi="Calibri" w:cs="Loma"/>
                <w:b/>
                <w:color w:val="FFFFFF"/>
                <w:sz w:val="18"/>
              </w:rPr>
              <w:t>Total</w:t>
            </w:r>
          </w:p>
        </w:tc>
        <w:tc>
          <w:tcPr>
            <w:tcW w:type="dxa" w:w="1757"/>
            <w:shd w:val="clear" w:fill="1F3F63"/>
          </w:tcPr>
          <w:p>
            <w:pPr>
              <w:spacing w:after="40" w:before="40"/>
              <w:jc w:val="right"/>
            </w:pPr>
            <w:r/>
            <w:r>
              <w:rPr>
                <w:rFonts w:ascii="Calibri" w:hAnsi="Calibri" w:cs="Loma"/>
                <w:b/>
                <w:color w:val="FFFFFF"/>
                <w:sz w:val="18"/>
              </w:rPr>
              <w:t>Gambling</w:t>
            </w:r>
          </w:p>
        </w:tc>
        <w:tc>
          <w:tcPr>
            <w:tcW w:type="dxa" w:w="1757"/>
            <w:shd w:val="clear" w:fill="1F3F63"/>
          </w:tcPr>
          <w:p>
            <w:pPr>
              <w:spacing w:after="40" w:before="40"/>
              <w:jc w:val="right"/>
            </w:pPr>
            <w:r/>
            <w:r>
              <w:rPr>
                <w:rFonts w:ascii="Calibri" w:hAnsi="Calibri" w:cs="Loma"/>
                <w:b/>
                <w:color w:val="FFFFFF"/>
                <w:sz w:val="18"/>
              </w:rPr>
              <w:t>Not gambling</w:t>
            </w:r>
          </w:p>
        </w:tc>
        <w:tc>
          <w:tcPr>
            <w:tcW w:type="dxa" w:w="1757"/>
            <w:shd w:val="clear" w:fill="1F3F63"/>
          </w:tcPr>
          <w:p>
            <w:pPr>
              <w:spacing w:after="40" w:before="40"/>
              <w:jc w:val="right"/>
            </w:pPr>
            <w:r/>
            <w:r>
              <w:rPr>
                <w:rFonts w:ascii="Calibri" w:hAnsi="Calibri" w:cs="Loma"/>
                <w:b/>
                <w:color w:val="FFFFFF"/>
                <w:sz w:val="18"/>
              </w:rPr>
              <w:t>% gambling</w:t>
            </w:r>
          </w:p>
        </w:tc>
      </w:tr>
      <w:tr>
        <w:tc>
          <w:tcPr>
            <w:tcW w:type="dxa" w:w="2608"/>
          </w:tcPr>
          <w:p>
            <w:pPr>
              <w:spacing w:after="40" w:before="40"/>
            </w:pPr>
            <w:r/>
            <w:r>
              <w:rPr>
                <w:rFonts w:ascii="Calibri" w:hAnsi="Calibri" w:cs="Loma"/>
                <w:b w:val="0"/>
                <w:color w:val="22303C"/>
                <w:sz w:val="18"/>
              </w:rPr>
              <w:t>Manual</w:t>
            </w:r>
          </w:p>
        </w:tc>
        <w:tc>
          <w:tcPr>
            <w:tcW w:type="dxa" w:w="1757"/>
          </w:tcPr>
          <w:p>
            <w:pPr>
              <w:spacing w:after="40" w:before="40"/>
              <w:jc w:val="right"/>
            </w:pPr>
            <w:r/>
            <w:r>
              <w:rPr>
                <w:rFonts w:ascii="Calibri" w:hAnsi="Calibri" w:cs="Loma"/>
                <w:b w:val="0"/>
                <w:color w:val="22303C"/>
                <w:sz w:val="18"/>
              </w:rPr>
              <w:t>450</w:t>
            </w:r>
          </w:p>
        </w:tc>
        <w:tc>
          <w:tcPr>
            <w:tcW w:type="dxa" w:w="1757"/>
          </w:tcPr>
          <w:p>
            <w:pPr>
              <w:spacing w:after="40" w:before="40"/>
              <w:jc w:val="right"/>
            </w:pPr>
            <w:r/>
            <w:r>
              <w:rPr>
                <w:rFonts w:ascii="Calibri" w:hAnsi="Calibri" w:cs="Loma"/>
                <w:b w:val="0"/>
                <w:color w:val="22303C"/>
                <w:sz w:val="18"/>
              </w:rPr>
              <w:t>68</w:t>
            </w:r>
          </w:p>
        </w:tc>
        <w:tc>
          <w:tcPr>
            <w:tcW w:type="dxa" w:w="1757"/>
          </w:tcPr>
          <w:p>
            <w:pPr>
              <w:spacing w:after="40" w:before="40"/>
              <w:jc w:val="right"/>
            </w:pPr>
            <w:r/>
            <w:r>
              <w:rPr>
                <w:rFonts w:ascii="Calibri" w:hAnsi="Calibri" w:cs="Loma"/>
                <w:b w:val="0"/>
                <w:color w:val="22303C"/>
                <w:sz w:val="18"/>
              </w:rPr>
              <w:t>368</w:t>
            </w:r>
          </w:p>
        </w:tc>
        <w:tc>
          <w:tcPr>
            <w:tcW w:type="dxa" w:w="1757"/>
          </w:tcPr>
          <w:p>
            <w:pPr>
              <w:spacing w:after="40" w:before="40"/>
              <w:jc w:val="right"/>
            </w:pPr>
            <w:r/>
            <w:r>
              <w:rPr>
                <w:rFonts w:ascii="Calibri" w:hAnsi="Calibri" w:cs="Loma"/>
                <w:b w:val="0"/>
                <w:color w:val="22303C"/>
                <w:sz w:val="18"/>
              </w:rPr>
              <w:t>15.1%</w:t>
            </w:r>
          </w:p>
        </w:tc>
      </w:tr>
      <w:tr>
        <w:tc>
          <w:tcPr>
            <w:tcW w:type="dxa" w:w="2608"/>
            <w:shd w:val="clear" w:fill="F4F7FA"/>
          </w:tcPr>
          <w:p>
            <w:pPr>
              <w:spacing w:after="40" w:before="40"/>
            </w:pPr>
            <w:r/>
            <w:r>
              <w:rPr>
                <w:rFonts w:ascii="Calibri" w:hAnsi="Calibri" w:cs="Loma"/>
                <w:b w:val="0"/>
                <w:color w:val="22303C"/>
                <w:sz w:val="18"/>
              </w:rPr>
              <w:t>Google Search</w:t>
            </w:r>
          </w:p>
        </w:tc>
        <w:tc>
          <w:tcPr>
            <w:tcW w:type="dxa" w:w="1757"/>
            <w:shd w:val="clear" w:fill="F4F7FA"/>
          </w:tcPr>
          <w:p>
            <w:pPr>
              <w:spacing w:after="40" w:before="40"/>
              <w:jc w:val="right"/>
            </w:pPr>
            <w:r/>
            <w:r>
              <w:rPr>
                <w:rFonts w:ascii="Calibri" w:hAnsi="Calibri" w:cs="Loma"/>
                <w:b w:val="0"/>
                <w:color w:val="22303C"/>
                <w:sz w:val="18"/>
              </w:rPr>
              <w:t>405</w:t>
            </w:r>
          </w:p>
        </w:tc>
        <w:tc>
          <w:tcPr>
            <w:tcW w:type="dxa" w:w="1757"/>
            <w:shd w:val="clear" w:fill="F4F7FA"/>
          </w:tcPr>
          <w:p>
            <w:pPr>
              <w:spacing w:after="40" w:before="40"/>
              <w:jc w:val="right"/>
            </w:pPr>
            <w:r/>
            <w:r>
              <w:rPr>
                <w:rFonts w:ascii="Calibri" w:hAnsi="Calibri" w:cs="Loma"/>
                <w:b w:val="0"/>
                <w:color w:val="22303C"/>
                <w:sz w:val="18"/>
              </w:rPr>
              <w:t>36</w:t>
            </w:r>
          </w:p>
        </w:tc>
        <w:tc>
          <w:tcPr>
            <w:tcW w:type="dxa" w:w="1757"/>
            <w:shd w:val="clear" w:fill="F4F7FA"/>
          </w:tcPr>
          <w:p>
            <w:pPr>
              <w:spacing w:after="40" w:before="40"/>
              <w:jc w:val="right"/>
            </w:pPr>
            <w:r/>
            <w:r>
              <w:rPr>
                <w:rFonts w:ascii="Calibri" w:hAnsi="Calibri" w:cs="Loma"/>
                <w:b w:val="0"/>
                <w:color w:val="22303C"/>
                <w:sz w:val="18"/>
              </w:rPr>
              <w:t>369</w:t>
            </w:r>
          </w:p>
        </w:tc>
        <w:tc>
          <w:tcPr>
            <w:tcW w:type="dxa" w:w="1757"/>
            <w:shd w:val="clear" w:fill="F4F7FA"/>
          </w:tcPr>
          <w:p>
            <w:pPr>
              <w:spacing w:after="40" w:before="40"/>
              <w:jc w:val="right"/>
            </w:pPr>
            <w:r/>
            <w:r>
              <w:rPr>
                <w:rFonts w:ascii="Calibri" w:hAnsi="Calibri" w:cs="Loma"/>
                <w:b w:val="0"/>
                <w:color w:val="22303C"/>
                <w:sz w:val="18"/>
              </w:rPr>
              <w:t>8.9%</w:t>
            </w:r>
          </w:p>
        </w:tc>
      </w:tr>
      <w:tr>
        <w:tc>
          <w:tcPr>
            <w:tcW w:type="dxa" w:w="2608"/>
          </w:tcPr>
          <w:p>
            <w:pPr>
              <w:spacing w:after="40" w:before="40"/>
            </w:pPr>
            <w:r/>
            <w:r>
              <w:rPr>
                <w:rFonts w:ascii="Calibri" w:hAnsi="Calibri" w:cs="Loma"/>
                <w:b w:val="0"/>
                <w:color w:val="22303C"/>
                <w:sz w:val="18"/>
              </w:rPr>
              <w:t>Variant</w:t>
            </w:r>
          </w:p>
        </w:tc>
        <w:tc>
          <w:tcPr>
            <w:tcW w:type="dxa" w:w="1757"/>
          </w:tcPr>
          <w:p>
            <w:pPr>
              <w:spacing w:after="40" w:before="40"/>
              <w:jc w:val="right"/>
            </w:pPr>
            <w:r/>
            <w:r>
              <w:rPr>
                <w:rFonts w:ascii="Calibri" w:hAnsi="Calibri" w:cs="Loma"/>
                <w:b w:val="0"/>
                <w:color w:val="22303C"/>
                <w:sz w:val="18"/>
              </w:rPr>
              <w:t>20,981</w:t>
            </w:r>
          </w:p>
        </w:tc>
        <w:tc>
          <w:tcPr>
            <w:tcW w:type="dxa" w:w="1757"/>
          </w:tcPr>
          <w:p>
            <w:pPr>
              <w:spacing w:after="40" w:before="40"/>
              <w:jc w:val="right"/>
            </w:pPr>
            <w:r/>
            <w:r>
              <w:rPr>
                <w:rFonts w:ascii="Calibri" w:hAnsi="Calibri" w:cs="Loma"/>
                <w:b w:val="0"/>
                <w:color w:val="22303C"/>
                <w:sz w:val="18"/>
              </w:rPr>
              <w:t>8,427</w:t>
            </w:r>
          </w:p>
        </w:tc>
        <w:tc>
          <w:tcPr>
            <w:tcW w:type="dxa" w:w="1757"/>
          </w:tcPr>
          <w:p>
            <w:pPr>
              <w:spacing w:after="40" w:before="40"/>
              <w:jc w:val="right"/>
            </w:pPr>
            <w:r/>
            <w:r>
              <w:rPr>
                <w:rFonts w:ascii="Calibri" w:hAnsi="Calibri" w:cs="Loma"/>
                <w:b w:val="0"/>
                <w:color w:val="22303C"/>
                <w:sz w:val="18"/>
              </w:rPr>
              <w:t>12,554</w:t>
            </w:r>
          </w:p>
        </w:tc>
        <w:tc>
          <w:tcPr>
            <w:tcW w:type="dxa" w:w="1757"/>
          </w:tcPr>
          <w:p>
            <w:pPr>
              <w:spacing w:after="40" w:before="40"/>
              <w:jc w:val="right"/>
            </w:pPr>
            <w:r/>
            <w:r>
              <w:rPr>
                <w:rFonts w:ascii="Calibri" w:hAnsi="Calibri" w:cs="Loma"/>
                <w:b w:val="0"/>
                <w:color w:val="22303C"/>
                <w:sz w:val="18"/>
              </w:rPr>
              <w:t>40.2%</w:t>
            </w:r>
          </w:p>
        </w:tc>
      </w:tr>
      <w:tr>
        <w:tc>
          <w:tcPr>
            <w:tcW w:type="dxa" w:w="2608"/>
            <w:shd w:val="clear" w:fill="F4F7FA"/>
          </w:tcPr>
          <w:p>
            <w:pPr>
              <w:spacing w:after="40" w:before="40"/>
            </w:pPr>
            <w:r/>
            <w:r>
              <w:rPr>
                <w:rFonts w:ascii="Calibri" w:hAnsi="Calibri" w:cs="Loma"/>
                <w:b w:val="0"/>
                <w:color w:val="22303C"/>
                <w:sz w:val="18"/>
              </w:rPr>
              <w:t>Redirect</w:t>
            </w:r>
          </w:p>
        </w:tc>
        <w:tc>
          <w:tcPr>
            <w:tcW w:type="dxa" w:w="1757"/>
            <w:shd w:val="clear" w:fill="F4F7FA"/>
          </w:tcPr>
          <w:p>
            <w:pPr>
              <w:spacing w:after="40" w:before="40"/>
              <w:jc w:val="right"/>
            </w:pPr>
            <w:r/>
            <w:r>
              <w:rPr>
                <w:rFonts w:ascii="Calibri" w:hAnsi="Calibri" w:cs="Loma"/>
                <w:b w:val="0"/>
                <w:color w:val="22303C"/>
                <w:sz w:val="18"/>
              </w:rPr>
              <w:t>1,231</w:t>
            </w:r>
          </w:p>
        </w:tc>
        <w:tc>
          <w:tcPr>
            <w:tcW w:type="dxa" w:w="1757"/>
            <w:shd w:val="clear" w:fill="F4F7FA"/>
          </w:tcPr>
          <w:p>
            <w:pPr>
              <w:spacing w:after="40" w:before="40"/>
              <w:jc w:val="right"/>
            </w:pPr>
            <w:r/>
            <w:r>
              <w:rPr>
                <w:rFonts w:ascii="Calibri" w:hAnsi="Calibri" w:cs="Loma"/>
                <w:b w:val="0"/>
                <w:color w:val="22303C"/>
                <w:sz w:val="18"/>
              </w:rPr>
              <w:t>546</w:t>
            </w:r>
          </w:p>
        </w:tc>
        <w:tc>
          <w:tcPr>
            <w:tcW w:type="dxa" w:w="1757"/>
            <w:shd w:val="clear" w:fill="F4F7FA"/>
          </w:tcPr>
          <w:p>
            <w:pPr>
              <w:spacing w:after="40" w:before="40"/>
              <w:jc w:val="right"/>
            </w:pPr>
            <w:r/>
            <w:r>
              <w:rPr>
                <w:rFonts w:ascii="Calibri" w:hAnsi="Calibri" w:cs="Loma"/>
                <w:b w:val="0"/>
                <w:color w:val="22303C"/>
                <w:sz w:val="18"/>
              </w:rPr>
              <w:t>685</w:t>
            </w:r>
          </w:p>
        </w:tc>
        <w:tc>
          <w:tcPr>
            <w:tcW w:type="dxa" w:w="1757"/>
            <w:shd w:val="clear" w:fill="F4F7FA"/>
          </w:tcPr>
          <w:p>
            <w:pPr>
              <w:spacing w:after="40" w:before="40"/>
              <w:jc w:val="right"/>
            </w:pPr>
            <w:r/>
            <w:r>
              <w:rPr>
                <w:rFonts w:ascii="Calibri" w:hAnsi="Calibri" w:cs="Loma"/>
                <w:b w:val="0"/>
                <w:color w:val="22303C"/>
                <w:sz w:val="18"/>
              </w:rPr>
              <w:t>44.4%</w:t>
            </w:r>
          </w:p>
        </w:tc>
      </w:tr>
      <w:tr>
        <w:tc>
          <w:tcPr>
            <w:tcW w:type="dxa" w:w="2608"/>
          </w:tcPr>
          <w:p>
            <w:pPr>
              <w:spacing w:after="40" w:before="40"/>
            </w:pPr>
            <w:r/>
            <w:r>
              <w:rPr>
                <w:rFonts w:ascii="Calibri" w:hAnsi="Calibri" w:cs="Loma"/>
                <w:b w:val="0"/>
                <w:color w:val="22303C"/>
                <w:sz w:val="18"/>
              </w:rPr>
              <w:t>Other</w:t>
            </w:r>
          </w:p>
        </w:tc>
        <w:tc>
          <w:tcPr>
            <w:tcW w:type="dxa" w:w="1757"/>
          </w:tcPr>
          <w:p>
            <w:pPr>
              <w:spacing w:after="40" w:before="40"/>
              <w:jc w:val="right"/>
            </w:pPr>
            <w:r/>
            <w:r>
              <w:rPr>
                <w:rFonts w:ascii="Calibri" w:hAnsi="Calibri" w:cs="Loma"/>
                <w:b w:val="0"/>
                <w:color w:val="22303C"/>
                <w:sz w:val="18"/>
              </w:rPr>
              <w:t>429</w:t>
            </w:r>
          </w:p>
        </w:tc>
        <w:tc>
          <w:tcPr>
            <w:tcW w:type="dxa" w:w="1757"/>
          </w:tcPr>
          <w:p>
            <w:pPr>
              <w:spacing w:after="40" w:before="40"/>
              <w:jc w:val="right"/>
            </w:pPr>
            <w:r/>
            <w:r>
              <w:rPr>
                <w:rFonts w:ascii="Calibri" w:hAnsi="Calibri" w:cs="Loma"/>
                <w:b w:val="0"/>
                <w:color w:val="22303C"/>
                <w:sz w:val="18"/>
              </w:rPr>
              <w:t>25</w:t>
            </w:r>
          </w:p>
        </w:tc>
        <w:tc>
          <w:tcPr>
            <w:tcW w:type="dxa" w:w="1757"/>
          </w:tcPr>
          <w:p>
            <w:pPr>
              <w:spacing w:after="40" w:before="40"/>
              <w:jc w:val="right"/>
            </w:pPr>
            <w:r/>
            <w:r>
              <w:rPr>
                <w:rFonts w:ascii="Calibri" w:hAnsi="Calibri" w:cs="Loma"/>
                <w:b w:val="0"/>
                <w:color w:val="22303C"/>
                <w:sz w:val="18"/>
              </w:rPr>
              <w:t>404</w:t>
            </w:r>
          </w:p>
        </w:tc>
        <w:tc>
          <w:tcPr>
            <w:tcW w:type="dxa" w:w="1757"/>
          </w:tcPr>
          <w:p>
            <w:pPr>
              <w:spacing w:after="40" w:before="40"/>
              <w:jc w:val="right"/>
            </w:pPr>
            <w:r/>
            <w:r>
              <w:rPr>
                <w:rFonts w:ascii="Calibri" w:hAnsi="Calibri" w:cs="Loma"/>
                <w:b w:val="0"/>
                <w:color w:val="22303C"/>
                <w:sz w:val="18"/>
              </w:rPr>
              <w:t>5.8%</w:t>
            </w:r>
          </w:p>
        </w:tc>
      </w:tr>
    </w:tbl>
    <w:p>
      <w:pPr>
        <w:spacing w:after="0"/>
      </w:pPr>
    </w:p>
    <w:p>
      <w:pPr>
        <w:spacing w:before="60" w:after="220"/>
      </w:pPr>
      <w:r>
        <w:rPr>
          <w:b/>
          <w:color w:val="1F3F63"/>
          <w:sz w:val="17"/>
        </w:rPr>
        <w:t xml:space="preserve">Table 5. </w:t>
      </w:r>
      <w:r>
        <w:rPr>
          <w:rFonts w:cs="Loma"/>
          <w:color w:val="4A5B6B"/>
          <w:sz w:val="17"/>
        </w:rPr>
        <w:t>How each discovery source performed, measured against its own total.</w:t>
      </w:r>
    </w:p>
    <w:p>
      <w:r>
        <w:br w:type="page"/>
      </w:r>
    </w:p>
    <w:p>
      <w:pPr>
        <w:pStyle w:val="Heading1"/>
      </w:pPr>
      <w:r>
        <w:t>3  Subcategories</w:t>
      </w:r>
    </w:p>
    <w:p>
      <w:pPr>
        <w:spacing w:after="120"/>
      </w:pPr>
      <w:r>
        <w:rPr>
          <w:rFonts w:cs="Loma"/>
          <w:i/>
          <w:color w:val="22303C"/>
          <w:sz w:val="21"/>
        </w:rPr>
        <w:t>Before the figures in this section are read: 97.6% of gambling rows matched no product keyword from the lexicon and 20.5% resolved only to General Gambling. The lexicon has poor coverage of this dataset, and every subcategory figure in this section is therefore indicative only.</w:t>
      </w:r>
    </w:p>
    <w:p>
      <w:pPr>
        <w:pStyle w:val="Heading2"/>
      </w:pPr>
      <w:r>
        <w:t>3.1  Gambling sites by product subcategory</w:t>
      </w:r>
    </w:p>
    <w:p>
      <w:pPr>
        <w:keepNext/>
        <w:spacing w:before="80" w:after="0"/>
        <w:jc w:val="center"/>
      </w:pPr>
      <w:r>
        <w:drawing>
          <wp:inline xmlns:a="http://schemas.openxmlformats.org/drawingml/2006/main" xmlns:pic="http://schemas.openxmlformats.org/drawingml/2006/picture">
            <wp:extent cx="6120000" cy="2153882"/>
            <wp:docPr id="4" name="Picture 4"/>
            <wp:cNvGraphicFramePr>
              <a:graphicFrameLocks noChangeAspect="1"/>
            </wp:cNvGraphicFramePr>
            <a:graphic>
              <a:graphicData uri="http://schemas.openxmlformats.org/drawingml/2006/picture">
                <pic:pic>
                  <pic:nvPicPr>
                    <pic:cNvPr id="0" name="b1_sub_bar.png"/>
                    <pic:cNvPicPr/>
                  </pic:nvPicPr>
                  <pic:blipFill>
                    <a:blip r:embed="rId12"/>
                    <a:stretch>
                      <a:fillRect/>
                    </a:stretch>
                  </pic:blipFill>
                  <pic:spPr>
                    <a:xfrm>
                      <a:off x="0" y="0"/>
                      <a:ext cx="6120000" cy="2153882"/>
                    </a:xfrm>
                    <a:prstGeom prst="rect"/>
                  </pic:spPr>
                </pic:pic>
              </a:graphicData>
            </a:graphic>
          </wp:inline>
        </w:drawing>
      </w:r>
    </w:p>
    <w:p>
      <w:pPr>
        <w:spacing w:before="60" w:after="220"/>
      </w:pPr>
      <w:r>
        <w:rPr>
          <w:b/>
          <w:color w:val="1F3F63"/>
          <w:sz w:val="17"/>
        </w:rPr>
        <w:t xml:space="preserve">Figure 4. </w:t>
      </w:r>
      <w:r>
        <w:rPr>
          <w:rFonts w:cs="Loma"/>
          <w:color w:val="4A5B6B"/>
          <w:sz w:val="17"/>
        </w:rPr>
        <w:t>Gambling sites by product subcategory, descending.</w:t>
      </w:r>
    </w:p>
    <w:p>
      <w:pPr>
        <w:keepNext/>
        <w:spacing w:before="80" w:after="0"/>
        <w:jc w:val="center"/>
      </w:pPr>
      <w:r>
        <w:drawing>
          <wp:inline xmlns:a="http://schemas.openxmlformats.org/drawingml/2006/main" xmlns:pic="http://schemas.openxmlformats.org/drawingml/2006/picture">
            <wp:extent cx="6120000" cy="2816591"/>
            <wp:docPr id="5" name="Picture 5"/>
            <wp:cNvGraphicFramePr>
              <a:graphicFrameLocks noChangeAspect="1"/>
            </wp:cNvGraphicFramePr>
            <a:graphic>
              <a:graphicData uri="http://schemas.openxmlformats.org/drawingml/2006/picture">
                <pic:pic>
                  <pic:nvPicPr>
                    <pic:cNvPr id="0" name="b2_donut.png"/>
                    <pic:cNvPicPr/>
                  </pic:nvPicPr>
                  <pic:blipFill>
                    <a:blip r:embed="rId13"/>
                    <a:stretch>
                      <a:fillRect/>
                    </a:stretch>
                  </pic:blipFill>
                  <pic:spPr>
                    <a:xfrm>
                      <a:off x="0" y="0"/>
                      <a:ext cx="6120000" cy="2816591"/>
                    </a:xfrm>
                    <a:prstGeom prst="rect"/>
                  </pic:spPr>
                </pic:pic>
              </a:graphicData>
            </a:graphic>
          </wp:inline>
        </w:drawing>
      </w:r>
    </w:p>
    <w:p>
      <w:pPr>
        <w:spacing w:before="60" w:after="220"/>
      </w:pPr>
      <w:r>
        <w:rPr>
          <w:b/>
          <w:color w:val="1F3F63"/>
          <w:sz w:val="17"/>
        </w:rPr>
        <w:t xml:space="preserve">Figure 5. </w:t>
      </w:r>
      <w:r>
        <w:rPr>
          <w:rFonts w:cs="Loma"/>
          <w:color w:val="4A5B6B"/>
          <w:sz w:val="17"/>
        </w:rPr>
        <w:t>The same distribution as a share of the gambling estate.</w:t>
      </w:r>
    </w:p>
    <w:p>
      <w:pPr>
        <w:pStyle w:val="Heading2"/>
      </w:pPr>
      <w:r>
        <w:t>3.2  Assignment method by subcategory</w:t>
      </w:r>
    </w:p>
    <w:p>
      <w:pPr>
        <w:keepNext/>
        <w:spacing w:before="80" w:after="0"/>
        <w:jc w:val="center"/>
      </w:pPr>
      <w:r>
        <w:drawing>
          <wp:inline xmlns:a="http://schemas.openxmlformats.org/drawingml/2006/main" xmlns:pic="http://schemas.openxmlformats.org/drawingml/2006/picture">
            <wp:extent cx="6120000" cy="2153882"/>
            <wp:docPr id="6" name="Picture 6"/>
            <wp:cNvGraphicFramePr>
              <a:graphicFrameLocks noChangeAspect="1"/>
            </wp:cNvGraphicFramePr>
            <a:graphic>
              <a:graphicData uri="http://schemas.openxmlformats.org/drawingml/2006/picture">
                <pic:pic>
                  <pic:nvPicPr>
                    <pic:cNvPr id="0" name="b3_method.png"/>
                    <pic:cNvPicPr/>
                  </pic:nvPicPr>
                  <pic:blipFill>
                    <a:blip r:embed="rId14"/>
                    <a:stretch>
                      <a:fillRect/>
                    </a:stretch>
                  </pic:blipFill>
                  <pic:spPr>
                    <a:xfrm>
                      <a:off x="0" y="0"/>
                      <a:ext cx="6120000" cy="2153882"/>
                    </a:xfrm>
                    <a:prstGeom prst="rect"/>
                  </pic:spPr>
                </pic:pic>
              </a:graphicData>
            </a:graphic>
          </wp:inline>
        </w:drawing>
      </w:r>
    </w:p>
    <w:p>
      <w:pPr>
        <w:spacing w:before="60" w:after="220"/>
      </w:pPr>
      <w:r>
        <w:rPr>
          <w:b/>
          <w:color w:val="1F3F63"/>
          <w:sz w:val="17"/>
        </w:rPr>
        <w:t xml:space="preserve">Figure 6. </w:t>
      </w:r>
      <w:r>
        <w:rPr>
          <w:rFonts w:cs="Loma"/>
          <w:color w:val="4A5B6B"/>
          <w:sz w:val="17"/>
        </w:rPr>
        <w:t>Keyword-assigned versus inferred rows within each subcategory. Inferred share 97.6%; General Gambling share 20.5%.</w:t>
      </w:r>
    </w:p>
    <w:p>
      <w:pPr>
        <w:spacing w:after="120"/>
      </w:pPr>
      <w:r>
        <w:rPr>
          <w:rFonts w:cs="Loma"/>
          <w:i w:val="0"/>
          <w:color w:val="22303C"/>
          <w:sz w:val="21"/>
        </w:rPr>
        <w:t>Figure 6 separates the two assignment routes. The solid portion of each bar was assigned from a lexicon keyword match; the lighter portion was inferred by reading the classifier's reasoning text. Across the estate 221 rows were keyword-assigned and 8,881 inferred.</w:t>
      </w:r>
    </w:p>
    <w:p>
      <w:pPr>
        <w:pStyle w:val="Heading2"/>
      </w:pPr>
      <w:r>
        <w:t>3.3  Subcategory table</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1606"/>
        <w:gridCol w:w="1606"/>
        <w:gridCol w:w="1606"/>
        <w:gridCol w:w="1606"/>
        <w:gridCol w:w="1606"/>
        <w:gridCol w:w="1606"/>
      </w:tblGrid>
      <w:tr>
        <w:tc>
          <w:tcPr>
            <w:tcW w:type="dxa" w:w="2551"/>
            <w:shd w:val="clear" w:fill="1F3F63"/>
          </w:tcPr>
          <w:p>
            <w:pPr>
              <w:spacing w:after="40" w:before="40"/>
            </w:pPr>
            <w:r/>
            <w:r>
              <w:rPr>
                <w:rFonts w:ascii="Calibri" w:hAnsi="Calibri" w:cs="Loma"/>
                <w:b/>
                <w:color w:val="FFFFFF"/>
                <w:sz w:val="18"/>
              </w:rPr>
              <w:t>Subcategory</w:t>
            </w:r>
          </w:p>
        </w:tc>
        <w:tc>
          <w:tcPr>
            <w:tcW w:type="dxa" w:w="1304"/>
            <w:shd w:val="clear" w:fill="1F3F63"/>
          </w:tcPr>
          <w:p>
            <w:pPr>
              <w:spacing w:after="40" w:before="40"/>
              <w:jc w:val="right"/>
            </w:pPr>
            <w:r/>
            <w:r>
              <w:rPr>
                <w:rFonts w:ascii="Calibri" w:hAnsi="Calibri" w:cs="Loma"/>
                <w:b/>
                <w:color w:val="FFFFFF"/>
                <w:sz w:val="18"/>
              </w:rPr>
              <w:t>Count</w:t>
            </w:r>
          </w:p>
        </w:tc>
        <w:tc>
          <w:tcPr>
            <w:tcW w:type="dxa" w:w="1701"/>
            <w:shd w:val="clear" w:fill="1F3F63"/>
          </w:tcPr>
          <w:p>
            <w:pPr>
              <w:spacing w:after="40" w:before="40"/>
              <w:jc w:val="right"/>
            </w:pPr>
            <w:r/>
            <w:r>
              <w:rPr>
                <w:rFonts w:ascii="Calibri" w:hAnsi="Calibri" w:cs="Loma"/>
                <w:b/>
                <w:color w:val="FFFFFF"/>
                <w:sz w:val="18"/>
              </w:rPr>
              <w:t>% of gambling</w:t>
            </w:r>
          </w:p>
        </w:tc>
        <w:tc>
          <w:tcPr>
            <w:tcW w:type="dxa" w:w="1361"/>
            <w:shd w:val="clear" w:fill="1F3F63"/>
          </w:tcPr>
          <w:p>
            <w:pPr>
              <w:spacing w:after="40" w:before="40"/>
              <w:jc w:val="right"/>
            </w:pPr>
            <w:r/>
            <w:r>
              <w:rPr>
                <w:rFonts w:ascii="Calibri" w:hAnsi="Calibri" w:cs="Loma"/>
                <w:b/>
                <w:color w:val="FFFFFF"/>
                <w:sz w:val="18"/>
              </w:rPr>
              <w:t>Keyword</w:t>
            </w:r>
          </w:p>
        </w:tc>
        <w:tc>
          <w:tcPr>
            <w:tcW w:type="dxa" w:w="1361"/>
            <w:shd w:val="clear" w:fill="1F3F63"/>
          </w:tcPr>
          <w:p>
            <w:pPr>
              <w:spacing w:after="40" w:before="40"/>
              <w:jc w:val="right"/>
            </w:pPr>
            <w:r/>
            <w:r>
              <w:rPr>
                <w:rFonts w:ascii="Calibri" w:hAnsi="Calibri" w:cs="Loma"/>
                <w:b/>
                <w:color w:val="FFFFFF"/>
                <w:sz w:val="18"/>
              </w:rPr>
              <w:t>Inferred</w:t>
            </w:r>
          </w:p>
        </w:tc>
        <w:tc>
          <w:tcPr>
            <w:tcW w:type="dxa" w:w="1361"/>
            <w:shd w:val="clear" w:fill="1F3F63"/>
          </w:tcPr>
          <w:p>
            <w:pPr>
              <w:spacing w:after="40" w:before="40"/>
              <w:jc w:val="right"/>
            </w:pPr>
            <w:r/>
            <w:r>
              <w:rPr>
                <w:rFonts w:ascii="Calibri" w:hAnsi="Calibri" w:cs="Loma"/>
                <w:b/>
                <w:color w:val="FFFFFF"/>
                <w:sz w:val="18"/>
              </w:rPr>
              <w:t>Clusters</w:t>
            </w:r>
          </w:p>
        </w:tc>
      </w:tr>
      <w:tr>
        <w:tc>
          <w:tcPr>
            <w:tcW w:type="dxa" w:w="2551"/>
          </w:tcPr>
          <w:p>
            <w:pPr>
              <w:spacing w:after="40" w:before="40"/>
            </w:pPr>
            <w:r/>
            <w:r>
              <w:rPr>
                <w:rFonts w:ascii="Calibri" w:hAnsi="Calibri" w:cs="Loma"/>
                <w:b w:val="0"/>
                <w:color w:val="22303C"/>
                <w:sz w:val="18"/>
              </w:rPr>
              <w:t>Casino</w:t>
            </w:r>
          </w:p>
        </w:tc>
        <w:tc>
          <w:tcPr>
            <w:tcW w:type="dxa" w:w="1304"/>
          </w:tcPr>
          <w:p>
            <w:pPr>
              <w:spacing w:after="40" w:before="40"/>
              <w:jc w:val="right"/>
            </w:pPr>
            <w:r/>
            <w:r>
              <w:rPr>
                <w:rFonts w:ascii="Calibri" w:hAnsi="Calibri" w:cs="Loma"/>
                <w:b w:val="0"/>
                <w:color w:val="22303C"/>
                <w:sz w:val="18"/>
              </w:rPr>
              <w:t>3,635</w:t>
            </w:r>
          </w:p>
        </w:tc>
        <w:tc>
          <w:tcPr>
            <w:tcW w:type="dxa" w:w="1701"/>
          </w:tcPr>
          <w:p>
            <w:pPr>
              <w:spacing w:after="40" w:before="40"/>
              <w:jc w:val="right"/>
            </w:pPr>
            <w:r/>
            <w:r>
              <w:rPr>
                <w:rFonts w:ascii="Calibri" w:hAnsi="Calibri" w:cs="Loma"/>
                <w:b w:val="0"/>
                <w:color w:val="22303C"/>
                <w:sz w:val="18"/>
              </w:rPr>
              <w:t>39.9%</w:t>
            </w:r>
          </w:p>
        </w:tc>
        <w:tc>
          <w:tcPr>
            <w:tcW w:type="dxa" w:w="1361"/>
          </w:tcPr>
          <w:p>
            <w:pPr>
              <w:spacing w:after="40" w:before="40"/>
              <w:jc w:val="right"/>
            </w:pPr>
            <w:r/>
            <w:r>
              <w:rPr>
                <w:rFonts w:ascii="Calibri" w:hAnsi="Calibri" w:cs="Loma"/>
                <w:b w:val="0"/>
                <w:color w:val="22303C"/>
                <w:sz w:val="18"/>
              </w:rPr>
              <w:t>63</w:t>
            </w:r>
          </w:p>
        </w:tc>
        <w:tc>
          <w:tcPr>
            <w:tcW w:type="dxa" w:w="1361"/>
          </w:tcPr>
          <w:p>
            <w:pPr>
              <w:spacing w:after="40" w:before="40"/>
              <w:jc w:val="right"/>
            </w:pPr>
            <w:r/>
            <w:r>
              <w:rPr>
                <w:rFonts w:ascii="Calibri" w:hAnsi="Calibri" w:cs="Loma"/>
                <w:b w:val="0"/>
                <w:color w:val="22303C"/>
                <w:sz w:val="18"/>
              </w:rPr>
              <w:t>3,572</w:t>
            </w:r>
          </w:p>
        </w:tc>
        <w:tc>
          <w:tcPr>
            <w:tcW w:type="dxa" w:w="1361"/>
          </w:tcPr>
          <w:p>
            <w:pPr>
              <w:spacing w:after="40" w:before="40"/>
              <w:jc w:val="right"/>
            </w:pPr>
            <w:r/>
            <w:r>
              <w:rPr>
                <w:rFonts w:ascii="Calibri" w:hAnsi="Calibri" w:cs="Loma"/>
                <w:b w:val="0"/>
                <w:color w:val="22303C"/>
                <w:sz w:val="18"/>
              </w:rPr>
              <w:t>633</w:t>
            </w:r>
          </w:p>
        </w:tc>
      </w:tr>
      <w:tr>
        <w:tc>
          <w:tcPr>
            <w:tcW w:type="dxa" w:w="2551"/>
            <w:shd w:val="clear" w:fill="F4F7FA"/>
          </w:tcPr>
          <w:p>
            <w:pPr>
              <w:spacing w:after="40" w:before="40"/>
            </w:pPr>
            <w:r/>
            <w:r>
              <w:rPr>
                <w:rFonts w:ascii="Calibri" w:hAnsi="Calibri" w:cs="Loma"/>
                <w:b w:val="0"/>
                <w:color w:val="22303C"/>
                <w:sz w:val="18"/>
              </w:rPr>
              <w:t>Slots</w:t>
            </w:r>
          </w:p>
        </w:tc>
        <w:tc>
          <w:tcPr>
            <w:tcW w:type="dxa" w:w="1304"/>
            <w:shd w:val="clear" w:fill="F4F7FA"/>
          </w:tcPr>
          <w:p>
            <w:pPr>
              <w:spacing w:after="40" w:before="40"/>
              <w:jc w:val="right"/>
            </w:pPr>
            <w:r/>
            <w:r>
              <w:rPr>
                <w:rFonts w:ascii="Calibri" w:hAnsi="Calibri" w:cs="Loma"/>
                <w:b w:val="0"/>
                <w:color w:val="22303C"/>
                <w:sz w:val="18"/>
              </w:rPr>
              <w:t>1,921</w:t>
            </w:r>
          </w:p>
        </w:tc>
        <w:tc>
          <w:tcPr>
            <w:tcW w:type="dxa" w:w="1701"/>
            <w:shd w:val="clear" w:fill="F4F7FA"/>
          </w:tcPr>
          <w:p>
            <w:pPr>
              <w:spacing w:after="40" w:before="40"/>
              <w:jc w:val="right"/>
            </w:pPr>
            <w:r/>
            <w:r>
              <w:rPr>
                <w:rFonts w:ascii="Calibri" w:hAnsi="Calibri" w:cs="Loma"/>
                <w:b w:val="0"/>
                <w:color w:val="22303C"/>
                <w:sz w:val="18"/>
              </w:rPr>
              <w:t>21.1%</w:t>
            </w:r>
          </w:p>
        </w:tc>
        <w:tc>
          <w:tcPr>
            <w:tcW w:type="dxa" w:w="1361"/>
            <w:shd w:val="clear" w:fill="F4F7FA"/>
          </w:tcPr>
          <w:p>
            <w:pPr>
              <w:spacing w:after="40" w:before="40"/>
              <w:jc w:val="right"/>
            </w:pPr>
            <w:r/>
            <w:r>
              <w:rPr>
                <w:rFonts w:ascii="Calibri" w:hAnsi="Calibri" w:cs="Loma"/>
                <w:b w:val="0"/>
                <w:color w:val="22303C"/>
                <w:sz w:val="18"/>
              </w:rPr>
              <w:t>81</w:t>
            </w:r>
          </w:p>
        </w:tc>
        <w:tc>
          <w:tcPr>
            <w:tcW w:type="dxa" w:w="1361"/>
            <w:shd w:val="clear" w:fill="F4F7FA"/>
          </w:tcPr>
          <w:p>
            <w:pPr>
              <w:spacing w:after="40" w:before="40"/>
              <w:jc w:val="right"/>
            </w:pPr>
            <w:r/>
            <w:r>
              <w:rPr>
                <w:rFonts w:ascii="Calibri" w:hAnsi="Calibri" w:cs="Loma"/>
                <w:b w:val="0"/>
                <w:color w:val="22303C"/>
                <w:sz w:val="18"/>
              </w:rPr>
              <w:t>1,840</w:t>
            </w:r>
          </w:p>
        </w:tc>
        <w:tc>
          <w:tcPr>
            <w:tcW w:type="dxa" w:w="1361"/>
            <w:shd w:val="clear" w:fill="F4F7FA"/>
          </w:tcPr>
          <w:p>
            <w:pPr>
              <w:spacing w:after="40" w:before="40"/>
              <w:jc w:val="right"/>
            </w:pPr>
            <w:r/>
            <w:r>
              <w:rPr>
                <w:rFonts w:ascii="Calibri" w:hAnsi="Calibri" w:cs="Loma"/>
                <w:b w:val="0"/>
                <w:color w:val="22303C"/>
                <w:sz w:val="18"/>
              </w:rPr>
              <w:t>540</w:t>
            </w:r>
          </w:p>
        </w:tc>
      </w:tr>
      <w:tr>
        <w:tc>
          <w:tcPr>
            <w:tcW w:type="dxa" w:w="2551"/>
          </w:tcPr>
          <w:p>
            <w:pPr>
              <w:spacing w:after="40" w:before="40"/>
            </w:pPr>
            <w:r/>
            <w:r>
              <w:rPr>
                <w:rFonts w:ascii="Calibri" w:hAnsi="Calibri" w:cs="Loma"/>
                <w:b w:val="0"/>
                <w:color w:val="22303C"/>
                <w:sz w:val="18"/>
              </w:rPr>
              <w:t>General Gambling</w:t>
            </w:r>
          </w:p>
        </w:tc>
        <w:tc>
          <w:tcPr>
            <w:tcW w:type="dxa" w:w="1304"/>
          </w:tcPr>
          <w:p>
            <w:pPr>
              <w:spacing w:after="40" w:before="40"/>
              <w:jc w:val="right"/>
            </w:pPr>
            <w:r/>
            <w:r>
              <w:rPr>
                <w:rFonts w:ascii="Calibri" w:hAnsi="Calibri" w:cs="Loma"/>
                <w:b w:val="0"/>
                <w:color w:val="22303C"/>
                <w:sz w:val="18"/>
              </w:rPr>
              <w:t>1,867</w:t>
            </w:r>
          </w:p>
        </w:tc>
        <w:tc>
          <w:tcPr>
            <w:tcW w:type="dxa" w:w="1701"/>
          </w:tcPr>
          <w:p>
            <w:pPr>
              <w:spacing w:after="40" w:before="40"/>
              <w:jc w:val="right"/>
            </w:pPr>
            <w:r/>
            <w:r>
              <w:rPr>
                <w:rFonts w:ascii="Calibri" w:hAnsi="Calibri" w:cs="Loma"/>
                <w:b w:val="0"/>
                <w:color w:val="22303C"/>
                <w:sz w:val="18"/>
              </w:rPr>
              <w:t>20.5%</w:t>
            </w:r>
          </w:p>
        </w:tc>
        <w:tc>
          <w:tcPr>
            <w:tcW w:type="dxa" w:w="1361"/>
          </w:tcPr>
          <w:p>
            <w:pPr>
              <w:spacing w:after="40" w:before="40"/>
              <w:jc w:val="right"/>
            </w:pPr>
            <w:r/>
            <w:r>
              <w:rPr>
                <w:rFonts w:ascii="Calibri" w:hAnsi="Calibri" w:cs="Loma"/>
                <w:b w:val="0"/>
                <w:color w:val="22303C"/>
                <w:sz w:val="18"/>
              </w:rPr>
              <w:t>13</w:t>
            </w:r>
          </w:p>
        </w:tc>
        <w:tc>
          <w:tcPr>
            <w:tcW w:type="dxa" w:w="1361"/>
          </w:tcPr>
          <w:p>
            <w:pPr>
              <w:spacing w:after="40" w:before="40"/>
              <w:jc w:val="right"/>
            </w:pPr>
            <w:r/>
            <w:r>
              <w:rPr>
                <w:rFonts w:ascii="Calibri" w:hAnsi="Calibri" w:cs="Loma"/>
                <w:b w:val="0"/>
                <w:color w:val="22303C"/>
                <w:sz w:val="18"/>
              </w:rPr>
              <w:t>1,854</w:t>
            </w:r>
          </w:p>
        </w:tc>
        <w:tc>
          <w:tcPr>
            <w:tcW w:type="dxa" w:w="1361"/>
          </w:tcPr>
          <w:p>
            <w:pPr>
              <w:spacing w:after="40" w:before="40"/>
              <w:jc w:val="right"/>
            </w:pPr>
            <w:r/>
            <w:r>
              <w:rPr>
                <w:rFonts w:ascii="Calibri" w:hAnsi="Calibri" w:cs="Loma"/>
                <w:b w:val="0"/>
                <w:color w:val="22303C"/>
                <w:sz w:val="18"/>
              </w:rPr>
              <w:t>535</w:t>
            </w:r>
          </w:p>
        </w:tc>
      </w:tr>
      <w:tr>
        <w:tc>
          <w:tcPr>
            <w:tcW w:type="dxa" w:w="2551"/>
            <w:shd w:val="clear" w:fill="F4F7FA"/>
          </w:tcPr>
          <w:p>
            <w:pPr>
              <w:spacing w:after="40" w:before="40"/>
            </w:pPr>
            <w:r/>
            <w:r>
              <w:rPr>
                <w:rFonts w:ascii="Calibri" w:hAnsi="Calibri" w:cs="Loma"/>
                <w:b w:val="0"/>
                <w:color w:val="22303C"/>
                <w:sz w:val="18"/>
              </w:rPr>
              <w:t>Football Betting</w:t>
            </w:r>
          </w:p>
        </w:tc>
        <w:tc>
          <w:tcPr>
            <w:tcW w:type="dxa" w:w="1304"/>
            <w:shd w:val="clear" w:fill="F4F7FA"/>
          </w:tcPr>
          <w:p>
            <w:pPr>
              <w:spacing w:after="40" w:before="40"/>
              <w:jc w:val="right"/>
            </w:pPr>
            <w:r/>
            <w:r>
              <w:rPr>
                <w:rFonts w:ascii="Calibri" w:hAnsi="Calibri" w:cs="Loma"/>
                <w:b w:val="0"/>
                <w:color w:val="22303C"/>
                <w:sz w:val="18"/>
              </w:rPr>
              <w:t>1,032</w:t>
            </w:r>
          </w:p>
        </w:tc>
        <w:tc>
          <w:tcPr>
            <w:tcW w:type="dxa" w:w="1701"/>
            <w:shd w:val="clear" w:fill="F4F7FA"/>
          </w:tcPr>
          <w:p>
            <w:pPr>
              <w:spacing w:after="40" w:before="40"/>
              <w:jc w:val="right"/>
            </w:pPr>
            <w:r/>
            <w:r>
              <w:rPr>
                <w:rFonts w:ascii="Calibri" w:hAnsi="Calibri" w:cs="Loma"/>
                <w:b w:val="0"/>
                <w:color w:val="22303C"/>
                <w:sz w:val="18"/>
              </w:rPr>
              <w:t>11.3%</w:t>
            </w:r>
          </w:p>
        </w:tc>
        <w:tc>
          <w:tcPr>
            <w:tcW w:type="dxa" w:w="1361"/>
            <w:shd w:val="clear" w:fill="F4F7FA"/>
          </w:tcPr>
          <w:p>
            <w:pPr>
              <w:spacing w:after="40" w:before="40"/>
              <w:jc w:val="right"/>
            </w:pPr>
            <w:r/>
            <w:r>
              <w:rPr>
                <w:rFonts w:ascii="Calibri" w:hAnsi="Calibri" w:cs="Loma"/>
                <w:b w:val="0"/>
                <w:color w:val="22303C"/>
                <w:sz w:val="18"/>
              </w:rPr>
              <w:t>23</w:t>
            </w:r>
          </w:p>
        </w:tc>
        <w:tc>
          <w:tcPr>
            <w:tcW w:type="dxa" w:w="1361"/>
            <w:shd w:val="clear" w:fill="F4F7FA"/>
          </w:tcPr>
          <w:p>
            <w:pPr>
              <w:spacing w:after="40" w:before="40"/>
              <w:jc w:val="right"/>
            </w:pPr>
            <w:r/>
            <w:r>
              <w:rPr>
                <w:rFonts w:ascii="Calibri" w:hAnsi="Calibri" w:cs="Loma"/>
                <w:b w:val="0"/>
                <w:color w:val="22303C"/>
                <w:sz w:val="18"/>
              </w:rPr>
              <w:t>1,009</w:t>
            </w:r>
          </w:p>
        </w:tc>
        <w:tc>
          <w:tcPr>
            <w:tcW w:type="dxa" w:w="1361"/>
            <w:shd w:val="clear" w:fill="F4F7FA"/>
          </w:tcPr>
          <w:p>
            <w:pPr>
              <w:spacing w:after="40" w:before="40"/>
              <w:jc w:val="right"/>
            </w:pPr>
            <w:r/>
            <w:r>
              <w:rPr>
                <w:rFonts w:ascii="Calibri" w:hAnsi="Calibri" w:cs="Loma"/>
                <w:b w:val="0"/>
                <w:color w:val="22303C"/>
                <w:sz w:val="18"/>
              </w:rPr>
              <w:t>379</w:t>
            </w:r>
          </w:p>
        </w:tc>
      </w:tr>
      <w:tr>
        <w:tc>
          <w:tcPr>
            <w:tcW w:type="dxa" w:w="2551"/>
          </w:tcPr>
          <w:p>
            <w:pPr>
              <w:spacing w:after="40" w:before="40"/>
            </w:pPr>
            <w:r/>
            <w:r>
              <w:rPr>
                <w:rFonts w:ascii="Calibri" w:hAnsi="Calibri" w:cs="Loma"/>
                <w:b w:val="0"/>
                <w:color w:val="22303C"/>
                <w:sz w:val="18"/>
              </w:rPr>
              <w:t>Playing card</w:t>
            </w:r>
          </w:p>
        </w:tc>
        <w:tc>
          <w:tcPr>
            <w:tcW w:type="dxa" w:w="1304"/>
          </w:tcPr>
          <w:p>
            <w:pPr>
              <w:spacing w:after="40" w:before="40"/>
              <w:jc w:val="right"/>
            </w:pPr>
            <w:r/>
            <w:r>
              <w:rPr>
                <w:rFonts w:ascii="Calibri" w:hAnsi="Calibri" w:cs="Loma"/>
                <w:b w:val="0"/>
                <w:color w:val="22303C"/>
                <w:sz w:val="18"/>
              </w:rPr>
              <w:t>322</w:t>
            </w:r>
          </w:p>
        </w:tc>
        <w:tc>
          <w:tcPr>
            <w:tcW w:type="dxa" w:w="1701"/>
          </w:tcPr>
          <w:p>
            <w:pPr>
              <w:spacing w:after="40" w:before="40"/>
              <w:jc w:val="right"/>
            </w:pPr>
            <w:r/>
            <w:r>
              <w:rPr>
                <w:rFonts w:ascii="Calibri" w:hAnsi="Calibri" w:cs="Loma"/>
                <w:b w:val="0"/>
                <w:color w:val="22303C"/>
                <w:sz w:val="18"/>
              </w:rPr>
              <w:t>3.5%</w:t>
            </w:r>
          </w:p>
        </w:tc>
        <w:tc>
          <w:tcPr>
            <w:tcW w:type="dxa" w:w="1361"/>
          </w:tcPr>
          <w:p>
            <w:pPr>
              <w:spacing w:after="40" w:before="40"/>
              <w:jc w:val="right"/>
            </w:pPr>
            <w:r/>
            <w:r>
              <w:rPr>
                <w:rFonts w:ascii="Calibri" w:hAnsi="Calibri" w:cs="Loma"/>
                <w:b w:val="0"/>
                <w:color w:val="22303C"/>
                <w:sz w:val="18"/>
              </w:rPr>
              <w:t>2</w:t>
            </w:r>
          </w:p>
        </w:tc>
        <w:tc>
          <w:tcPr>
            <w:tcW w:type="dxa" w:w="1361"/>
          </w:tcPr>
          <w:p>
            <w:pPr>
              <w:spacing w:after="40" w:before="40"/>
              <w:jc w:val="right"/>
            </w:pPr>
            <w:r/>
            <w:r>
              <w:rPr>
                <w:rFonts w:ascii="Calibri" w:hAnsi="Calibri" w:cs="Loma"/>
                <w:b w:val="0"/>
                <w:color w:val="22303C"/>
                <w:sz w:val="18"/>
              </w:rPr>
              <w:t>320</w:t>
            </w:r>
          </w:p>
        </w:tc>
        <w:tc>
          <w:tcPr>
            <w:tcW w:type="dxa" w:w="1361"/>
          </w:tcPr>
          <w:p>
            <w:pPr>
              <w:spacing w:after="40" w:before="40"/>
              <w:jc w:val="right"/>
            </w:pPr>
            <w:r/>
            <w:r>
              <w:rPr>
                <w:rFonts w:ascii="Calibri" w:hAnsi="Calibri" w:cs="Loma"/>
                <w:b w:val="0"/>
                <w:color w:val="22303C"/>
                <w:sz w:val="18"/>
              </w:rPr>
              <w:t>186</w:t>
            </w:r>
          </w:p>
        </w:tc>
      </w:tr>
      <w:tr>
        <w:tc>
          <w:tcPr>
            <w:tcW w:type="dxa" w:w="2551"/>
            <w:shd w:val="clear" w:fill="F4F7FA"/>
          </w:tcPr>
          <w:p>
            <w:pPr>
              <w:spacing w:after="40" w:before="40"/>
            </w:pPr>
            <w:r/>
            <w:r>
              <w:rPr>
                <w:rFonts w:ascii="Calibri" w:hAnsi="Calibri" w:cs="Loma"/>
                <w:b w:val="0"/>
                <w:color w:val="22303C"/>
                <w:sz w:val="18"/>
              </w:rPr>
              <w:t>Lottery</w:t>
            </w:r>
          </w:p>
        </w:tc>
        <w:tc>
          <w:tcPr>
            <w:tcW w:type="dxa" w:w="1304"/>
            <w:shd w:val="clear" w:fill="F4F7FA"/>
          </w:tcPr>
          <w:p>
            <w:pPr>
              <w:spacing w:after="40" w:before="40"/>
              <w:jc w:val="right"/>
            </w:pPr>
            <w:r/>
            <w:r>
              <w:rPr>
                <w:rFonts w:ascii="Calibri" w:hAnsi="Calibri" w:cs="Loma"/>
                <w:b w:val="0"/>
                <w:color w:val="22303C"/>
                <w:sz w:val="18"/>
              </w:rPr>
              <w:t>201</w:t>
            </w:r>
          </w:p>
        </w:tc>
        <w:tc>
          <w:tcPr>
            <w:tcW w:type="dxa" w:w="1701"/>
            <w:shd w:val="clear" w:fill="F4F7FA"/>
          </w:tcPr>
          <w:p>
            <w:pPr>
              <w:spacing w:after="40" w:before="40"/>
              <w:jc w:val="right"/>
            </w:pPr>
            <w:r/>
            <w:r>
              <w:rPr>
                <w:rFonts w:ascii="Calibri" w:hAnsi="Calibri" w:cs="Loma"/>
                <w:b w:val="0"/>
                <w:color w:val="22303C"/>
                <w:sz w:val="18"/>
              </w:rPr>
              <w:t>2.2%</w:t>
            </w:r>
          </w:p>
        </w:tc>
        <w:tc>
          <w:tcPr>
            <w:tcW w:type="dxa" w:w="1361"/>
            <w:shd w:val="clear" w:fill="F4F7FA"/>
          </w:tcPr>
          <w:p>
            <w:pPr>
              <w:spacing w:after="40" w:before="40"/>
              <w:jc w:val="right"/>
            </w:pPr>
            <w:r/>
            <w:r>
              <w:rPr>
                <w:rFonts w:ascii="Calibri" w:hAnsi="Calibri" w:cs="Loma"/>
                <w:b w:val="0"/>
                <w:color w:val="22303C"/>
                <w:sz w:val="18"/>
              </w:rPr>
              <w:t>21</w:t>
            </w:r>
          </w:p>
        </w:tc>
        <w:tc>
          <w:tcPr>
            <w:tcW w:type="dxa" w:w="1361"/>
            <w:shd w:val="clear" w:fill="F4F7FA"/>
          </w:tcPr>
          <w:p>
            <w:pPr>
              <w:spacing w:after="40" w:before="40"/>
              <w:jc w:val="right"/>
            </w:pPr>
            <w:r/>
            <w:r>
              <w:rPr>
                <w:rFonts w:ascii="Calibri" w:hAnsi="Calibri" w:cs="Loma"/>
                <w:b w:val="0"/>
                <w:color w:val="22303C"/>
                <w:sz w:val="18"/>
              </w:rPr>
              <w:t>180</w:t>
            </w:r>
          </w:p>
        </w:tc>
        <w:tc>
          <w:tcPr>
            <w:tcW w:type="dxa" w:w="1361"/>
            <w:shd w:val="clear" w:fill="F4F7FA"/>
          </w:tcPr>
          <w:p>
            <w:pPr>
              <w:spacing w:after="40" w:before="40"/>
              <w:jc w:val="right"/>
            </w:pPr>
            <w:r/>
            <w:r>
              <w:rPr>
                <w:rFonts w:ascii="Calibri" w:hAnsi="Calibri" w:cs="Loma"/>
                <w:b w:val="0"/>
                <w:color w:val="22303C"/>
                <w:sz w:val="18"/>
              </w:rPr>
              <w:t>74</w:t>
            </w:r>
          </w:p>
        </w:tc>
      </w:tr>
      <w:tr>
        <w:tc>
          <w:tcPr>
            <w:tcW w:type="dxa" w:w="2551"/>
          </w:tcPr>
          <w:p>
            <w:pPr>
              <w:spacing w:after="40" w:before="40"/>
            </w:pPr>
            <w:r/>
            <w:r>
              <w:rPr>
                <w:rFonts w:ascii="Calibri" w:hAnsi="Calibri" w:cs="Loma"/>
                <w:b w:val="0"/>
                <w:color w:val="22303C"/>
                <w:sz w:val="18"/>
              </w:rPr>
              <w:t>Baccarat</w:t>
            </w:r>
          </w:p>
        </w:tc>
        <w:tc>
          <w:tcPr>
            <w:tcW w:type="dxa" w:w="1304"/>
          </w:tcPr>
          <w:p>
            <w:pPr>
              <w:spacing w:after="40" w:before="40"/>
              <w:jc w:val="right"/>
            </w:pPr>
            <w:r/>
            <w:r>
              <w:rPr>
                <w:rFonts w:ascii="Calibri" w:hAnsi="Calibri" w:cs="Loma"/>
                <w:b w:val="0"/>
                <w:color w:val="22303C"/>
                <w:sz w:val="18"/>
              </w:rPr>
              <w:t>124</w:t>
            </w:r>
          </w:p>
        </w:tc>
        <w:tc>
          <w:tcPr>
            <w:tcW w:type="dxa" w:w="1701"/>
          </w:tcPr>
          <w:p>
            <w:pPr>
              <w:spacing w:after="40" w:before="40"/>
              <w:jc w:val="right"/>
            </w:pPr>
            <w:r/>
            <w:r>
              <w:rPr>
                <w:rFonts w:ascii="Calibri" w:hAnsi="Calibri" w:cs="Loma"/>
                <w:b w:val="0"/>
                <w:color w:val="22303C"/>
                <w:sz w:val="18"/>
              </w:rPr>
              <w:t>1.4%</w:t>
            </w:r>
          </w:p>
        </w:tc>
        <w:tc>
          <w:tcPr>
            <w:tcW w:type="dxa" w:w="1361"/>
          </w:tcPr>
          <w:p>
            <w:pPr>
              <w:spacing w:after="40" w:before="40"/>
              <w:jc w:val="right"/>
            </w:pPr>
            <w:r/>
            <w:r>
              <w:rPr>
                <w:rFonts w:ascii="Calibri" w:hAnsi="Calibri" w:cs="Loma"/>
                <w:b w:val="0"/>
                <w:color w:val="22303C"/>
                <w:sz w:val="18"/>
              </w:rPr>
              <w:t>18</w:t>
            </w:r>
          </w:p>
        </w:tc>
        <w:tc>
          <w:tcPr>
            <w:tcW w:type="dxa" w:w="1361"/>
          </w:tcPr>
          <w:p>
            <w:pPr>
              <w:spacing w:after="40" w:before="40"/>
              <w:jc w:val="right"/>
            </w:pPr>
            <w:r/>
            <w:r>
              <w:rPr>
                <w:rFonts w:ascii="Calibri" w:hAnsi="Calibri" w:cs="Loma"/>
                <w:b w:val="0"/>
                <w:color w:val="22303C"/>
                <w:sz w:val="18"/>
              </w:rPr>
              <w:t>106</w:t>
            </w:r>
          </w:p>
        </w:tc>
        <w:tc>
          <w:tcPr>
            <w:tcW w:type="dxa" w:w="1361"/>
          </w:tcPr>
          <w:p>
            <w:pPr>
              <w:spacing w:after="40" w:before="40"/>
              <w:jc w:val="right"/>
            </w:pPr>
            <w:r/>
            <w:r>
              <w:rPr>
                <w:rFonts w:ascii="Calibri" w:hAnsi="Calibri" w:cs="Loma"/>
                <w:b w:val="0"/>
                <w:color w:val="22303C"/>
                <w:sz w:val="18"/>
              </w:rPr>
              <w:t>93</w:t>
            </w:r>
          </w:p>
        </w:tc>
      </w:tr>
    </w:tbl>
    <w:p>
      <w:pPr>
        <w:spacing w:after="0"/>
      </w:pPr>
    </w:p>
    <w:p>
      <w:pPr>
        <w:spacing w:before="60" w:after="220"/>
      </w:pPr>
      <w:r>
        <w:rPr>
          <w:b/>
          <w:color w:val="1F3F63"/>
          <w:sz w:val="17"/>
        </w:rPr>
        <w:t xml:space="preserve">Table 6. </w:t>
      </w:r>
      <w:r>
        <w:rPr>
          <w:rFonts w:cs="Loma"/>
          <w:color w:val="4A5B6B"/>
          <w:sz w:val="17"/>
        </w:rPr>
        <w:t>Product subcategories with their assignment split and cluster spread.</w:t>
      </w:r>
    </w:p>
    <w:p>
      <w:pPr>
        <w:pStyle w:val="Heading2"/>
      </w:pPr>
      <w:r>
        <w:t>3.4  Signal tags across the estate</w:t>
      </w:r>
    </w:p>
    <w:p>
      <w:pPr>
        <w:keepNext/>
        <w:spacing w:before="80" w:after="0"/>
        <w:jc w:val="center"/>
      </w:pPr>
      <w:r>
        <w:drawing>
          <wp:inline xmlns:a="http://schemas.openxmlformats.org/drawingml/2006/main" xmlns:pic="http://schemas.openxmlformats.org/drawingml/2006/picture">
            <wp:extent cx="6120000" cy="2033765"/>
            <wp:docPr id="7" name="Picture 7"/>
            <wp:cNvGraphicFramePr>
              <a:graphicFrameLocks noChangeAspect="1"/>
            </wp:cNvGraphicFramePr>
            <a:graphic>
              <a:graphicData uri="http://schemas.openxmlformats.org/drawingml/2006/picture">
                <pic:pic>
                  <pic:nvPicPr>
                    <pic:cNvPr id="0" name="b5_tags.png"/>
                    <pic:cNvPicPr/>
                  </pic:nvPicPr>
                  <pic:blipFill>
                    <a:blip r:embed="rId15"/>
                    <a:stretch>
                      <a:fillRect/>
                    </a:stretch>
                  </pic:blipFill>
                  <pic:spPr>
                    <a:xfrm>
                      <a:off x="0" y="0"/>
                      <a:ext cx="6120000" cy="2033765"/>
                    </a:xfrm>
                    <a:prstGeom prst="rect"/>
                  </pic:spPr>
                </pic:pic>
              </a:graphicData>
            </a:graphic>
          </wp:inline>
        </w:drawing>
      </w:r>
    </w:p>
    <w:p>
      <w:pPr>
        <w:spacing w:before="60" w:after="220"/>
      </w:pPr>
      <w:r>
        <w:rPr>
          <w:b/>
          <w:color w:val="1F3F63"/>
          <w:sz w:val="17"/>
        </w:rPr>
        <w:t xml:space="preserve">Figure 7. </w:t>
      </w:r>
      <w:r>
        <w:rPr>
          <w:rFonts w:cs="Loma"/>
          <w:color w:val="4A5B6B"/>
          <w:sz w:val="17"/>
        </w:rPr>
        <w:t>Gambling sites carrying each signal tag. Mean tags per site: 0.43.</w:t>
      </w:r>
    </w:p>
    <w:p>
      <w:pPr>
        <w:spacing w:after="120"/>
      </w:pPr>
      <w:r>
        <w:rPr>
          <w:rFonts w:cs="Loma"/>
          <w:i w:val="0"/>
          <w:color w:val="22303C"/>
          <w:sz w:val="21"/>
        </w:rPr>
        <w:t>Figure 7 counts how sites operate and market themselves rather than what they sell. At 0.43 tags per gambling site the estate is sparsely tagged, and two categories — Vague-Evasion Terms and Hashtags — did not match at all.</w:t>
      </w:r>
    </w:p>
    <w:p>
      <w:pPr>
        <w:pStyle w:val="Heading2"/>
      </w:pPr>
      <w:r>
        <w:t>3.5  Heat map — keyword by subcategory</w:t>
      </w:r>
    </w:p>
    <w:p>
      <w:pPr>
        <w:keepNext/>
        <w:spacing w:before="80" w:after="0"/>
        <w:jc w:val="center"/>
      </w:pPr>
      <w:r>
        <w:drawing>
          <wp:inline xmlns:a="http://schemas.openxmlformats.org/drawingml/2006/main" xmlns:pic="http://schemas.openxmlformats.org/drawingml/2006/picture">
            <wp:extent cx="6120000" cy="6870325"/>
            <wp:docPr id="8" name="Picture 8"/>
            <wp:cNvGraphicFramePr>
              <a:graphicFrameLocks noChangeAspect="1"/>
            </wp:cNvGraphicFramePr>
            <a:graphic>
              <a:graphicData uri="http://schemas.openxmlformats.org/drawingml/2006/picture">
                <pic:pic>
                  <pic:nvPicPr>
                    <pic:cNvPr id="0" name="b6_hm_keyword.png"/>
                    <pic:cNvPicPr/>
                  </pic:nvPicPr>
                  <pic:blipFill>
                    <a:blip r:embed="rId16"/>
                    <a:stretch>
                      <a:fillRect/>
                    </a:stretch>
                  </pic:blipFill>
                  <pic:spPr>
                    <a:xfrm>
                      <a:off x="0" y="0"/>
                      <a:ext cx="6120000" cy="6870325"/>
                    </a:xfrm>
                    <a:prstGeom prst="rect"/>
                  </pic:spPr>
                </pic:pic>
              </a:graphicData>
            </a:graphic>
          </wp:inline>
        </w:drawing>
      </w:r>
    </w:p>
    <w:p>
      <w:pPr>
        <w:spacing w:before="60" w:after="220"/>
      </w:pPr>
      <w:r>
        <w:rPr>
          <w:b/>
          <w:color w:val="1F3F63"/>
          <w:sz w:val="17"/>
        </w:rPr>
        <w:t xml:space="preserve">Figure 8. </w:t>
      </w:r>
      <w:r>
        <w:rPr>
          <w:rFonts w:cs="Loma"/>
          <w:color w:val="4A5B6B"/>
          <w:sz w:val="17"/>
        </w:rPr>
        <w:t>The 25 most frequently matched keywords against the seven product subcategories. The coloured strip beside each keyword shows the lexicon category it belongs to, so cross-category bleed is visible.</w:t>
      </w:r>
    </w:p>
    <w:p>
      <w:pPr>
        <w:spacing w:after="120"/>
      </w:pPr>
      <w:r>
        <w:rPr>
          <w:rFonts w:cs="Loma"/>
          <w:i w:val="0"/>
          <w:color w:val="22303C"/>
          <w:sz w:val="21"/>
        </w:rPr>
        <w:t>Figure 8 shows the matched vocabulary is dominated by short Latin abbreviations rather than product terms, which is why so few rows could be assigned by keyword.</w:t>
      </w:r>
    </w:p>
    <w:p>
      <w:pPr>
        <w:pStyle w:val="Heading2"/>
      </w:pPr>
      <w:r>
        <w:t>3.6  Heat map — signal tag by subcategory</w:t>
      </w:r>
    </w:p>
    <w:p>
      <w:pPr>
        <w:keepNext/>
        <w:spacing w:before="80" w:after="0"/>
        <w:jc w:val="center"/>
      </w:pPr>
      <w:r>
        <w:drawing>
          <wp:inline xmlns:a="http://schemas.openxmlformats.org/drawingml/2006/main" xmlns:pic="http://schemas.openxmlformats.org/drawingml/2006/picture">
            <wp:extent cx="6120000" cy="3623745"/>
            <wp:docPr id="9" name="Picture 9"/>
            <wp:cNvGraphicFramePr>
              <a:graphicFrameLocks noChangeAspect="1"/>
            </wp:cNvGraphicFramePr>
            <a:graphic>
              <a:graphicData uri="http://schemas.openxmlformats.org/drawingml/2006/picture">
                <pic:pic>
                  <pic:nvPicPr>
                    <pic:cNvPr id="0" name="b7_hm_tag.png"/>
                    <pic:cNvPicPr/>
                  </pic:nvPicPr>
                  <pic:blipFill>
                    <a:blip r:embed="rId17"/>
                    <a:stretch>
                      <a:fillRect/>
                    </a:stretch>
                  </pic:blipFill>
                  <pic:spPr>
                    <a:xfrm>
                      <a:off x="0" y="0"/>
                      <a:ext cx="6120000" cy="3623745"/>
                    </a:xfrm>
                    <a:prstGeom prst="rect"/>
                  </pic:spPr>
                </pic:pic>
              </a:graphicData>
            </a:graphic>
          </wp:inline>
        </w:drawing>
      </w:r>
    </w:p>
    <w:p>
      <w:pPr>
        <w:spacing w:before="60" w:after="220"/>
      </w:pPr>
      <w:r>
        <w:rPr>
          <w:b/>
          <w:color w:val="1F3F63"/>
          <w:sz w:val="17"/>
        </w:rPr>
        <w:t xml:space="preserve">Figure 9. </w:t>
      </w:r>
      <w:r>
        <w:rPr>
          <w:rFonts w:cs="Loma"/>
          <w:color w:val="4A5B6B"/>
          <w:sz w:val="17"/>
        </w:rPr>
        <w:t>Signal categories against product subcategories, by site count.</w:t>
      </w:r>
    </w:p>
    <w:p>
      <w:pPr>
        <w:spacing w:after="120"/>
      </w:pPr>
      <w:r>
        <w:rPr>
          <w:rFonts w:cs="Loma"/>
          <w:i w:val="0"/>
          <w:color w:val="22303C"/>
          <w:sz w:val="21"/>
        </w:rPr>
        <w:t>Figure 9 shows which products lean on promotional, payment or evasion language.</w:t>
      </w:r>
    </w:p>
    <w:p>
      <w:r>
        <w:br w:type="page"/>
      </w:r>
    </w:p>
    <w:p>
      <w:pPr>
        <w:pStyle w:val="Heading1"/>
      </w:pPr>
      <w:r>
        <w:t>4  Brands and clustering</w:t>
      </w:r>
    </w:p>
    <w:p>
      <w:pPr>
        <w:pStyle w:val="Heading2"/>
      </w:pPr>
      <w:r>
        <w:t>4.1  Cluster counts</w:t>
      </w:r>
    </w:p>
    <w:tbl>
      <w:tblPr>
        <w:tblStyle w:val="TableGrid"/>
        <w:tblW w:type="auto" w:w="0"/>
        <w:jc w:val="center"/>
        <w:tblBorders>
          <w:top w:val="single" w:sz="4" w:space="0" w:color="C9D2DB"/>
          <w:left w:val="single" w:sz="4" w:space="0" w:color="C9D2DB"/>
          <w:bottom w:val="single" w:sz="4" w:space="0" w:color="C9D2DB"/>
          <w:right w:val="single" w:sz="4" w:space="0" w:color="C9D2DB"/>
          <w:insideH w:val="nil" w:sz="4" w:space="0" w:color="C9D2DB"/>
          <w:insideV w:val="single" w:sz="4" w:space="0" w:color="C9D2DB"/>
        </w:tblBorders>
        <w:tblLook w:firstColumn="1" w:firstRow="1" w:lastColumn="0" w:lastRow="0" w:noHBand="0" w:noVBand="1" w:val="04A0"/>
      </w:tblPr>
      <w:tblGrid>
        <w:gridCol w:w="2409"/>
        <w:gridCol w:w="2409"/>
        <w:gridCol w:w="2409"/>
        <w:gridCol w:w="2409"/>
      </w:tblGrid>
      <w:tr>
        <w:tc>
          <w:tcPr>
            <w:tcW w:type="dxa" w:w="2409"/>
          </w:tcPr>
          <w:p>
            <w:pPr>
              <w:spacing w:after="40" w:before="120"/>
              <w:jc w:val="center"/>
            </w:pPr>
            <w:r/>
            <w:r>
              <w:rPr>
                <w:rFonts w:ascii="Calibri" w:hAnsi="Calibri" w:cs="Loma"/>
                <w:b/>
                <w:color w:val="1F3F63"/>
                <w:sz w:val="36"/>
              </w:rPr>
              <w:t>1,010</w:t>
            </w:r>
          </w:p>
        </w:tc>
        <w:tc>
          <w:tcPr>
            <w:tcW w:type="dxa" w:w="2409"/>
          </w:tcPr>
          <w:p>
            <w:pPr>
              <w:spacing w:after="40" w:before="120"/>
              <w:jc w:val="center"/>
            </w:pPr>
            <w:r/>
            <w:r>
              <w:rPr>
                <w:rFonts w:ascii="Calibri" w:hAnsi="Calibri" w:cs="Loma"/>
                <w:b/>
                <w:color w:val="1F3F63"/>
                <w:sz w:val="36"/>
              </w:rPr>
              <w:t>764</w:t>
            </w:r>
          </w:p>
        </w:tc>
        <w:tc>
          <w:tcPr>
            <w:tcW w:type="dxa" w:w="2409"/>
          </w:tcPr>
          <w:p>
            <w:pPr>
              <w:spacing w:after="40" w:before="120"/>
              <w:jc w:val="center"/>
            </w:pPr>
            <w:r/>
            <w:r>
              <w:rPr>
                <w:rFonts w:ascii="Calibri" w:hAnsi="Calibri" w:cs="Loma"/>
                <w:b/>
                <w:color w:val="1F3F63"/>
                <w:sz w:val="36"/>
              </w:rPr>
              <w:t>246</w:t>
            </w:r>
          </w:p>
        </w:tc>
        <w:tc>
          <w:tcPr>
            <w:tcW w:type="dxa" w:w="2409"/>
          </w:tcPr>
          <w:p>
            <w:pPr>
              <w:spacing w:after="40" w:before="120"/>
              <w:jc w:val="center"/>
            </w:pPr>
            <w:r/>
            <w:r>
              <w:rPr>
                <w:rFonts w:ascii="Calibri" w:hAnsi="Calibri" w:cs="Loma"/>
                <w:b/>
                <w:color w:val="1F3F63"/>
                <w:sz w:val="36"/>
              </w:rPr>
              <w:t>125</w:t>
            </w:r>
          </w:p>
        </w:tc>
      </w:tr>
      <w:tr>
        <w:tc>
          <w:tcPr>
            <w:tcW w:type="dxa" w:w="2409"/>
          </w:tcPr>
          <w:p>
            <w:pPr>
              <w:spacing w:after="120" w:before="40"/>
              <w:jc w:val="center"/>
            </w:pPr>
            <w:r/>
            <w:r>
              <w:rPr>
                <w:rFonts w:ascii="Calibri" w:hAnsi="Calibri" w:cs="Loma"/>
                <w:b w:val="0"/>
                <w:color w:val="4A5B6B"/>
                <w:sz w:val="17"/>
              </w:rPr>
              <w:t>Distinct clusters</w:t>
            </w:r>
          </w:p>
        </w:tc>
        <w:tc>
          <w:tcPr>
            <w:tcW w:type="dxa" w:w="2409"/>
          </w:tcPr>
          <w:p>
            <w:pPr>
              <w:spacing w:after="120" w:before="40"/>
              <w:jc w:val="center"/>
            </w:pPr>
            <w:r/>
            <w:r>
              <w:rPr>
                <w:rFonts w:ascii="Calibri" w:hAnsi="Calibri" w:cs="Loma"/>
                <w:b w:val="0"/>
                <w:color w:val="4A5B6B"/>
                <w:sz w:val="17"/>
              </w:rPr>
              <w:t>Clusters with 2+ URLs</w:t>
            </w:r>
          </w:p>
        </w:tc>
        <w:tc>
          <w:tcPr>
            <w:tcW w:type="dxa" w:w="2409"/>
          </w:tcPr>
          <w:p>
            <w:pPr>
              <w:spacing w:after="120" w:before="40"/>
              <w:jc w:val="center"/>
            </w:pPr>
            <w:r/>
            <w:r>
              <w:rPr>
                <w:rFonts w:ascii="Calibri" w:hAnsi="Calibri" w:cs="Loma"/>
                <w:b w:val="0"/>
                <w:color w:val="4A5B6B"/>
                <w:sz w:val="17"/>
              </w:rPr>
              <w:t>Singletons</w:t>
            </w:r>
          </w:p>
        </w:tc>
        <w:tc>
          <w:tcPr>
            <w:tcW w:type="dxa" w:w="2409"/>
          </w:tcPr>
          <w:p>
            <w:pPr>
              <w:spacing w:after="120" w:before="40"/>
              <w:jc w:val="center"/>
            </w:pPr>
            <w:r/>
            <w:r>
              <w:rPr>
                <w:rFonts w:ascii="Calibri" w:hAnsi="Calibri" w:cs="Loma"/>
                <w:b w:val="0"/>
                <w:color w:val="4A5B6B"/>
                <w:sz w:val="17"/>
              </w:rPr>
              <w:t>Clusters to cover 50%</w:t>
            </w:r>
          </w:p>
        </w:tc>
      </w:tr>
    </w:tbl>
    <w:p>
      <w:pPr>
        <w:spacing w:after="0"/>
      </w:pPr>
    </w:p>
    <w:p>
      <w:pPr>
        <w:spacing w:before="60" w:after="220"/>
      </w:pPr>
      <w:r>
        <w:rPr>
          <w:b/>
          <w:color w:val="1F3F63"/>
          <w:sz w:val="17"/>
        </w:rPr>
        <w:t xml:space="preserve">Table 7. </w:t>
      </w:r>
      <w:r>
        <w:rPr>
          <w:rFonts w:cs="Loma"/>
          <w:color w:val="4A5B6B"/>
          <w:sz w:val="17"/>
        </w:rPr>
        <w:t>Brand-cluster counts across the gambling estate.</w:t>
      </w:r>
    </w:p>
    <w:p>
      <w:pPr>
        <w:pStyle w:val="Heading2"/>
      </w:pPr>
      <w:r>
        <w:t>4.2  Top 15 brand clusters by URL count</w:t>
      </w:r>
    </w:p>
    <w:p>
      <w:pPr>
        <w:keepNext/>
        <w:spacing w:before="80" w:after="0"/>
        <w:jc w:val="center"/>
      </w:pPr>
      <w:r>
        <w:drawing>
          <wp:inline xmlns:a="http://schemas.openxmlformats.org/drawingml/2006/main" xmlns:pic="http://schemas.openxmlformats.org/drawingml/2006/picture">
            <wp:extent cx="6120000" cy="3016749"/>
            <wp:docPr id="10" name="Picture 10"/>
            <wp:cNvGraphicFramePr>
              <a:graphicFrameLocks noChangeAspect="1"/>
            </wp:cNvGraphicFramePr>
            <a:graphic>
              <a:graphicData uri="http://schemas.openxmlformats.org/drawingml/2006/picture">
                <pic:pic>
                  <pic:nvPicPr>
                    <pic:cNvPr id="0" name="c2_clusters.png"/>
                    <pic:cNvPicPr/>
                  </pic:nvPicPr>
                  <pic:blipFill>
                    <a:blip r:embed="rId18"/>
                    <a:stretch>
                      <a:fillRect/>
                    </a:stretch>
                  </pic:blipFill>
                  <pic:spPr>
                    <a:xfrm>
                      <a:off x="0" y="0"/>
                      <a:ext cx="6120000" cy="3016749"/>
                    </a:xfrm>
                    <a:prstGeom prst="rect"/>
                  </pic:spPr>
                </pic:pic>
              </a:graphicData>
            </a:graphic>
          </wp:inline>
        </w:drawing>
      </w:r>
    </w:p>
    <w:p>
      <w:pPr>
        <w:spacing w:before="60" w:after="220"/>
      </w:pPr>
      <w:r>
        <w:rPr>
          <w:b/>
          <w:color w:val="1F3F63"/>
          <w:sz w:val="17"/>
        </w:rPr>
        <w:t xml:space="preserve">Figure 10. </w:t>
      </w:r>
      <w:r>
        <w:rPr>
          <w:rFonts w:cs="Loma"/>
          <w:color w:val="4A5B6B"/>
          <w:sz w:val="17"/>
        </w:rPr>
        <w:t>The fifteen largest brand clusters by number of URLs.</w:t>
      </w:r>
    </w:p>
    <w:p>
      <w:pPr>
        <w:pStyle w:val="Heading2"/>
      </w:pPr>
      <w:r>
        <w:t>4.3  Cluster concentration</w:t>
      </w:r>
    </w:p>
    <w:p>
      <w:pPr>
        <w:keepNext/>
        <w:spacing w:before="80" w:after="0"/>
        <w:jc w:val="center"/>
      </w:pPr>
      <w:r>
        <w:drawing>
          <wp:inline xmlns:a="http://schemas.openxmlformats.org/drawingml/2006/main" xmlns:pic="http://schemas.openxmlformats.org/drawingml/2006/picture">
            <wp:extent cx="6120000" cy="2548633"/>
            <wp:docPr id="11" name="Picture 11"/>
            <wp:cNvGraphicFramePr>
              <a:graphicFrameLocks noChangeAspect="1"/>
            </wp:cNvGraphicFramePr>
            <a:graphic>
              <a:graphicData uri="http://schemas.openxmlformats.org/drawingml/2006/picture">
                <pic:pic>
                  <pic:nvPicPr>
                    <pic:cNvPr id="0" name="c3_cumulative.png"/>
                    <pic:cNvPicPr/>
                  </pic:nvPicPr>
                  <pic:blipFill>
                    <a:blip r:embed="rId19"/>
                    <a:stretch>
                      <a:fillRect/>
                    </a:stretch>
                  </pic:blipFill>
                  <pic:spPr>
                    <a:xfrm>
                      <a:off x="0" y="0"/>
                      <a:ext cx="6120000" cy="2548633"/>
                    </a:xfrm>
                    <a:prstGeom prst="rect"/>
                  </pic:spPr>
                </pic:pic>
              </a:graphicData>
            </a:graphic>
          </wp:inline>
        </w:drawing>
      </w:r>
    </w:p>
    <w:p>
      <w:pPr>
        <w:spacing w:before="60" w:after="220"/>
      </w:pPr>
      <w:r>
        <w:rPr>
          <w:b/>
          <w:color w:val="1F3F63"/>
          <w:sz w:val="17"/>
        </w:rPr>
        <w:t xml:space="preserve">Figure 11. </w:t>
      </w:r>
      <w:r>
        <w:rPr>
          <w:rFonts w:cs="Loma"/>
          <w:color w:val="4A5B6B"/>
          <w:sz w:val="17"/>
        </w:rPr>
        <w:t>Cumulative share of gambling URLs as clusters are added in rank order. The top 5 clusters hold 6.9% and the top 10 hold 10.8%.</w:t>
      </w:r>
    </w:p>
    <w:p>
      <w:pPr>
        <w:spacing w:after="120"/>
      </w:pPr>
      <w:r>
        <w:rPr>
          <w:rFonts w:cs="Loma"/>
          <w:i w:val="0"/>
          <w:color w:val="22303C"/>
          <w:sz w:val="21"/>
        </w:rPr>
        <w:t>Figure 11 is the clearest statement of leverage in this report. The curve rises slowly: 125 clusters are needed before half the gambling estate is covered, so there is no small set of operators to target first.</w:t>
      </w:r>
    </w:p>
    <w:p>
      <w:pPr>
        <w:pStyle w:val="Heading2"/>
      </w:pPr>
      <w:r>
        <w:t>4.4  Heat map — brand cluster by subcategory</w:t>
      </w:r>
    </w:p>
    <w:p>
      <w:pPr>
        <w:keepNext/>
        <w:spacing w:before="80" w:after="0"/>
        <w:jc w:val="center"/>
      </w:pPr>
      <w:r>
        <w:drawing>
          <wp:inline xmlns:a="http://schemas.openxmlformats.org/drawingml/2006/main" xmlns:pic="http://schemas.openxmlformats.org/drawingml/2006/picture">
            <wp:extent cx="6120000" cy="6320483"/>
            <wp:docPr id="12" name="Picture 12"/>
            <wp:cNvGraphicFramePr>
              <a:graphicFrameLocks noChangeAspect="1"/>
            </wp:cNvGraphicFramePr>
            <a:graphic>
              <a:graphicData uri="http://schemas.openxmlformats.org/drawingml/2006/picture">
                <pic:pic>
                  <pic:nvPicPr>
                    <pic:cNvPr id="0" name="c4_hm_cluster.png"/>
                    <pic:cNvPicPr/>
                  </pic:nvPicPr>
                  <pic:blipFill>
                    <a:blip r:embed="rId20"/>
                    <a:stretch>
                      <a:fillRect/>
                    </a:stretch>
                  </pic:blipFill>
                  <pic:spPr>
                    <a:xfrm>
                      <a:off x="0" y="0"/>
                      <a:ext cx="6120000" cy="6320483"/>
                    </a:xfrm>
                    <a:prstGeom prst="rect"/>
                  </pic:spPr>
                </pic:pic>
              </a:graphicData>
            </a:graphic>
          </wp:inline>
        </w:drawing>
      </w:r>
    </w:p>
    <w:p>
      <w:pPr>
        <w:spacing w:before="60" w:after="220"/>
      </w:pPr>
      <w:r>
        <w:rPr>
          <w:b/>
          <w:color w:val="1F3F63"/>
          <w:sz w:val="17"/>
        </w:rPr>
        <w:t xml:space="preserve">Figure 12. </w:t>
      </w:r>
      <w:r>
        <w:rPr>
          <w:rFonts w:cs="Loma"/>
          <w:color w:val="4A5B6B"/>
          <w:sz w:val="17"/>
        </w:rPr>
        <w:t>The 20 largest clusters against the seven product subcategories. Multi-product operators appear as horizontal bands.</w:t>
      </w:r>
    </w:p>
    <w:p>
      <w:pPr>
        <w:pStyle w:val="Heading2"/>
      </w:pPr>
      <w:r>
        <w:t>4.5  Cluster expansion — bet</w:t>
      </w:r>
    </w:p>
    <w:p>
      <w:pPr>
        <w:keepNext/>
        <w:spacing w:before="80" w:after="0"/>
        <w:jc w:val="center"/>
      </w:pPr>
      <w:r>
        <w:drawing>
          <wp:inline xmlns:a="http://schemas.openxmlformats.org/drawingml/2006/main" xmlns:pic="http://schemas.openxmlformats.org/drawingml/2006/picture">
            <wp:extent cx="6120000" cy="6388097"/>
            <wp:docPr id="13" name="Picture 13"/>
            <wp:cNvGraphicFramePr>
              <a:graphicFrameLocks noChangeAspect="1"/>
            </wp:cNvGraphicFramePr>
            <a:graphic>
              <a:graphicData uri="http://schemas.openxmlformats.org/drawingml/2006/picture">
                <pic:pic>
                  <pic:nvPicPr>
                    <pic:cNvPr id="0" name="c5_topcluster.png"/>
                    <pic:cNvPicPr/>
                  </pic:nvPicPr>
                  <pic:blipFill>
                    <a:blip r:embed="rId21"/>
                    <a:stretch>
                      <a:fillRect/>
                    </a:stretch>
                  </pic:blipFill>
                  <pic:spPr>
                    <a:xfrm>
                      <a:off x="0" y="0"/>
                      <a:ext cx="6120000" cy="6388097"/>
                    </a:xfrm>
                    <a:prstGeom prst="rect"/>
                  </pic:spPr>
                </pic:pic>
              </a:graphicData>
            </a:graphic>
          </wp:inline>
        </w:drawing>
      </w:r>
    </w:p>
    <w:p>
      <w:pPr>
        <w:spacing w:before="60" w:after="220"/>
      </w:pPr>
      <w:r>
        <w:rPr>
          <w:b/>
          <w:color w:val="1F3F63"/>
          <w:sz w:val="17"/>
        </w:rPr>
        <w:t xml:space="preserve">Figure 13. </w:t>
      </w:r>
      <w:r>
        <w:rPr>
          <w:rFonts w:cs="Loma"/>
          <w:color w:val="4A5B6B"/>
          <w:sz w:val="17"/>
        </w:rPr>
        <w:t>Members of the largest cluster, “bet” (177 URLs; up to 40 shown). Edge style records why each domain joined: solid for crawler-asserted seed linkage, dashed for a shared stem, dotted for near-miss similarity.</w:t>
      </w:r>
    </w:p>
    <w:p>
      <w:pPr>
        <w:spacing w:after="120"/>
      </w:pPr>
      <w:r>
        <w:rPr>
          <w:rFonts w:cs="Loma"/>
          <w:i w:val="0"/>
          <w:color w:val="22303C"/>
          <w:sz w:val="21"/>
        </w:rPr>
        <w:t>Figure 13 shows the shape the whole estate repeats: a stable brand token carrying numeric and suffix variation across several top-level domains, with membership asserted mostly by the crawler rather than inferred.</w:t>
      </w:r>
    </w:p>
    <w:p>
      <w:pPr>
        <w:pStyle w:val="Heading2"/>
      </w:pPr>
      <w:r>
        <w:t>4.6  Clusters spanning multiple subcategories</w:t>
      </w:r>
    </w:p>
    <w:p>
      <w:pPr>
        <w:spacing w:after="120"/>
      </w:pPr>
      <w:r>
        <w:rPr>
          <w:rFonts w:cs="Loma"/>
          <w:i w:val="0"/>
          <w:color w:val="22303C"/>
          <w:sz w:val="21"/>
        </w:rPr>
        <w:t>513 clusters span two or more product subcategories. The largest are listed below.</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2409"/>
        <w:gridCol w:w="2409"/>
        <w:gridCol w:w="2409"/>
        <w:gridCol w:w="2409"/>
      </w:tblGrid>
      <w:tr>
        <w:tc>
          <w:tcPr>
            <w:tcW w:type="dxa" w:w="1587"/>
            <w:shd w:val="clear" w:fill="1F3F63"/>
          </w:tcPr>
          <w:p>
            <w:pPr>
              <w:spacing w:after="40" w:before="40"/>
            </w:pPr>
            <w:r/>
            <w:r>
              <w:rPr>
                <w:rFonts w:ascii="Calibri" w:hAnsi="Calibri" w:cs="Loma"/>
                <w:b/>
                <w:color w:val="FFFFFF"/>
                <w:sz w:val="17"/>
              </w:rPr>
              <w:t>Cluster</w:t>
            </w:r>
          </w:p>
        </w:tc>
        <w:tc>
          <w:tcPr>
            <w:tcW w:type="dxa" w:w="907"/>
            <w:shd w:val="clear" w:fill="1F3F63"/>
          </w:tcPr>
          <w:p>
            <w:pPr>
              <w:spacing w:after="40" w:before="40"/>
              <w:jc w:val="right"/>
            </w:pPr>
            <w:r/>
            <w:r>
              <w:rPr>
                <w:rFonts w:ascii="Calibri" w:hAnsi="Calibri" w:cs="Loma"/>
                <w:b/>
                <w:color w:val="FFFFFF"/>
                <w:sz w:val="17"/>
              </w:rPr>
              <w:t>URLs</w:t>
            </w:r>
          </w:p>
        </w:tc>
        <w:tc>
          <w:tcPr>
            <w:tcW w:type="dxa" w:w="3855"/>
            <w:shd w:val="clear" w:fill="1F3F63"/>
          </w:tcPr>
          <w:p>
            <w:pPr>
              <w:spacing w:after="40" w:before="40"/>
            </w:pPr>
            <w:r/>
            <w:r>
              <w:rPr>
                <w:rFonts w:ascii="Calibri" w:hAnsi="Calibri" w:cs="Loma"/>
                <w:b/>
                <w:color w:val="FFFFFF"/>
                <w:sz w:val="17"/>
              </w:rPr>
              <w:t>Subcategories</w:t>
            </w:r>
          </w:p>
        </w:tc>
        <w:tc>
          <w:tcPr>
            <w:tcW w:type="dxa" w:w="3288"/>
            <w:shd w:val="clear" w:fill="1F3F63"/>
          </w:tcPr>
          <w:p>
            <w:pPr>
              <w:spacing w:after="40" w:before="40"/>
            </w:pPr>
            <w:r/>
            <w:r>
              <w:rPr>
                <w:rFonts w:ascii="Calibri" w:hAnsi="Calibri" w:cs="Loma"/>
                <w:b/>
                <w:color w:val="FFFFFF"/>
                <w:sz w:val="17"/>
              </w:rPr>
              <w:t>Suffixes</w:t>
            </w:r>
          </w:p>
        </w:tc>
      </w:tr>
      <w:tr>
        <w:tc>
          <w:tcPr>
            <w:tcW w:type="dxa" w:w="1587"/>
          </w:tcPr>
          <w:p>
            <w:pPr>
              <w:spacing w:after="40" w:before="40"/>
            </w:pPr>
            <w:r/>
            <w:r>
              <w:rPr>
                <w:rFonts w:ascii="Calibri" w:hAnsi="Calibri" w:cs="Loma"/>
                <w:b w:val="0"/>
                <w:color w:val="22303C"/>
                <w:sz w:val="17"/>
              </w:rPr>
              <w:t>bet</w:t>
            </w:r>
          </w:p>
        </w:tc>
        <w:tc>
          <w:tcPr>
            <w:tcW w:type="dxa" w:w="907"/>
          </w:tcPr>
          <w:p>
            <w:pPr>
              <w:spacing w:after="40" w:before="40"/>
              <w:jc w:val="right"/>
            </w:pPr>
            <w:r/>
            <w:r>
              <w:rPr>
                <w:rFonts w:ascii="Calibri" w:hAnsi="Calibri" w:cs="Loma"/>
                <w:b w:val="0"/>
                <w:color w:val="22303C"/>
                <w:sz w:val="17"/>
              </w:rPr>
              <w:t>177</w:t>
            </w:r>
          </w:p>
        </w:tc>
        <w:tc>
          <w:tcPr>
            <w:tcW w:type="dxa" w:w="3855"/>
          </w:tcPr>
          <w:p>
            <w:pPr>
              <w:spacing w:after="40" w:before="40"/>
            </w:pPr>
            <w:r/>
            <w:r>
              <w:rPr>
                <w:rFonts w:ascii="Calibri" w:hAnsi="Calibri" w:cs="Loma"/>
                <w:b w:val="0"/>
                <w:color w:val="22303C"/>
                <w:sz w:val="17"/>
              </w:rPr>
              <w:t>Casino (56), General Gambling (47), Slots (43), Football Betting (21)</w:t>
            </w:r>
          </w:p>
        </w:tc>
        <w:tc>
          <w:tcPr>
            <w:tcW w:type="dxa" w:w="3288"/>
          </w:tcPr>
          <w:p>
            <w:pPr>
              <w:spacing w:after="40" w:before="40"/>
            </w:pPr>
            <w:r/>
            <w:r>
              <w:rPr>
                <w:rFonts w:ascii="Calibri" w:hAnsi="Calibri" w:cs="Loma"/>
                <w:b w:val="0"/>
                <w:color w:val="22303C"/>
                <w:sz w:val="17"/>
              </w:rPr>
              <w:t>.com (30), .club (22), .app (15), .net (14)</w:t>
            </w:r>
          </w:p>
        </w:tc>
      </w:tr>
      <w:tr>
        <w:tc>
          <w:tcPr>
            <w:tcW w:type="dxa" w:w="1587"/>
            <w:shd w:val="clear" w:fill="F4F7FA"/>
          </w:tcPr>
          <w:p>
            <w:pPr>
              <w:spacing w:after="40" w:before="40"/>
            </w:pPr>
            <w:r/>
            <w:r>
              <w:rPr>
                <w:rFonts w:ascii="Calibri" w:hAnsi="Calibri" w:cs="Loma"/>
                <w:b w:val="0"/>
                <w:color w:val="22303C"/>
                <w:sz w:val="17"/>
              </w:rPr>
              <w:t>tk8</w:t>
            </w:r>
          </w:p>
        </w:tc>
        <w:tc>
          <w:tcPr>
            <w:tcW w:type="dxa" w:w="907"/>
            <w:shd w:val="clear" w:fill="F4F7FA"/>
          </w:tcPr>
          <w:p>
            <w:pPr>
              <w:spacing w:after="40" w:before="40"/>
              <w:jc w:val="right"/>
            </w:pPr>
            <w:r/>
            <w:r>
              <w:rPr>
                <w:rFonts w:ascii="Calibri" w:hAnsi="Calibri" w:cs="Loma"/>
                <w:b w:val="0"/>
                <w:color w:val="22303C"/>
                <w:sz w:val="17"/>
              </w:rPr>
              <w:t>136</w:t>
            </w:r>
          </w:p>
        </w:tc>
        <w:tc>
          <w:tcPr>
            <w:tcW w:type="dxa" w:w="3855"/>
            <w:shd w:val="clear" w:fill="F4F7FA"/>
          </w:tcPr>
          <w:p>
            <w:pPr>
              <w:spacing w:after="40" w:before="40"/>
            </w:pPr>
            <w:r/>
            <w:r>
              <w:rPr>
                <w:rFonts w:ascii="Calibri" w:hAnsi="Calibri" w:cs="Loma"/>
                <w:b w:val="0"/>
                <w:color w:val="22303C"/>
                <w:sz w:val="17"/>
              </w:rPr>
              <w:t>Casino (70), Slots (30), Football Betting (19), General Gambling (10)</w:t>
            </w:r>
          </w:p>
        </w:tc>
        <w:tc>
          <w:tcPr>
            <w:tcW w:type="dxa" w:w="3288"/>
            <w:shd w:val="clear" w:fill="F4F7FA"/>
          </w:tcPr>
          <w:p>
            <w:pPr>
              <w:spacing w:after="40" w:before="40"/>
            </w:pPr>
            <w:r/>
            <w:r>
              <w:rPr>
                <w:rFonts w:ascii="Calibri" w:hAnsi="Calibri" w:cs="Loma"/>
                <w:b w:val="0"/>
                <w:color w:val="22303C"/>
                <w:sz w:val="17"/>
              </w:rPr>
              <w:t>.pro (27), .net (18), .club (16), .co (12)</w:t>
            </w:r>
          </w:p>
        </w:tc>
      </w:tr>
      <w:tr>
        <w:tc>
          <w:tcPr>
            <w:tcW w:type="dxa" w:w="1587"/>
          </w:tcPr>
          <w:p>
            <w:pPr>
              <w:spacing w:after="40" w:before="40"/>
            </w:pPr>
            <w:r/>
            <w:r>
              <w:rPr>
                <w:rFonts w:ascii="Calibri" w:hAnsi="Calibri" w:cs="Loma"/>
                <w:b w:val="0"/>
                <w:color w:val="22303C"/>
                <w:sz w:val="17"/>
              </w:rPr>
              <w:t>11be</w:t>
            </w:r>
          </w:p>
        </w:tc>
        <w:tc>
          <w:tcPr>
            <w:tcW w:type="dxa" w:w="907"/>
          </w:tcPr>
          <w:p>
            <w:pPr>
              <w:spacing w:after="40" w:before="40"/>
              <w:jc w:val="right"/>
            </w:pPr>
            <w:r/>
            <w:r>
              <w:rPr>
                <w:rFonts w:ascii="Calibri" w:hAnsi="Calibri" w:cs="Loma"/>
                <w:b w:val="0"/>
                <w:color w:val="22303C"/>
                <w:sz w:val="17"/>
              </w:rPr>
              <w:t>128</w:t>
            </w:r>
          </w:p>
        </w:tc>
        <w:tc>
          <w:tcPr>
            <w:tcW w:type="dxa" w:w="3855"/>
          </w:tcPr>
          <w:p>
            <w:pPr>
              <w:spacing w:after="40" w:before="40"/>
            </w:pPr>
            <w:r/>
            <w:r>
              <w:rPr>
                <w:rFonts w:ascii="Calibri" w:hAnsi="Calibri" w:cs="Loma"/>
                <w:b w:val="0"/>
                <w:color w:val="22303C"/>
                <w:sz w:val="17"/>
              </w:rPr>
              <w:t>Casino (54), Slots (23), Football Betting (22), General Gambling (19)</w:t>
            </w:r>
          </w:p>
        </w:tc>
        <w:tc>
          <w:tcPr>
            <w:tcW w:type="dxa" w:w="3288"/>
          </w:tcPr>
          <w:p>
            <w:pPr>
              <w:spacing w:after="40" w:before="40"/>
            </w:pPr>
            <w:r/>
            <w:r>
              <w:rPr>
                <w:rFonts w:ascii="Calibri" w:hAnsi="Calibri" w:cs="Loma"/>
                <w:b w:val="0"/>
                <w:color w:val="22303C"/>
                <w:sz w:val="17"/>
              </w:rPr>
              <w:t>.com (31), .club (10), .online (9), .app (8)</w:t>
            </w:r>
          </w:p>
        </w:tc>
      </w:tr>
      <w:tr>
        <w:tc>
          <w:tcPr>
            <w:tcW w:type="dxa" w:w="1587"/>
            <w:shd w:val="clear" w:fill="F4F7FA"/>
          </w:tcPr>
          <w:p>
            <w:pPr>
              <w:spacing w:after="40" w:before="40"/>
            </w:pPr>
            <w:r/>
            <w:r>
              <w:rPr>
                <w:rFonts w:ascii="Calibri" w:hAnsi="Calibri" w:cs="Loma"/>
                <w:b w:val="0"/>
                <w:color w:val="22303C"/>
                <w:sz w:val="17"/>
              </w:rPr>
              <w:t>gk88</w:t>
            </w:r>
          </w:p>
        </w:tc>
        <w:tc>
          <w:tcPr>
            <w:tcW w:type="dxa" w:w="907"/>
            <w:shd w:val="clear" w:fill="F4F7FA"/>
          </w:tcPr>
          <w:p>
            <w:pPr>
              <w:spacing w:after="40" w:before="40"/>
              <w:jc w:val="right"/>
            </w:pPr>
            <w:r/>
            <w:r>
              <w:rPr>
                <w:rFonts w:ascii="Calibri" w:hAnsi="Calibri" w:cs="Loma"/>
                <w:b w:val="0"/>
                <w:color w:val="22303C"/>
                <w:sz w:val="17"/>
              </w:rPr>
              <w:t>103</w:t>
            </w:r>
          </w:p>
        </w:tc>
        <w:tc>
          <w:tcPr>
            <w:tcW w:type="dxa" w:w="3855"/>
            <w:shd w:val="clear" w:fill="F4F7FA"/>
          </w:tcPr>
          <w:p>
            <w:pPr>
              <w:spacing w:after="40" w:before="40"/>
            </w:pPr>
            <w:r/>
            <w:r>
              <w:rPr>
                <w:rFonts w:ascii="Calibri" w:hAnsi="Calibri" w:cs="Loma"/>
                <w:b w:val="0"/>
                <w:color w:val="22303C"/>
                <w:sz w:val="17"/>
              </w:rPr>
              <w:t>Casino (45), Slots (24), General Gambling (18), Football Betting (6)</w:t>
            </w:r>
          </w:p>
        </w:tc>
        <w:tc>
          <w:tcPr>
            <w:tcW w:type="dxa" w:w="3288"/>
            <w:shd w:val="clear" w:fill="F4F7FA"/>
          </w:tcPr>
          <w:p>
            <w:pPr>
              <w:spacing w:after="40" w:before="40"/>
            </w:pPr>
            <w:r/>
            <w:r>
              <w:rPr>
                <w:rFonts w:ascii="Calibri" w:hAnsi="Calibri" w:cs="Loma"/>
                <w:b w:val="0"/>
                <w:color w:val="22303C"/>
                <w:sz w:val="17"/>
              </w:rPr>
              <w:t>.com (22), .club (12), .click (11), .vip (9)</w:t>
            </w:r>
          </w:p>
        </w:tc>
      </w:tr>
      <w:tr>
        <w:tc>
          <w:tcPr>
            <w:tcW w:type="dxa" w:w="1587"/>
          </w:tcPr>
          <w:p>
            <w:pPr>
              <w:spacing w:after="40" w:before="40"/>
            </w:pPr>
            <w:r/>
            <w:r>
              <w:rPr>
                <w:rFonts w:ascii="Calibri" w:hAnsi="Calibri" w:cs="Loma"/>
                <w:b w:val="0"/>
                <w:color w:val="22303C"/>
                <w:sz w:val="17"/>
              </w:rPr>
              <w:t>betwin</w:t>
            </w:r>
          </w:p>
        </w:tc>
        <w:tc>
          <w:tcPr>
            <w:tcW w:type="dxa" w:w="907"/>
          </w:tcPr>
          <w:p>
            <w:pPr>
              <w:spacing w:after="40" w:before="40"/>
              <w:jc w:val="right"/>
            </w:pPr>
            <w:r/>
            <w:r>
              <w:rPr>
                <w:rFonts w:ascii="Calibri" w:hAnsi="Calibri" w:cs="Loma"/>
                <w:b w:val="0"/>
                <w:color w:val="22303C"/>
                <w:sz w:val="17"/>
              </w:rPr>
              <w:t>88</w:t>
            </w:r>
          </w:p>
        </w:tc>
        <w:tc>
          <w:tcPr>
            <w:tcW w:type="dxa" w:w="3855"/>
          </w:tcPr>
          <w:p>
            <w:pPr>
              <w:spacing w:after="40" w:before="40"/>
            </w:pPr>
            <w:r/>
            <w:r>
              <w:rPr>
                <w:rFonts w:ascii="Calibri" w:hAnsi="Calibri" w:cs="Loma"/>
                <w:b w:val="0"/>
                <w:color w:val="22303C"/>
                <w:sz w:val="17"/>
              </w:rPr>
              <w:t>Football Betting (33), Casino (23), General Gambling (19), Slots (11)</w:t>
            </w:r>
          </w:p>
        </w:tc>
        <w:tc>
          <w:tcPr>
            <w:tcW w:type="dxa" w:w="3288"/>
          </w:tcPr>
          <w:p>
            <w:pPr>
              <w:spacing w:after="40" w:before="40"/>
            </w:pPr>
            <w:r/>
            <w:r>
              <w:rPr>
                <w:rFonts w:ascii="Calibri" w:hAnsi="Calibri" w:cs="Loma"/>
                <w:b w:val="0"/>
                <w:color w:val="22303C"/>
                <w:sz w:val="17"/>
              </w:rPr>
              <w:t>.com (17), .app (13), .pro (8), .online (6)</w:t>
            </w:r>
          </w:p>
        </w:tc>
      </w:tr>
      <w:tr>
        <w:tc>
          <w:tcPr>
            <w:tcW w:type="dxa" w:w="1587"/>
            <w:shd w:val="clear" w:fill="F4F7FA"/>
          </w:tcPr>
          <w:p>
            <w:pPr>
              <w:spacing w:after="40" w:before="40"/>
            </w:pPr>
            <w:r/>
            <w:r>
              <w:rPr>
                <w:rFonts w:ascii="Calibri" w:hAnsi="Calibri" w:cs="Loma"/>
                <w:b w:val="0"/>
                <w:color w:val="22303C"/>
                <w:sz w:val="17"/>
              </w:rPr>
              <w:t>lott</w:t>
            </w:r>
          </w:p>
        </w:tc>
        <w:tc>
          <w:tcPr>
            <w:tcW w:type="dxa" w:w="907"/>
            <w:shd w:val="clear" w:fill="F4F7FA"/>
          </w:tcPr>
          <w:p>
            <w:pPr>
              <w:spacing w:after="40" w:before="40"/>
              <w:jc w:val="right"/>
            </w:pPr>
            <w:r/>
            <w:r>
              <w:rPr>
                <w:rFonts w:ascii="Calibri" w:hAnsi="Calibri" w:cs="Loma"/>
                <w:b w:val="0"/>
                <w:color w:val="22303C"/>
                <w:sz w:val="17"/>
              </w:rPr>
              <w:t>81</w:t>
            </w:r>
          </w:p>
        </w:tc>
        <w:tc>
          <w:tcPr>
            <w:tcW w:type="dxa" w:w="3855"/>
            <w:shd w:val="clear" w:fill="F4F7FA"/>
          </w:tcPr>
          <w:p>
            <w:pPr>
              <w:spacing w:after="40" w:before="40"/>
            </w:pPr>
            <w:r/>
            <w:r>
              <w:rPr>
                <w:rFonts w:ascii="Calibri" w:hAnsi="Calibri" w:cs="Loma"/>
                <w:b w:val="0"/>
                <w:color w:val="22303C"/>
                <w:sz w:val="17"/>
              </w:rPr>
              <w:t>Lottery (48), Slots (15), General Gambling (7), Casino (5)</w:t>
            </w:r>
          </w:p>
        </w:tc>
        <w:tc>
          <w:tcPr>
            <w:tcW w:type="dxa" w:w="3288"/>
            <w:shd w:val="clear" w:fill="F4F7FA"/>
          </w:tcPr>
          <w:p>
            <w:pPr>
              <w:spacing w:after="40" w:before="40"/>
            </w:pPr>
            <w:r/>
            <w:r>
              <w:rPr>
                <w:rFonts w:ascii="Calibri" w:hAnsi="Calibri" w:cs="Loma"/>
                <w:b w:val="0"/>
                <w:color w:val="22303C"/>
                <w:sz w:val="17"/>
              </w:rPr>
              <w:t>.com (25), .net (8), .cc (6), .bet (5)</w:t>
            </w:r>
          </w:p>
        </w:tc>
      </w:tr>
      <w:tr>
        <w:tc>
          <w:tcPr>
            <w:tcW w:type="dxa" w:w="1587"/>
          </w:tcPr>
          <w:p>
            <w:pPr>
              <w:spacing w:after="40" w:before="40"/>
            </w:pPr>
            <w:r/>
            <w:r>
              <w:rPr>
                <w:rFonts w:ascii="Calibri" w:hAnsi="Calibri" w:cs="Loma"/>
                <w:b w:val="0"/>
                <w:color w:val="22303C"/>
                <w:sz w:val="17"/>
              </w:rPr>
              <w:t>k03</w:t>
            </w:r>
          </w:p>
        </w:tc>
        <w:tc>
          <w:tcPr>
            <w:tcW w:type="dxa" w:w="907"/>
          </w:tcPr>
          <w:p>
            <w:pPr>
              <w:spacing w:after="40" w:before="40"/>
              <w:jc w:val="right"/>
            </w:pPr>
            <w:r/>
            <w:r>
              <w:rPr>
                <w:rFonts w:ascii="Calibri" w:hAnsi="Calibri" w:cs="Loma"/>
                <w:b w:val="0"/>
                <w:color w:val="22303C"/>
                <w:sz w:val="17"/>
              </w:rPr>
              <w:t>72</w:t>
            </w:r>
          </w:p>
        </w:tc>
        <w:tc>
          <w:tcPr>
            <w:tcW w:type="dxa" w:w="3855"/>
          </w:tcPr>
          <w:p>
            <w:pPr>
              <w:spacing w:after="40" w:before="40"/>
            </w:pPr>
            <w:r/>
            <w:r>
              <w:rPr>
                <w:rFonts w:ascii="Calibri" w:hAnsi="Calibri" w:cs="Loma"/>
                <w:b w:val="0"/>
                <w:color w:val="22303C"/>
                <w:sz w:val="17"/>
              </w:rPr>
              <w:t>General Gambling (49), Football Betting (21), Slots (1), Casino (1)</w:t>
            </w:r>
          </w:p>
        </w:tc>
        <w:tc>
          <w:tcPr>
            <w:tcW w:type="dxa" w:w="3288"/>
          </w:tcPr>
          <w:p>
            <w:pPr>
              <w:spacing w:after="40" w:before="40"/>
            </w:pPr>
            <w:r/>
            <w:r>
              <w:rPr>
                <w:rFonts w:ascii="Calibri" w:hAnsi="Calibri" w:cs="Loma"/>
                <w:b w:val="0"/>
                <w:color w:val="22303C"/>
                <w:sz w:val="17"/>
              </w:rPr>
              <w:t>.cc (70), .pro (1), .net (1)</w:t>
            </w:r>
          </w:p>
        </w:tc>
      </w:tr>
      <w:tr>
        <w:tc>
          <w:tcPr>
            <w:tcW w:type="dxa" w:w="1587"/>
            <w:shd w:val="clear" w:fill="F4F7FA"/>
          </w:tcPr>
          <w:p>
            <w:pPr>
              <w:spacing w:after="40" w:before="40"/>
            </w:pPr>
            <w:r/>
            <w:r>
              <w:rPr>
                <w:rFonts w:ascii="Calibri" w:hAnsi="Calibri" w:cs="Loma"/>
                <w:b w:val="0"/>
                <w:color w:val="22303C"/>
                <w:sz w:val="17"/>
              </w:rPr>
              <w:t>88bet</w:t>
            </w:r>
          </w:p>
        </w:tc>
        <w:tc>
          <w:tcPr>
            <w:tcW w:type="dxa" w:w="907"/>
            <w:shd w:val="clear" w:fill="F4F7FA"/>
          </w:tcPr>
          <w:p>
            <w:pPr>
              <w:spacing w:after="40" w:before="40"/>
              <w:jc w:val="right"/>
            </w:pPr>
            <w:r/>
            <w:r>
              <w:rPr>
                <w:rFonts w:ascii="Calibri" w:hAnsi="Calibri" w:cs="Loma"/>
                <w:b w:val="0"/>
                <w:color w:val="22303C"/>
                <w:sz w:val="17"/>
              </w:rPr>
              <w:t>68</w:t>
            </w:r>
          </w:p>
        </w:tc>
        <w:tc>
          <w:tcPr>
            <w:tcW w:type="dxa" w:w="3855"/>
            <w:shd w:val="clear" w:fill="F4F7FA"/>
          </w:tcPr>
          <w:p>
            <w:pPr>
              <w:spacing w:after="40" w:before="40"/>
            </w:pPr>
            <w:r/>
            <w:r>
              <w:rPr>
                <w:rFonts w:ascii="Calibri" w:hAnsi="Calibri" w:cs="Loma"/>
                <w:b w:val="0"/>
                <w:color w:val="22303C"/>
                <w:sz w:val="17"/>
              </w:rPr>
              <w:t>Casino (35), General Gambling (16), Slots (9), Football Betting (3)</w:t>
            </w:r>
          </w:p>
        </w:tc>
        <w:tc>
          <w:tcPr>
            <w:tcW w:type="dxa" w:w="3288"/>
            <w:shd w:val="clear" w:fill="F4F7FA"/>
          </w:tcPr>
          <w:p>
            <w:pPr>
              <w:spacing w:after="40" w:before="40"/>
            </w:pPr>
            <w:r/>
            <w:r>
              <w:rPr>
                <w:rFonts w:ascii="Calibri" w:hAnsi="Calibri" w:cs="Loma"/>
                <w:b w:val="0"/>
                <w:color w:val="22303C"/>
                <w:sz w:val="17"/>
              </w:rPr>
              <w:t>.casino (13), .pro (5), .club (5), .shop (4)</w:t>
            </w:r>
          </w:p>
        </w:tc>
      </w:tr>
      <w:tr>
        <w:tc>
          <w:tcPr>
            <w:tcW w:type="dxa" w:w="1587"/>
          </w:tcPr>
          <w:p>
            <w:pPr>
              <w:spacing w:after="40" w:before="40"/>
            </w:pPr>
            <w:r/>
            <w:r>
              <w:rPr>
                <w:rFonts w:ascii="Calibri" w:hAnsi="Calibri" w:cs="Loma"/>
                <w:b w:val="0"/>
                <w:color w:val="22303C"/>
                <w:sz w:val="17"/>
              </w:rPr>
              <w:t>mgbet</w:t>
            </w:r>
          </w:p>
        </w:tc>
        <w:tc>
          <w:tcPr>
            <w:tcW w:type="dxa" w:w="907"/>
          </w:tcPr>
          <w:p>
            <w:pPr>
              <w:spacing w:after="40" w:before="40"/>
              <w:jc w:val="right"/>
            </w:pPr>
            <w:r/>
            <w:r>
              <w:rPr>
                <w:rFonts w:ascii="Calibri" w:hAnsi="Calibri" w:cs="Loma"/>
                <w:b w:val="0"/>
                <w:color w:val="22303C"/>
                <w:sz w:val="17"/>
              </w:rPr>
              <w:t>68</w:t>
            </w:r>
          </w:p>
        </w:tc>
        <w:tc>
          <w:tcPr>
            <w:tcW w:type="dxa" w:w="3855"/>
          </w:tcPr>
          <w:p>
            <w:pPr>
              <w:spacing w:after="40" w:before="40"/>
            </w:pPr>
            <w:r/>
            <w:r>
              <w:rPr>
                <w:rFonts w:ascii="Calibri" w:hAnsi="Calibri" w:cs="Loma"/>
                <w:b w:val="0"/>
                <w:color w:val="22303C"/>
                <w:sz w:val="17"/>
              </w:rPr>
              <w:t>General Gambling (30), Casino (19), Slots (8), Football Betting (7)</w:t>
            </w:r>
          </w:p>
        </w:tc>
        <w:tc>
          <w:tcPr>
            <w:tcW w:type="dxa" w:w="3288"/>
          </w:tcPr>
          <w:p>
            <w:pPr>
              <w:spacing w:after="40" w:before="40"/>
            </w:pPr>
            <w:r/>
            <w:r>
              <w:rPr>
                <w:rFonts w:ascii="Calibri" w:hAnsi="Calibri" w:cs="Loma"/>
                <w:b w:val="0"/>
                <w:color w:val="22303C"/>
                <w:sz w:val="17"/>
              </w:rPr>
              <w:t>.com (44), .cc (5), .ws (4), .club (3)</w:t>
            </w:r>
          </w:p>
        </w:tc>
      </w:tr>
      <w:tr>
        <w:tc>
          <w:tcPr>
            <w:tcW w:type="dxa" w:w="1587"/>
            <w:shd w:val="clear" w:fill="F4F7FA"/>
          </w:tcPr>
          <w:p>
            <w:pPr>
              <w:spacing w:after="40" w:before="40"/>
            </w:pPr>
            <w:r/>
            <w:r>
              <w:rPr>
                <w:rFonts w:ascii="Calibri" w:hAnsi="Calibri" w:cs="Loma"/>
                <w:b w:val="0"/>
                <w:color w:val="22303C"/>
                <w:sz w:val="17"/>
              </w:rPr>
              <w:t>loginwww</w:t>
            </w:r>
          </w:p>
        </w:tc>
        <w:tc>
          <w:tcPr>
            <w:tcW w:type="dxa" w:w="907"/>
            <w:shd w:val="clear" w:fill="F4F7FA"/>
          </w:tcPr>
          <w:p>
            <w:pPr>
              <w:spacing w:after="40" w:before="40"/>
              <w:jc w:val="right"/>
            </w:pPr>
            <w:r/>
            <w:r>
              <w:rPr>
                <w:rFonts w:ascii="Calibri" w:hAnsi="Calibri" w:cs="Loma"/>
                <w:b w:val="0"/>
                <w:color w:val="22303C"/>
                <w:sz w:val="17"/>
              </w:rPr>
              <w:t>66</w:t>
            </w:r>
          </w:p>
        </w:tc>
        <w:tc>
          <w:tcPr>
            <w:tcW w:type="dxa" w:w="3855"/>
            <w:shd w:val="clear" w:fill="F4F7FA"/>
          </w:tcPr>
          <w:p>
            <w:pPr>
              <w:spacing w:after="40" w:before="40"/>
            </w:pPr>
            <w:r/>
            <w:r>
              <w:rPr>
                <w:rFonts w:ascii="Calibri" w:hAnsi="Calibri" w:cs="Loma"/>
                <w:b w:val="0"/>
                <w:color w:val="22303C"/>
                <w:sz w:val="17"/>
              </w:rPr>
              <w:t>Casino (54), Slots (7), Football Betting (4), General Gambling (1)</w:t>
            </w:r>
          </w:p>
        </w:tc>
        <w:tc>
          <w:tcPr>
            <w:tcW w:type="dxa" w:w="3288"/>
            <w:shd w:val="clear" w:fill="F4F7FA"/>
          </w:tcPr>
          <w:p>
            <w:pPr>
              <w:spacing w:after="40" w:before="40"/>
            </w:pPr>
            <w:r/>
            <w:r>
              <w:rPr>
                <w:rFonts w:ascii="Calibri" w:hAnsi="Calibri" w:cs="Loma"/>
                <w:b w:val="0"/>
                <w:color w:val="22303C"/>
                <w:sz w:val="17"/>
              </w:rPr>
              <w:t>.fun (54), .bet (11), .site (1)</w:t>
            </w:r>
          </w:p>
        </w:tc>
      </w:tr>
      <w:tr>
        <w:tc>
          <w:tcPr>
            <w:tcW w:type="dxa" w:w="1587"/>
          </w:tcPr>
          <w:p>
            <w:pPr>
              <w:spacing w:after="40" w:before="40"/>
            </w:pPr>
            <w:r/>
            <w:r>
              <w:rPr>
                <w:rFonts w:ascii="Calibri" w:hAnsi="Calibri" w:cs="Loma"/>
                <w:b w:val="0"/>
                <w:color w:val="22303C"/>
                <w:sz w:val="17"/>
              </w:rPr>
              <w:t>8kbet</w:t>
            </w:r>
          </w:p>
        </w:tc>
        <w:tc>
          <w:tcPr>
            <w:tcW w:type="dxa" w:w="907"/>
          </w:tcPr>
          <w:p>
            <w:pPr>
              <w:spacing w:after="40" w:before="40"/>
              <w:jc w:val="right"/>
            </w:pPr>
            <w:r/>
            <w:r>
              <w:rPr>
                <w:rFonts w:ascii="Calibri" w:hAnsi="Calibri" w:cs="Loma"/>
                <w:b w:val="0"/>
                <w:color w:val="22303C"/>
                <w:sz w:val="17"/>
              </w:rPr>
              <w:t>65</w:t>
            </w:r>
          </w:p>
        </w:tc>
        <w:tc>
          <w:tcPr>
            <w:tcW w:type="dxa" w:w="3855"/>
          </w:tcPr>
          <w:p>
            <w:pPr>
              <w:spacing w:after="40" w:before="40"/>
            </w:pPr>
            <w:r/>
            <w:r>
              <w:rPr>
                <w:rFonts w:ascii="Calibri" w:hAnsi="Calibri" w:cs="Loma"/>
                <w:b w:val="0"/>
                <w:color w:val="22303C"/>
                <w:sz w:val="17"/>
              </w:rPr>
              <w:t>Casino (37), General Gambling (14), Slots (8), Football Betting (4)</w:t>
            </w:r>
          </w:p>
        </w:tc>
        <w:tc>
          <w:tcPr>
            <w:tcW w:type="dxa" w:w="3288"/>
          </w:tcPr>
          <w:p>
            <w:pPr>
              <w:spacing w:after="40" w:before="40"/>
            </w:pPr>
            <w:r/>
            <w:r>
              <w:rPr>
                <w:rFonts w:ascii="Calibri" w:hAnsi="Calibri" w:cs="Loma"/>
                <w:b w:val="0"/>
                <w:color w:val="22303C"/>
                <w:sz w:val="17"/>
              </w:rPr>
              <w:t>.bet (19), .com (16), .fun (9), .top (7)</w:t>
            </w:r>
          </w:p>
        </w:tc>
      </w:tr>
      <w:tr>
        <w:tc>
          <w:tcPr>
            <w:tcW w:type="dxa" w:w="1587"/>
            <w:shd w:val="clear" w:fill="F4F7FA"/>
          </w:tcPr>
          <w:p>
            <w:pPr>
              <w:spacing w:after="40" w:before="40"/>
            </w:pPr>
            <w:r/>
            <w:r>
              <w:rPr>
                <w:rFonts w:ascii="Calibri" w:hAnsi="Calibri" w:cs="Loma"/>
                <w:b w:val="0"/>
                <w:color w:val="22303C"/>
                <w:sz w:val="17"/>
              </w:rPr>
              <w:t>hayy</w:t>
            </w:r>
          </w:p>
        </w:tc>
        <w:tc>
          <w:tcPr>
            <w:tcW w:type="dxa" w:w="907"/>
            <w:shd w:val="clear" w:fill="F4F7FA"/>
          </w:tcPr>
          <w:p>
            <w:pPr>
              <w:spacing w:after="40" w:before="40"/>
              <w:jc w:val="right"/>
            </w:pPr>
            <w:r/>
            <w:r>
              <w:rPr>
                <w:rFonts w:ascii="Calibri" w:hAnsi="Calibri" w:cs="Loma"/>
                <w:b w:val="0"/>
                <w:color w:val="22303C"/>
                <w:sz w:val="17"/>
              </w:rPr>
              <w:t>64</w:t>
            </w:r>
          </w:p>
        </w:tc>
        <w:tc>
          <w:tcPr>
            <w:tcW w:type="dxa" w:w="3855"/>
            <w:shd w:val="clear" w:fill="F4F7FA"/>
          </w:tcPr>
          <w:p>
            <w:pPr>
              <w:spacing w:after="40" w:before="40"/>
            </w:pPr>
            <w:r/>
            <w:r>
              <w:rPr>
                <w:rFonts w:ascii="Calibri" w:hAnsi="Calibri" w:cs="Loma"/>
                <w:b w:val="0"/>
                <w:color w:val="22303C"/>
                <w:sz w:val="17"/>
              </w:rPr>
              <w:t>Casino (46), Football Betting (8), Slots (6), General Gambling (4)</w:t>
            </w:r>
          </w:p>
        </w:tc>
        <w:tc>
          <w:tcPr>
            <w:tcW w:type="dxa" w:w="3288"/>
            <w:shd w:val="clear" w:fill="F4F7FA"/>
          </w:tcPr>
          <w:p>
            <w:pPr>
              <w:spacing w:after="40" w:before="40"/>
            </w:pPr>
            <w:r/>
            <w:r>
              <w:rPr>
                <w:rFonts w:ascii="Calibri" w:hAnsi="Calibri" w:cs="Loma"/>
                <w:b w:val="0"/>
                <w:color w:val="22303C"/>
                <w:sz w:val="17"/>
              </w:rPr>
              <w:t>.net (52), .bet (4), .click (2), .cc (1)</w:t>
            </w:r>
          </w:p>
        </w:tc>
      </w:tr>
      <w:tr>
        <w:tc>
          <w:tcPr>
            <w:tcW w:type="dxa" w:w="1587"/>
          </w:tcPr>
          <w:p>
            <w:pPr>
              <w:spacing w:after="40" w:before="40"/>
            </w:pPr>
            <w:r/>
            <w:r>
              <w:rPr>
                <w:rFonts w:ascii="Calibri" w:hAnsi="Calibri" w:cs="Loma"/>
                <w:b w:val="0"/>
                <w:color w:val="22303C"/>
                <w:sz w:val="17"/>
              </w:rPr>
              <w:t>09be</w:t>
            </w:r>
          </w:p>
        </w:tc>
        <w:tc>
          <w:tcPr>
            <w:tcW w:type="dxa" w:w="907"/>
          </w:tcPr>
          <w:p>
            <w:pPr>
              <w:spacing w:after="40" w:before="40"/>
              <w:jc w:val="right"/>
            </w:pPr>
            <w:r/>
            <w:r>
              <w:rPr>
                <w:rFonts w:ascii="Calibri" w:hAnsi="Calibri" w:cs="Loma"/>
                <w:b w:val="0"/>
                <w:color w:val="22303C"/>
                <w:sz w:val="17"/>
              </w:rPr>
              <w:t>63</w:t>
            </w:r>
          </w:p>
        </w:tc>
        <w:tc>
          <w:tcPr>
            <w:tcW w:type="dxa" w:w="3855"/>
          </w:tcPr>
          <w:p>
            <w:pPr>
              <w:spacing w:after="40" w:before="40"/>
            </w:pPr>
            <w:r/>
            <w:r>
              <w:rPr>
                <w:rFonts w:ascii="Calibri" w:hAnsi="Calibri" w:cs="Loma"/>
                <w:b w:val="0"/>
                <w:color w:val="22303C"/>
                <w:sz w:val="17"/>
              </w:rPr>
              <w:t>Casino (31), Slots (14), General Gambling (9), Football Betting (8)</w:t>
            </w:r>
          </w:p>
        </w:tc>
        <w:tc>
          <w:tcPr>
            <w:tcW w:type="dxa" w:w="3288"/>
          </w:tcPr>
          <w:p>
            <w:pPr>
              <w:spacing w:after="40" w:before="40"/>
            </w:pPr>
            <w:r/>
            <w:r>
              <w:rPr>
                <w:rFonts w:ascii="Calibri" w:hAnsi="Calibri" w:cs="Loma"/>
                <w:b w:val="0"/>
                <w:color w:val="22303C"/>
                <w:sz w:val="17"/>
              </w:rPr>
              <w:t>.club (8), .net (8), .bet (7), .pro (6)</w:t>
            </w:r>
          </w:p>
        </w:tc>
      </w:tr>
      <w:tr>
        <w:tc>
          <w:tcPr>
            <w:tcW w:type="dxa" w:w="1587"/>
            <w:shd w:val="clear" w:fill="F4F7FA"/>
          </w:tcPr>
          <w:p>
            <w:pPr>
              <w:spacing w:after="40" w:before="40"/>
            </w:pPr>
            <w:r/>
            <w:r>
              <w:rPr>
                <w:rFonts w:ascii="Calibri" w:hAnsi="Calibri" w:cs="Loma"/>
                <w:b w:val="0"/>
                <w:color w:val="22303C"/>
                <w:sz w:val="17"/>
              </w:rPr>
              <w:t>tkbe</w:t>
            </w:r>
          </w:p>
        </w:tc>
        <w:tc>
          <w:tcPr>
            <w:tcW w:type="dxa" w:w="907"/>
            <w:shd w:val="clear" w:fill="F4F7FA"/>
          </w:tcPr>
          <w:p>
            <w:pPr>
              <w:spacing w:after="40" w:before="40"/>
              <w:jc w:val="right"/>
            </w:pPr>
            <w:r/>
            <w:r>
              <w:rPr>
                <w:rFonts w:ascii="Calibri" w:hAnsi="Calibri" w:cs="Loma"/>
                <w:b w:val="0"/>
                <w:color w:val="22303C"/>
                <w:sz w:val="17"/>
              </w:rPr>
              <w:t>61</w:t>
            </w:r>
          </w:p>
        </w:tc>
        <w:tc>
          <w:tcPr>
            <w:tcW w:type="dxa" w:w="3855"/>
            <w:shd w:val="clear" w:fill="F4F7FA"/>
          </w:tcPr>
          <w:p>
            <w:pPr>
              <w:spacing w:after="40" w:before="40"/>
            </w:pPr>
            <w:r/>
            <w:r>
              <w:rPr>
                <w:rFonts w:ascii="Calibri" w:hAnsi="Calibri" w:cs="Loma"/>
                <w:b w:val="0"/>
                <w:color w:val="22303C"/>
                <w:sz w:val="17"/>
              </w:rPr>
              <w:t>Casino (27), General Gambling (12), Slots (12), Football Betting (7)</w:t>
            </w:r>
          </w:p>
        </w:tc>
        <w:tc>
          <w:tcPr>
            <w:tcW w:type="dxa" w:w="3288"/>
            <w:shd w:val="clear" w:fill="F4F7FA"/>
          </w:tcPr>
          <w:p>
            <w:pPr>
              <w:spacing w:after="40" w:before="40"/>
            </w:pPr>
            <w:r/>
            <w:r>
              <w:rPr>
                <w:rFonts w:ascii="Calibri" w:hAnsi="Calibri" w:cs="Loma"/>
                <w:b w:val="0"/>
                <w:color w:val="22303C"/>
                <w:sz w:val="17"/>
              </w:rPr>
              <w:t>.bet (14), .casino (11), .pro (9), .live (6)</w:t>
            </w:r>
          </w:p>
        </w:tc>
      </w:tr>
      <w:tr>
        <w:tc>
          <w:tcPr>
            <w:tcW w:type="dxa" w:w="1587"/>
          </w:tcPr>
          <w:p>
            <w:pPr>
              <w:spacing w:after="40" w:before="40"/>
            </w:pPr>
            <w:r/>
            <w:r>
              <w:rPr>
                <w:rFonts w:ascii="Calibri" w:hAnsi="Calibri" w:cs="Loma"/>
                <w:b w:val="0"/>
                <w:color w:val="22303C"/>
                <w:sz w:val="17"/>
              </w:rPr>
              <w:t>gg8849</w:t>
            </w:r>
          </w:p>
        </w:tc>
        <w:tc>
          <w:tcPr>
            <w:tcW w:type="dxa" w:w="907"/>
          </w:tcPr>
          <w:p>
            <w:pPr>
              <w:spacing w:after="40" w:before="40"/>
              <w:jc w:val="right"/>
            </w:pPr>
            <w:r/>
            <w:r>
              <w:rPr>
                <w:rFonts w:ascii="Calibri" w:hAnsi="Calibri" w:cs="Loma"/>
                <w:b w:val="0"/>
                <w:color w:val="22303C"/>
                <w:sz w:val="17"/>
              </w:rPr>
              <w:t>60</w:t>
            </w:r>
          </w:p>
        </w:tc>
        <w:tc>
          <w:tcPr>
            <w:tcW w:type="dxa" w:w="3855"/>
          </w:tcPr>
          <w:p>
            <w:pPr>
              <w:spacing w:after="40" w:before="40"/>
            </w:pPr>
            <w:r/>
            <w:r>
              <w:rPr>
                <w:rFonts w:ascii="Calibri" w:hAnsi="Calibri" w:cs="Loma"/>
                <w:b w:val="0"/>
                <w:color w:val="22303C"/>
                <w:sz w:val="17"/>
              </w:rPr>
              <w:t>Casino (24), Slots (15), General Gambling (14), Football Betting (4)</w:t>
            </w:r>
          </w:p>
        </w:tc>
        <w:tc>
          <w:tcPr>
            <w:tcW w:type="dxa" w:w="3288"/>
          </w:tcPr>
          <w:p>
            <w:pPr>
              <w:spacing w:after="40" w:before="40"/>
            </w:pPr>
            <w:r/>
            <w:r>
              <w:rPr>
                <w:rFonts w:ascii="Calibri" w:hAnsi="Calibri" w:cs="Loma"/>
                <w:b w:val="0"/>
                <w:color w:val="22303C"/>
                <w:sz w:val="17"/>
              </w:rPr>
              <w:t>.com (13), .pro (10), .bet (9), .net (9)</w:t>
            </w:r>
          </w:p>
        </w:tc>
      </w:tr>
    </w:tbl>
    <w:p>
      <w:pPr>
        <w:spacing w:after="0"/>
      </w:pPr>
    </w:p>
    <w:p>
      <w:pPr>
        <w:spacing w:before="60" w:after="220"/>
      </w:pPr>
      <w:r>
        <w:rPr>
          <w:b/>
          <w:color w:val="1F3F63"/>
          <w:sz w:val="17"/>
        </w:rPr>
        <w:t xml:space="preserve">Table 8. </w:t>
      </w:r>
      <w:r>
        <w:rPr>
          <w:rFonts w:cs="Loma"/>
          <w:color w:val="4A5B6B"/>
          <w:sz w:val="17"/>
        </w:rPr>
        <w:t>Multi-product clusters, the 15 largest of 513.</w:t>
      </w:r>
    </w:p>
    <w:p>
      <w:pPr>
        <w:pStyle w:val="Heading2"/>
      </w:pPr>
      <w:r>
        <w:t>4.7  Clusters rotating top-level domains</w:t>
      </w:r>
    </w:p>
    <w:p>
      <w:pPr>
        <w:spacing w:after="120"/>
      </w:pPr>
      <w:r>
        <w:rPr>
          <w:rFonts w:cs="Loma"/>
          <w:i w:val="0"/>
          <w:color w:val="22303C"/>
          <w:sz w:val="21"/>
        </w:rPr>
        <w:t>559 clusters place their domains across more than one top-level domain. The largest are listed below.</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4819"/>
        <w:gridCol w:w="4819"/>
      </w:tblGrid>
      <w:tr>
        <w:tc>
          <w:tcPr>
            <w:tcW w:type="dxa" w:w="2154"/>
            <w:shd w:val="clear" w:fill="1F3F63"/>
          </w:tcPr>
          <w:p>
            <w:pPr>
              <w:spacing w:after="40" w:before="40"/>
            </w:pPr>
            <w:r/>
            <w:r>
              <w:rPr>
                <w:rFonts w:ascii="Calibri" w:hAnsi="Calibri" w:cs="Loma"/>
                <w:b/>
                <w:color w:val="FFFFFF"/>
                <w:sz w:val="17"/>
              </w:rPr>
              <w:t>Cluster</w:t>
            </w:r>
          </w:p>
        </w:tc>
        <w:tc>
          <w:tcPr>
            <w:tcW w:type="dxa" w:w="7483"/>
            <w:shd w:val="clear" w:fill="1F3F63"/>
          </w:tcPr>
          <w:p>
            <w:pPr>
              <w:spacing w:after="40" w:before="40"/>
            </w:pPr>
            <w:r/>
            <w:r>
              <w:rPr>
                <w:rFonts w:ascii="Calibri" w:hAnsi="Calibri" w:cs="Loma"/>
                <w:b/>
                <w:color w:val="FFFFFF"/>
                <w:sz w:val="17"/>
              </w:rPr>
              <w:t>Suffixes and counts</w:t>
            </w:r>
          </w:p>
        </w:tc>
      </w:tr>
      <w:tr>
        <w:tc>
          <w:tcPr>
            <w:tcW w:type="dxa" w:w="2154"/>
          </w:tcPr>
          <w:p>
            <w:pPr>
              <w:spacing w:after="40" w:before="40"/>
            </w:pPr>
            <w:r/>
            <w:r>
              <w:rPr>
                <w:rFonts w:ascii="Calibri" w:hAnsi="Calibri" w:cs="Loma"/>
                <w:b w:val="0"/>
                <w:color w:val="22303C"/>
                <w:sz w:val="17"/>
              </w:rPr>
              <w:t>bet</w:t>
            </w:r>
          </w:p>
        </w:tc>
        <w:tc>
          <w:tcPr>
            <w:tcW w:type="dxa" w:w="7483"/>
          </w:tcPr>
          <w:p>
            <w:pPr>
              <w:spacing w:after="40" w:before="40"/>
            </w:pPr>
            <w:r/>
            <w:r>
              <w:rPr>
                <w:rFonts w:ascii="Calibri" w:hAnsi="Calibri" w:cs="Loma"/>
                <w:b w:val="0"/>
                <w:color w:val="22303C"/>
                <w:sz w:val="17"/>
              </w:rPr>
              <w:t>.com (30), .club (22), .app (15), .net (14), .cc (13), .pro (11), .bet (11), .fun (9)</w:t>
            </w:r>
          </w:p>
        </w:tc>
      </w:tr>
      <w:tr>
        <w:tc>
          <w:tcPr>
            <w:tcW w:type="dxa" w:w="2154"/>
            <w:shd w:val="clear" w:fill="F4F7FA"/>
          </w:tcPr>
          <w:p>
            <w:pPr>
              <w:spacing w:after="40" w:before="40"/>
            </w:pPr>
            <w:r/>
            <w:r>
              <w:rPr>
                <w:rFonts w:ascii="Calibri" w:hAnsi="Calibri" w:cs="Loma"/>
                <w:b w:val="0"/>
                <w:color w:val="22303C"/>
                <w:sz w:val="17"/>
              </w:rPr>
              <w:t>tk8</w:t>
            </w:r>
          </w:p>
        </w:tc>
        <w:tc>
          <w:tcPr>
            <w:tcW w:type="dxa" w:w="7483"/>
            <w:shd w:val="clear" w:fill="F4F7FA"/>
          </w:tcPr>
          <w:p>
            <w:pPr>
              <w:spacing w:after="40" w:before="40"/>
            </w:pPr>
            <w:r/>
            <w:r>
              <w:rPr>
                <w:rFonts w:ascii="Calibri" w:hAnsi="Calibri" w:cs="Loma"/>
                <w:b w:val="0"/>
                <w:color w:val="22303C"/>
                <w:sz w:val="17"/>
              </w:rPr>
              <w:t>.pro (27), .net (18), .club (16), .co (12), .app (10), .bet (9), .buzz (6), .fun (6)</w:t>
            </w:r>
          </w:p>
        </w:tc>
      </w:tr>
      <w:tr>
        <w:tc>
          <w:tcPr>
            <w:tcW w:type="dxa" w:w="2154"/>
          </w:tcPr>
          <w:p>
            <w:pPr>
              <w:spacing w:after="40" w:before="40"/>
            </w:pPr>
            <w:r/>
            <w:r>
              <w:rPr>
                <w:rFonts w:ascii="Calibri" w:hAnsi="Calibri" w:cs="Loma"/>
                <w:b w:val="0"/>
                <w:color w:val="22303C"/>
                <w:sz w:val="17"/>
              </w:rPr>
              <w:t>11be</w:t>
            </w:r>
          </w:p>
        </w:tc>
        <w:tc>
          <w:tcPr>
            <w:tcW w:type="dxa" w:w="7483"/>
          </w:tcPr>
          <w:p>
            <w:pPr>
              <w:spacing w:after="40" w:before="40"/>
            </w:pPr>
            <w:r/>
            <w:r>
              <w:rPr>
                <w:rFonts w:ascii="Calibri" w:hAnsi="Calibri" w:cs="Loma"/>
                <w:b w:val="0"/>
                <w:color w:val="22303C"/>
                <w:sz w:val="17"/>
              </w:rPr>
              <w:t>.com (31), .club (10), .online (9), .app (8), .net (8), .pro (8), .bet (6), .click (6)</w:t>
            </w:r>
          </w:p>
        </w:tc>
      </w:tr>
      <w:tr>
        <w:tc>
          <w:tcPr>
            <w:tcW w:type="dxa" w:w="2154"/>
            <w:shd w:val="clear" w:fill="F4F7FA"/>
          </w:tcPr>
          <w:p>
            <w:pPr>
              <w:spacing w:after="40" w:before="40"/>
            </w:pPr>
            <w:r/>
            <w:r>
              <w:rPr>
                <w:rFonts w:ascii="Calibri" w:hAnsi="Calibri" w:cs="Loma"/>
                <w:b w:val="0"/>
                <w:color w:val="22303C"/>
                <w:sz w:val="17"/>
              </w:rPr>
              <w:t>gk88</w:t>
            </w:r>
          </w:p>
        </w:tc>
        <w:tc>
          <w:tcPr>
            <w:tcW w:type="dxa" w:w="7483"/>
            <w:shd w:val="clear" w:fill="F4F7FA"/>
          </w:tcPr>
          <w:p>
            <w:pPr>
              <w:spacing w:after="40" w:before="40"/>
            </w:pPr>
            <w:r/>
            <w:r>
              <w:rPr>
                <w:rFonts w:ascii="Calibri" w:hAnsi="Calibri" w:cs="Loma"/>
                <w:b w:val="0"/>
                <w:color w:val="22303C"/>
                <w:sz w:val="17"/>
              </w:rPr>
              <w:t>.com (22), .club (12), .click (11), .vip (9), .co (6), .net (6), .us (5), .site (4)</w:t>
            </w:r>
          </w:p>
        </w:tc>
      </w:tr>
      <w:tr>
        <w:tc>
          <w:tcPr>
            <w:tcW w:type="dxa" w:w="2154"/>
          </w:tcPr>
          <w:p>
            <w:pPr>
              <w:spacing w:after="40" w:before="40"/>
            </w:pPr>
            <w:r/>
            <w:r>
              <w:rPr>
                <w:rFonts w:ascii="Calibri" w:hAnsi="Calibri" w:cs="Loma"/>
                <w:b w:val="0"/>
                <w:color w:val="22303C"/>
                <w:sz w:val="17"/>
              </w:rPr>
              <w:t>betwin</w:t>
            </w:r>
          </w:p>
        </w:tc>
        <w:tc>
          <w:tcPr>
            <w:tcW w:type="dxa" w:w="7483"/>
          </w:tcPr>
          <w:p>
            <w:pPr>
              <w:spacing w:after="40" w:before="40"/>
            </w:pPr>
            <w:r/>
            <w:r>
              <w:rPr>
                <w:rFonts w:ascii="Calibri" w:hAnsi="Calibri" w:cs="Loma"/>
                <w:b w:val="0"/>
                <w:color w:val="22303C"/>
                <w:sz w:val="17"/>
              </w:rPr>
              <w:t>.com (17), .app (13), .pro (8), .online (6), .net (6), .club (6), .bet (5), .click (5)</w:t>
            </w:r>
          </w:p>
        </w:tc>
      </w:tr>
      <w:tr>
        <w:tc>
          <w:tcPr>
            <w:tcW w:type="dxa" w:w="2154"/>
            <w:shd w:val="clear" w:fill="F4F7FA"/>
          </w:tcPr>
          <w:p>
            <w:pPr>
              <w:spacing w:after="40" w:before="40"/>
            </w:pPr>
            <w:r/>
            <w:r>
              <w:rPr>
                <w:rFonts w:ascii="Calibri" w:hAnsi="Calibri" w:cs="Loma"/>
                <w:b w:val="0"/>
                <w:color w:val="22303C"/>
                <w:sz w:val="17"/>
              </w:rPr>
              <w:t>lott</w:t>
            </w:r>
          </w:p>
        </w:tc>
        <w:tc>
          <w:tcPr>
            <w:tcW w:type="dxa" w:w="7483"/>
            <w:shd w:val="clear" w:fill="F4F7FA"/>
          </w:tcPr>
          <w:p>
            <w:pPr>
              <w:spacing w:after="40" w:before="40"/>
            </w:pPr>
            <w:r/>
            <w:r>
              <w:rPr>
                <w:rFonts w:ascii="Calibri" w:hAnsi="Calibri" w:cs="Loma"/>
                <w:b w:val="0"/>
                <w:color w:val="22303C"/>
                <w:sz w:val="17"/>
              </w:rPr>
              <w:t>.com (25), .net (8), .cc (6), .bet (5), .live (5), .online (4), .pro (4), .co (3)</w:t>
            </w:r>
          </w:p>
        </w:tc>
      </w:tr>
      <w:tr>
        <w:tc>
          <w:tcPr>
            <w:tcW w:type="dxa" w:w="2154"/>
          </w:tcPr>
          <w:p>
            <w:pPr>
              <w:spacing w:after="40" w:before="40"/>
            </w:pPr>
            <w:r/>
            <w:r>
              <w:rPr>
                <w:rFonts w:ascii="Calibri" w:hAnsi="Calibri" w:cs="Loma"/>
                <w:b w:val="0"/>
                <w:color w:val="22303C"/>
                <w:sz w:val="17"/>
              </w:rPr>
              <w:t>k03</w:t>
            </w:r>
          </w:p>
        </w:tc>
        <w:tc>
          <w:tcPr>
            <w:tcW w:type="dxa" w:w="7483"/>
          </w:tcPr>
          <w:p>
            <w:pPr>
              <w:spacing w:after="40" w:before="40"/>
            </w:pPr>
            <w:r/>
            <w:r>
              <w:rPr>
                <w:rFonts w:ascii="Calibri" w:hAnsi="Calibri" w:cs="Loma"/>
                <w:b w:val="0"/>
                <w:color w:val="22303C"/>
                <w:sz w:val="17"/>
              </w:rPr>
              <w:t>.cc (70), .pro (1), .net (1)</w:t>
            </w:r>
          </w:p>
        </w:tc>
      </w:tr>
      <w:tr>
        <w:tc>
          <w:tcPr>
            <w:tcW w:type="dxa" w:w="2154"/>
            <w:shd w:val="clear" w:fill="F4F7FA"/>
          </w:tcPr>
          <w:p>
            <w:pPr>
              <w:spacing w:after="40" w:before="40"/>
            </w:pPr>
            <w:r/>
            <w:r>
              <w:rPr>
                <w:rFonts w:ascii="Calibri" w:hAnsi="Calibri" w:cs="Loma"/>
                <w:b w:val="0"/>
                <w:color w:val="22303C"/>
                <w:sz w:val="17"/>
              </w:rPr>
              <w:t>88bet</w:t>
            </w:r>
          </w:p>
        </w:tc>
        <w:tc>
          <w:tcPr>
            <w:tcW w:type="dxa" w:w="7483"/>
            <w:shd w:val="clear" w:fill="F4F7FA"/>
          </w:tcPr>
          <w:p>
            <w:pPr>
              <w:spacing w:after="40" w:before="40"/>
            </w:pPr>
            <w:r/>
            <w:r>
              <w:rPr>
                <w:rFonts w:ascii="Calibri" w:hAnsi="Calibri" w:cs="Loma"/>
                <w:b w:val="0"/>
                <w:color w:val="22303C"/>
                <w:sz w:val="17"/>
              </w:rPr>
              <w:t>.casino (13), .pro (5), .club (5), .shop (4), .click (4), .site (4), .online (4), .vip (3)</w:t>
            </w:r>
          </w:p>
        </w:tc>
      </w:tr>
      <w:tr>
        <w:tc>
          <w:tcPr>
            <w:tcW w:type="dxa" w:w="2154"/>
          </w:tcPr>
          <w:p>
            <w:pPr>
              <w:spacing w:after="40" w:before="40"/>
            </w:pPr>
            <w:r/>
            <w:r>
              <w:rPr>
                <w:rFonts w:ascii="Calibri" w:hAnsi="Calibri" w:cs="Loma"/>
                <w:b w:val="0"/>
                <w:color w:val="22303C"/>
                <w:sz w:val="17"/>
              </w:rPr>
              <w:t>mgbet</w:t>
            </w:r>
          </w:p>
        </w:tc>
        <w:tc>
          <w:tcPr>
            <w:tcW w:type="dxa" w:w="7483"/>
          </w:tcPr>
          <w:p>
            <w:pPr>
              <w:spacing w:after="40" w:before="40"/>
            </w:pPr>
            <w:r/>
            <w:r>
              <w:rPr>
                <w:rFonts w:ascii="Calibri" w:hAnsi="Calibri" w:cs="Loma"/>
                <w:b w:val="0"/>
                <w:color w:val="22303C"/>
                <w:sz w:val="17"/>
              </w:rPr>
              <w:t>.com (44), .cc (5), .ws (4), .club (3), .app (3), .ru (2), .bet (2), .tv (2)</w:t>
            </w:r>
          </w:p>
        </w:tc>
      </w:tr>
      <w:tr>
        <w:tc>
          <w:tcPr>
            <w:tcW w:type="dxa" w:w="2154"/>
            <w:shd w:val="clear" w:fill="F4F7FA"/>
          </w:tcPr>
          <w:p>
            <w:pPr>
              <w:spacing w:after="40" w:before="40"/>
            </w:pPr>
            <w:r/>
            <w:r>
              <w:rPr>
                <w:rFonts w:ascii="Calibri" w:hAnsi="Calibri" w:cs="Loma"/>
                <w:b w:val="0"/>
                <w:color w:val="22303C"/>
                <w:sz w:val="17"/>
              </w:rPr>
              <w:t>loginwww</w:t>
            </w:r>
          </w:p>
        </w:tc>
        <w:tc>
          <w:tcPr>
            <w:tcW w:type="dxa" w:w="7483"/>
            <w:shd w:val="clear" w:fill="F4F7FA"/>
          </w:tcPr>
          <w:p>
            <w:pPr>
              <w:spacing w:after="40" w:before="40"/>
            </w:pPr>
            <w:r/>
            <w:r>
              <w:rPr>
                <w:rFonts w:ascii="Calibri" w:hAnsi="Calibri" w:cs="Loma"/>
                <w:b w:val="0"/>
                <w:color w:val="22303C"/>
                <w:sz w:val="17"/>
              </w:rPr>
              <w:t>.fun (54), .bet (11), .site (1)</w:t>
            </w:r>
          </w:p>
        </w:tc>
      </w:tr>
      <w:tr>
        <w:tc>
          <w:tcPr>
            <w:tcW w:type="dxa" w:w="2154"/>
          </w:tcPr>
          <w:p>
            <w:pPr>
              <w:spacing w:after="40" w:before="40"/>
            </w:pPr>
            <w:r/>
            <w:r>
              <w:rPr>
                <w:rFonts w:ascii="Calibri" w:hAnsi="Calibri" w:cs="Loma"/>
                <w:b w:val="0"/>
                <w:color w:val="22303C"/>
                <w:sz w:val="17"/>
              </w:rPr>
              <w:t>8kbet</w:t>
            </w:r>
          </w:p>
        </w:tc>
        <w:tc>
          <w:tcPr>
            <w:tcW w:type="dxa" w:w="7483"/>
          </w:tcPr>
          <w:p>
            <w:pPr>
              <w:spacing w:after="40" w:before="40"/>
            </w:pPr>
            <w:r/>
            <w:r>
              <w:rPr>
                <w:rFonts w:ascii="Calibri" w:hAnsi="Calibri" w:cs="Loma"/>
                <w:b w:val="0"/>
                <w:color w:val="22303C"/>
                <w:sz w:val="17"/>
              </w:rPr>
              <w:t>.bet (19), .com (16), .fun (9), .top (7), .cc (3), .in (2), .site (2), .info (1)</w:t>
            </w:r>
          </w:p>
        </w:tc>
      </w:tr>
      <w:tr>
        <w:tc>
          <w:tcPr>
            <w:tcW w:type="dxa" w:w="2154"/>
            <w:shd w:val="clear" w:fill="F4F7FA"/>
          </w:tcPr>
          <w:p>
            <w:pPr>
              <w:spacing w:after="40" w:before="40"/>
            </w:pPr>
            <w:r/>
            <w:r>
              <w:rPr>
                <w:rFonts w:ascii="Calibri" w:hAnsi="Calibri" w:cs="Loma"/>
                <w:b w:val="0"/>
                <w:color w:val="22303C"/>
                <w:sz w:val="17"/>
              </w:rPr>
              <w:t>hayy</w:t>
            </w:r>
          </w:p>
        </w:tc>
        <w:tc>
          <w:tcPr>
            <w:tcW w:type="dxa" w:w="7483"/>
            <w:shd w:val="clear" w:fill="F4F7FA"/>
          </w:tcPr>
          <w:p>
            <w:pPr>
              <w:spacing w:after="40" w:before="40"/>
            </w:pPr>
            <w:r/>
            <w:r>
              <w:rPr>
                <w:rFonts w:ascii="Calibri" w:hAnsi="Calibri" w:cs="Loma"/>
                <w:b w:val="0"/>
                <w:color w:val="22303C"/>
                <w:sz w:val="17"/>
              </w:rPr>
              <w:t>.net (52), .bet (4), .click (2), .cc (1), .pro (1), .club (1), .app (1), .fun (1)</w:t>
            </w:r>
          </w:p>
        </w:tc>
      </w:tr>
      <w:tr>
        <w:tc>
          <w:tcPr>
            <w:tcW w:type="dxa" w:w="2154"/>
          </w:tcPr>
          <w:p>
            <w:pPr>
              <w:spacing w:after="40" w:before="40"/>
            </w:pPr>
            <w:r/>
            <w:r>
              <w:rPr>
                <w:rFonts w:ascii="Calibri" w:hAnsi="Calibri" w:cs="Loma"/>
                <w:b w:val="0"/>
                <w:color w:val="22303C"/>
                <w:sz w:val="17"/>
              </w:rPr>
              <w:t>09be</w:t>
            </w:r>
          </w:p>
        </w:tc>
        <w:tc>
          <w:tcPr>
            <w:tcW w:type="dxa" w:w="7483"/>
          </w:tcPr>
          <w:p>
            <w:pPr>
              <w:spacing w:after="40" w:before="40"/>
            </w:pPr>
            <w:r/>
            <w:r>
              <w:rPr>
                <w:rFonts w:ascii="Calibri" w:hAnsi="Calibri" w:cs="Loma"/>
                <w:b w:val="0"/>
                <w:color w:val="22303C"/>
                <w:sz w:val="17"/>
              </w:rPr>
              <w:t>.club (8), .net (8), .bet (7), .pro (6), .app (5), .vip (5), .co (4), .fun (4)</w:t>
            </w:r>
          </w:p>
        </w:tc>
      </w:tr>
      <w:tr>
        <w:tc>
          <w:tcPr>
            <w:tcW w:type="dxa" w:w="2154"/>
            <w:shd w:val="clear" w:fill="F4F7FA"/>
          </w:tcPr>
          <w:p>
            <w:pPr>
              <w:spacing w:after="40" w:before="40"/>
            </w:pPr>
            <w:r/>
            <w:r>
              <w:rPr>
                <w:rFonts w:ascii="Calibri" w:hAnsi="Calibri" w:cs="Loma"/>
                <w:b w:val="0"/>
                <w:color w:val="22303C"/>
                <w:sz w:val="17"/>
              </w:rPr>
              <w:t>tkbe</w:t>
            </w:r>
          </w:p>
        </w:tc>
        <w:tc>
          <w:tcPr>
            <w:tcW w:type="dxa" w:w="7483"/>
            <w:shd w:val="clear" w:fill="F4F7FA"/>
          </w:tcPr>
          <w:p>
            <w:pPr>
              <w:spacing w:after="40" w:before="40"/>
            </w:pPr>
            <w:r/>
            <w:r>
              <w:rPr>
                <w:rFonts w:ascii="Calibri" w:hAnsi="Calibri" w:cs="Loma"/>
                <w:b w:val="0"/>
                <w:color w:val="22303C"/>
                <w:sz w:val="17"/>
              </w:rPr>
              <w:t>.bet (14), .casino (11), .pro (9), .live (6), .app (4), .click (4), .site (3), .club (2)</w:t>
            </w:r>
          </w:p>
        </w:tc>
      </w:tr>
      <w:tr>
        <w:tc>
          <w:tcPr>
            <w:tcW w:type="dxa" w:w="2154"/>
          </w:tcPr>
          <w:p>
            <w:pPr>
              <w:spacing w:after="40" w:before="40"/>
            </w:pPr>
            <w:r/>
            <w:r>
              <w:rPr>
                <w:rFonts w:ascii="Calibri" w:hAnsi="Calibri" w:cs="Loma"/>
                <w:b w:val="0"/>
                <w:color w:val="22303C"/>
                <w:sz w:val="17"/>
              </w:rPr>
              <w:t>gg8849</w:t>
            </w:r>
          </w:p>
        </w:tc>
        <w:tc>
          <w:tcPr>
            <w:tcW w:type="dxa" w:w="7483"/>
          </w:tcPr>
          <w:p>
            <w:pPr>
              <w:spacing w:after="40" w:before="40"/>
            </w:pPr>
            <w:r/>
            <w:r>
              <w:rPr>
                <w:rFonts w:ascii="Calibri" w:hAnsi="Calibri" w:cs="Loma"/>
                <w:b w:val="0"/>
                <w:color w:val="22303C"/>
                <w:sz w:val="17"/>
              </w:rPr>
              <w:t>.com (13), .pro (10), .bet (9), .net (9), .app (7), .vip (5), .fun (4), .io (1)</w:t>
            </w:r>
          </w:p>
        </w:tc>
      </w:tr>
    </w:tbl>
    <w:p>
      <w:pPr>
        <w:spacing w:after="0"/>
      </w:pPr>
    </w:p>
    <w:p>
      <w:pPr>
        <w:spacing w:before="60" w:after="220"/>
      </w:pPr>
      <w:r>
        <w:rPr>
          <w:b/>
          <w:color w:val="1F3F63"/>
          <w:sz w:val="17"/>
        </w:rPr>
        <w:t xml:space="preserve">Table 9. </w:t>
      </w:r>
      <w:r>
        <w:rPr>
          <w:rFonts w:cs="Loma"/>
          <w:color w:val="4A5B6B"/>
          <w:sz w:val="17"/>
        </w:rPr>
        <w:t>TLD rotation, the 15 largest of 559 rotating clusters.</w:t>
      </w:r>
    </w:p>
    <w:p>
      <w:pPr>
        <w:pStyle w:val="Heading2"/>
      </w:pPr>
      <w:r>
        <w:t>4.8  Possible operator linkage</w:t>
      </w:r>
    </w:p>
    <w:p>
      <w:pPr>
        <w:spacing w:after="80"/>
      </w:pPr>
      <w:r>
        <w:rPr>
          <w:rFonts w:cs="Loma"/>
          <w:i/>
          <w:color w:val="22303C"/>
          <w:sz w:val="21"/>
        </w:rPr>
        <w:t>Indicative — not a clustering decision.</w:t>
      </w:r>
    </w:p>
    <w:p>
      <w:pPr>
        <w:spacing w:after="120"/>
      </w:pPr>
      <w:r>
        <w:rPr>
          <w:rFonts w:cs="Loma"/>
          <w:i w:val="0"/>
          <w:color w:val="22303C"/>
          <w:sz w:val="21"/>
        </w:rPr>
        <w:t>14,082 pairs of multi-URL clusters share at least 60% of their signal-keyword fingerprint. Shared promotional vocabulary is common across unrelated operators using the same affiliate templates, so these are leads for an analyst rather than evidence of a single operator. The strongest pairs are listed below.</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2409"/>
        <w:gridCol w:w="2409"/>
        <w:gridCol w:w="2409"/>
        <w:gridCol w:w="2409"/>
      </w:tblGrid>
      <w:tr>
        <w:tc>
          <w:tcPr>
            <w:tcW w:type="dxa" w:w="1814"/>
            <w:shd w:val="clear" w:fill="1F3F63"/>
          </w:tcPr>
          <w:p>
            <w:pPr>
              <w:spacing w:after="40" w:before="40"/>
            </w:pPr>
            <w:r/>
            <w:r>
              <w:rPr>
                <w:rFonts w:ascii="Calibri" w:hAnsi="Calibri" w:cs="Loma"/>
                <w:b/>
                <w:color w:val="FFFFFF"/>
                <w:sz w:val="17"/>
              </w:rPr>
              <w:t>Cluster A</w:t>
            </w:r>
          </w:p>
        </w:tc>
        <w:tc>
          <w:tcPr>
            <w:tcW w:type="dxa" w:w="1814"/>
            <w:shd w:val="clear" w:fill="1F3F63"/>
          </w:tcPr>
          <w:p>
            <w:pPr>
              <w:spacing w:after="40" w:before="40"/>
            </w:pPr>
            <w:r/>
            <w:r>
              <w:rPr>
                <w:rFonts w:ascii="Calibri" w:hAnsi="Calibri" w:cs="Loma"/>
                <w:b/>
                <w:color w:val="FFFFFF"/>
                <w:sz w:val="17"/>
              </w:rPr>
              <w:t>Cluster B</w:t>
            </w:r>
          </w:p>
        </w:tc>
        <w:tc>
          <w:tcPr>
            <w:tcW w:type="dxa" w:w="4535"/>
            <w:shd w:val="clear" w:fill="1F3F63"/>
          </w:tcPr>
          <w:p>
            <w:pPr>
              <w:spacing w:after="40" w:before="40"/>
            </w:pPr>
            <w:r/>
            <w:r>
              <w:rPr>
                <w:rFonts w:ascii="Calibri" w:hAnsi="Calibri" w:cs="Loma"/>
                <w:b/>
                <w:color w:val="FFFFFF"/>
                <w:sz w:val="17"/>
              </w:rPr>
              <w:t>Shared keywords</w:t>
            </w:r>
          </w:p>
        </w:tc>
        <w:tc>
          <w:tcPr>
            <w:tcW w:type="dxa" w:w="1474"/>
            <w:shd w:val="clear" w:fill="1F3F63"/>
          </w:tcPr>
          <w:p>
            <w:pPr>
              <w:spacing w:after="40" w:before="40"/>
              <w:jc w:val="right"/>
            </w:pPr>
            <w:r/>
            <w:r>
              <w:rPr>
                <w:rFonts w:ascii="Calibri" w:hAnsi="Calibri" w:cs="Loma"/>
                <w:b/>
                <w:color w:val="FFFFFF"/>
                <w:sz w:val="17"/>
              </w:rPr>
              <w:t>Jaccard</w:t>
            </w:r>
          </w:p>
        </w:tc>
      </w:tr>
      <w:tr>
        <w:tc>
          <w:tcPr>
            <w:tcW w:type="dxa" w:w="1814"/>
          </w:tcPr>
          <w:p>
            <w:pPr>
              <w:spacing w:after="40" w:before="40"/>
            </w:pPr>
            <w:r/>
            <w:r>
              <w:rPr>
                <w:rFonts w:ascii="Calibri" w:hAnsi="Calibri" w:cs="Loma"/>
                <w:b w:val="0"/>
                <w:color w:val="22303C"/>
                <w:sz w:val="17"/>
              </w:rPr>
              <w:t>11be</w:t>
            </w:r>
          </w:p>
        </w:tc>
        <w:tc>
          <w:tcPr>
            <w:tcW w:type="dxa" w:w="1814"/>
          </w:tcPr>
          <w:p>
            <w:pPr>
              <w:spacing w:after="40" w:before="40"/>
            </w:pPr>
            <w:r/>
            <w:r>
              <w:rPr>
                <w:rFonts w:ascii="Calibri" w:hAnsi="Calibri" w:cs="Loma"/>
                <w:b w:val="0"/>
                <w:color w:val="22303C"/>
                <w:sz w:val="17"/>
              </w:rPr>
              <w:t>k11</w:t>
            </w:r>
          </w:p>
        </w:tc>
        <w:tc>
          <w:tcPr>
            <w:tcW w:type="dxa" w:w="4535"/>
          </w:tcPr>
          <w:p>
            <w:pPr>
              <w:spacing w:after="40" w:before="40"/>
            </w:pPr>
            <w:r/>
            <w:r>
              <w:rPr>
                <w:rFonts w:ascii="Calibri" w:hAnsi="Calibri" w:cs="Loma"/>
                <w:b w:val="0"/>
                <w:color w:val="22303C"/>
                <w:sz w:val="17"/>
              </w:rPr>
              <w:t>BET, PG, PP, PRAGMATIC,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11be</w:t>
            </w:r>
          </w:p>
        </w:tc>
        <w:tc>
          <w:tcPr>
            <w:tcW w:type="dxa" w:w="1814"/>
            <w:shd w:val="clear" w:fill="F4F7FA"/>
          </w:tcPr>
          <w:p>
            <w:pPr>
              <w:spacing w:after="40" w:before="40"/>
            </w:pPr>
            <w:r/>
            <w:r>
              <w:rPr>
                <w:rFonts w:ascii="Calibri" w:hAnsi="Calibri" w:cs="Loma"/>
                <w:b w:val="0"/>
                <w:color w:val="22303C"/>
                <w:sz w:val="17"/>
              </w:rPr>
              <w:t>kkb</w:t>
            </w:r>
          </w:p>
        </w:tc>
        <w:tc>
          <w:tcPr>
            <w:tcW w:type="dxa" w:w="4535"/>
            <w:shd w:val="clear" w:fill="F4F7FA"/>
          </w:tcPr>
          <w:p>
            <w:pPr>
              <w:spacing w:after="40" w:before="40"/>
            </w:pPr>
            <w:r/>
            <w:r>
              <w:rPr>
                <w:rFonts w:ascii="Calibri" w:hAnsi="Calibri" w:cs="Loma"/>
                <w:b w:val="0"/>
                <w:color w:val="22303C"/>
                <w:sz w:val="17"/>
              </w:rPr>
              <w:t>BET, PG, PP, PRAGMATIC,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11be</w:t>
            </w:r>
          </w:p>
        </w:tc>
        <w:tc>
          <w:tcPr>
            <w:tcW w:type="dxa" w:w="1814"/>
          </w:tcPr>
          <w:p>
            <w:pPr>
              <w:spacing w:after="40" w:before="40"/>
            </w:pPr>
            <w:r/>
            <w:r>
              <w:rPr>
                <w:rFonts w:ascii="Calibri" w:hAnsi="Calibri" w:cs="Loma"/>
                <w:b w:val="0"/>
                <w:color w:val="22303C"/>
                <w:sz w:val="17"/>
              </w:rPr>
              <w:t>8ok</w:t>
            </w:r>
          </w:p>
        </w:tc>
        <w:tc>
          <w:tcPr>
            <w:tcW w:type="dxa" w:w="4535"/>
          </w:tcPr>
          <w:p>
            <w:pPr>
              <w:spacing w:after="40" w:before="40"/>
            </w:pPr>
            <w:r/>
            <w:r>
              <w:rPr>
                <w:rFonts w:ascii="Calibri" w:hAnsi="Calibri" w:cs="Loma"/>
                <w:b w:val="0"/>
                <w:color w:val="22303C"/>
                <w:sz w:val="17"/>
              </w:rPr>
              <w:t>BET, PG, PP, PRAGMATIC,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11be</w:t>
            </w:r>
          </w:p>
        </w:tc>
        <w:tc>
          <w:tcPr>
            <w:tcW w:type="dxa" w:w="1814"/>
            <w:shd w:val="clear" w:fill="F4F7FA"/>
          </w:tcPr>
          <w:p>
            <w:pPr>
              <w:spacing w:after="40" w:before="40"/>
            </w:pPr>
            <w:r/>
            <w:r>
              <w:rPr>
                <w:rFonts w:ascii="Calibri" w:hAnsi="Calibri" w:cs="Loma"/>
                <w:b w:val="0"/>
                <w:color w:val="22303C"/>
                <w:sz w:val="17"/>
              </w:rPr>
              <w:t>btw</w:t>
            </w:r>
          </w:p>
        </w:tc>
        <w:tc>
          <w:tcPr>
            <w:tcW w:type="dxa" w:w="4535"/>
            <w:shd w:val="clear" w:fill="F4F7FA"/>
          </w:tcPr>
          <w:p>
            <w:pPr>
              <w:spacing w:after="40" w:before="40"/>
            </w:pPr>
            <w:r/>
            <w:r>
              <w:rPr>
                <w:rFonts w:ascii="Calibri" w:hAnsi="Calibri" w:cs="Loma"/>
                <w:b w:val="0"/>
                <w:color w:val="22303C"/>
                <w:sz w:val="17"/>
              </w:rPr>
              <w:t>BET, PG, PP, PRAGMATIC,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11be</w:t>
            </w:r>
          </w:p>
        </w:tc>
        <w:tc>
          <w:tcPr>
            <w:tcW w:type="dxa" w:w="1814"/>
          </w:tcPr>
          <w:p>
            <w:pPr>
              <w:spacing w:after="40" w:before="40"/>
            </w:pPr>
            <w:r/>
            <w:r>
              <w:rPr>
                <w:rFonts w:ascii="Calibri" w:hAnsi="Calibri" w:cs="Loma"/>
                <w:b w:val="0"/>
                <w:color w:val="22303C"/>
                <w:sz w:val="17"/>
              </w:rPr>
              <w:t>j10</w:t>
            </w:r>
          </w:p>
        </w:tc>
        <w:tc>
          <w:tcPr>
            <w:tcW w:type="dxa" w:w="4535"/>
          </w:tcPr>
          <w:p>
            <w:pPr>
              <w:spacing w:after="40" w:before="40"/>
            </w:pPr>
            <w:r/>
            <w:r>
              <w:rPr>
                <w:rFonts w:ascii="Calibri" w:hAnsi="Calibri" w:cs="Loma"/>
                <w:b w:val="0"/>
                <w:color w:val="22303C"/>
                <w:sz w:val="17"/>
              </w:rPr>
              <w:t>BET, PG, PP, PRAGMATIC,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11be</w:t>
            </w:r>
          </w:p>
        </w:tc>
        <w:tc>
          <w:tcPr>
            <w:tcW w:type="dxa" w:w="1814"/>
            <w:shd w:val="clear" w:fill="F4F7FA"/>
          </w:tcPr>
          <w:p>
            <w:pPr>
              <w:spacing w:after="40" w:before="40"/>
            </w:pPr>
            <w:r/>
            <w:r>
              <w:rPr>
                <w:rFonts w:ascii="Calibri" w:hAnsi="Calibri" w:cs="Loma"/>
                <w:b w:val="0"/>
                <w:color w:val="22303C"/>
                <w:sz w:val="17"/>
              </w:rPr>
              <w:t>kk00</w:t>
            </w:r>
          </w:p>
        </w:tc>
        <w:tc>
          <w:tcPr>
            <w:tcW w:type="dxa" w:w="4535"/>
            <w:shd w:val="clear" w:fill="F4F7FA"/>
          </w:tcPr>
          <w:p>
            <w:pPr>
              <w:spacing w:after="40" w:before="40"/>
            </w:pPr>
            <w:r/>
            <w:r>
              <w:rPr>
                <w:rFonts w:ascii="Calibri" w:hAnsi="Calibri" w:cs="Loma"/>
                <w:b w:val="0"/>
                <w:color w:val="22303C"/>
                <w:sz w:val="17"/>
              </w:rPr>
              <w:t>BET, PG, PP, PRAGMATIC,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11be</w:t>
            </w:r>
          </w:p>
        </w:tc>
        <w:tc>
          <w:tcPr>
            <w:tcW w:type="dxa" w:w="1814"/>
          </w:tcPr>
          <w:p>
            <w:pPr>
              <w:spacing w:after="40" w:before="40"/>
            </w:pPr>
            <w:r/>
            <w:r>
              <w:rPr>
                <w:rFonts w:ascii="Calibri" w:hAnsi="Calibri" w:cs="Loma"/>
                <w:b w:val="0"/>
                <w:color w:val="22303C"/>
                <w:sz w:val="17"/>
              </w:rPr>
              <w:t>k20</w:t>
            </w:r>
          </w:p>
        </w:tc>
        <w:tc>
          <w:tcPr>
            <w:tcW w:type="dxa" w:w="4535"/>
          </w:tcPr>
          <w:p>
            <w:pPr>
              <w:spacing w:after="40" w:before="40"/>
            </w:pPr>
            <w:r/>
            <w:r>
              <w:rPr>
                <w:rFonts w:ascii="Calibri" w:hAnsi="Calibri" w:cs="Loma"/>
                <w:b w:val="0"/>
                <w:color w:val="22303C"/>
                <w:sz w:val="17"/>
              </w:rPr>
              <w:t>BET, PG, PP, PRAGMATIC,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11be</w:t>
            </w:r>
          </w:p>
        </w:tc>
        <w:tc>
          <w:tcPr>
            <w:tcW w:type="dxa" w:w="1814"/>
            <w:shd w:val="clear" w:fill="F4F7FA"/>
          </w:tcPr>
          <w:p>
            <w:pPr>
              <w:spacing w:after="40" w:before="40"/>
            </w:pPr>
            <w:r/>
            <w:r>
              <w:rPr>
                <w:rFonts w:ascii="Calibri" w:hAnsi="Calibri" w:cs="Loma"/>
                <w:b w:val="0"/>
                <w:color w:val="22303C"/>
                <w:sz w:val="17"/>
              </w:rPr>
              <w:t>k3bet</w:t>
            </w:r>
          </w:p>
        </w:tc>
        <w:tc>
          <w:tcPr>
            <w:tcW w:type="dxa" w:w="4535"/>
            <w:shd w:val="clear" w:fill="F4F7FA"/>
          </w:tcPr>
          <w:p>
            <w:pPr>
              <w:spacing w:after="40" w:before="40"/>
            </w:pPr>
            <w:r/>
            <w:r>
              <w:rPr>
                <w:rFonts w:ascii="Calibri" w:hAnsi="Calibri" w:cs="Loma"/>
                <w:b w:val="0"/>
                <w:color w:val="22303C"/>
                <w:sz w:val="17"/>
              </w:rPr>
              <w:t>BET, PG, PP, PRAGMATIC,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88bet</w:t>
            </w:r>
          </w:p>
        </w:tc>
        <w:tc>
          <w:tcPr>
            <w:tcW w:type="dxa" w:w="1814"/>
          </w:tcPr>
          <w:p>
            <w:pPr>
              <w:spacing w:after="40" w:before="40"/>
            </w:pPr>
            <w:r/>
            <w:r>
              <w:rPr>
                <w:rFonts w:ascii="Calibri" w:hAnsi="Calibri" w:cs="Loma"/>
                <w:b w:val="0"/>
                <w:color w:val="22303C"/>
                <w:sz w:val="17"/>
              </w:rPr>
              <w:t>27bet</w:t>
            </w:r>
          </w:p>
        </w:tc>
        <w:tc>
          <w:tcPr>
            <w:tcW w:type="dxa" w:w="4535"/>
          </w:tcPr>
          <w:p>
            <w:pPr>
              <w:spacing w:after="40" w:before="40"/>
            </w:pPr>
            <w:r/>
            <w:r>
              <w:rPr>
                <w:rFonts w:ascii="Calibri" w:hAnsi="Calibri" w:cs="Loma"/>
                <w:b w:val="0"/>
                <w:color w:val="22303C"/>
                <w:sz w:val="17"/>
              </w:rPr>
              <w:t>BET, PG, PRAGMATIC, RTP,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hayy</w:t>
            </w:r>
          </w:p>
        </w:tc>
        <w:tc>
          <w:tcPr>
            <w:tcW w:type="dxa" w:w="1814"/>
            <w:shd w:val="clear" w:fill="F4F7FA"/>
          </w:tcPr>
          <w:p>
            <w:pPr>
              <w:spacing w:after="40" w:before="40"/>
            </w:pPr>
            <w:r/>
            <w:r>
              <w:rPr>
                <w:rFonts w:ascii="Calibri" w:hAnsi="Calibri" w:cs="Loma"/>
                <w:b w:val="0"/>
                <w:color w:val="22303C"/>
                <w:sz w:val="17"/>
              </w:rPr>
              <w:t>bohocasino</w:t>
            </w:r>
          </w:p>
        </w:tc>
        <w:tc>
          <w:tcPr>
            <w:tcW w:type="dxa" w:w="4535"/>
            <w:shd w:val="clear" w:fill="F4F7FA"/>
          </w:tcPr>
          <w:p>
            <w:pPr>
              <w:spacing w:after="40" w:before="40"/>
            </w:pPr>
            <w:r/>
            <w:r>
              <w:rPr>
                <w:rFonts w:ascii="Calibri" w:hAnsi="Calibri" w:cs="Loma"/>
                <w:b w:val="0"/>
                <w:color w:val="22303C"/>
                <w:sz w:val="17"/>
              </w:rPr>
              <w:t>BET, PP,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hayy</w:t>
            </w:r>
          </w:p>
        </w:tc>
        <w:tc>
          <w:tcPr>
            <w:tcW w:type="dxa" w:w="1814"/>
          </w:tcPr>
          <w:p>
            <w:pPr>
              <w:spacing w:after="40" w:before="40"/>
            </w:pPr>
            <w:r/>
            <w:r>
              <w:rPr>
                <w:rFonts w:ascii="Calibri" w:hAnsi="Calibri" w:cs="Loma"/>
                <w:b w:val="0"/>
                <w:color w:val="22303C"/>
                <w:sz w:val="17"/>
              </w:rPr>
              <w:t>gg8852</w:t>
            </w:r>
          </w:p>
        </w:tc>
        <w:tc>
          <w:tcPr>
            <w:tcW w:type="dxa" w:w="4535"/>
          </w:tcPr>
          <w:p>
            <w:pPr>
              <w:spacing w:after="40" w:before="40"/>
            </w:pPr>
            <w:r/>
            <w:r>
              <w:rPr>
                <w:rFonts w:ascii="Calibri" w:hAnsi="Calibri" w:cs="Loma"/>
                <w:b w:val="0"/>
                <w:color w:val="22303C"/>
                <w:sz w:val="17"/>
              </w:rPr>
              <w:t>BET, PP,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k11</w:t>
            </w:r>
          </w:p>
        </w:tc>
        <w:tc>
          <w:tcPr>
            <w:tcW w:type="dxa" w:w="1814"/>
            <w:shd w:val="clear" w:fill="F4F7FA"/>
          </w:tcPr>
          <w:p>
            <w:pPr>
              <w:spacing w:after="40" w:before="40"/>
            </w:pPr>
            <w:r/>
            <w:r>
              <w:rPr>
                <w:rFonts w:ascii="Calibri" w:hAnsi="Calibri" w:cs="Loma"/>
                <w:b w:val="0"/>
                <w:color w:val="22303C"/>
                <w:sz w:val="17"/>
              </w:rPr>
              <w:t>kkb</w:t>
            </w:r>
          </w:p>
        </w:tc>
        <w:tc>
          <w:tcPr>
            <w:tcW w:type="dxa" w:w="4535"/>
            <w:shd w:val="clear" w:fill="F4F7FA"/>
          </w:tcPr>
          <w:p>
            <w:pPr>
              <w:spacing w:after="40" w:before="40"/>
            </w:pPr>
            <w:r/>
            <w:r>
              <w:rPr>
                <w:rFonts w:ascii="Calibri" w:hAnsi="Calibri" w:cs="Loma"/>
                <w:b w:val="0"/>
                <w:color w:val="22303C"/>
                <w:sz w:val="17"/>
              </w:rPr>
              <w:t>BET, PG, PP, PRAGMATIC,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k11</w:t>
            </w:r>
          </w:p>
        </w:tc>
        <w:tc>
          <w:tcPr>
            <w:tcW w:type="dxa" w:w="1814"/>
          </w:tcPr>
          <w:p>
            <w:pPr>
              <w:spacing w:after="40" w:before="40"/>
            </w:pPr>
            <w:r/>
            <w:r>
              <w:rPr>
                <w:rFonts w:ascii="Calibri" w:hAnsi="Calibri" w:cs="Loma"/>
                <w:b w:val="0"/>
                <w:color w:val="22303C"/>
                <w:sz w:val="17"/>
              </w:rPr>
              <w:t>8ok</w:t>
            </w:r>
          </w:p>
        </w:tc>
        <w:tc>
          <w:tcPr>
            <w:tcW w:type="dxa" w:w="4535"/>
          </w:tcPr>
          <w:p>
            <w:pPr>
              <w:spacing w:after="40" w:before="40"/>
            </w:pPr>
            <w:r/>
            <w:r>
              <w:rPr>
                <w:rFonts w:ascii="Calibri" w:hAnsi="Calibri" w:cs="Loma"/>
                <w:b w:val="0"/>
                <w:color w:val="22303C"/>
                <w:sz w:val="17"/>
              </w:rPr>
              <w:t>BET, PG, PP, PRAGMATIC, VIP, WIN</w:t>
            </w:r>
          </w:p>
        </w:tc>
        <w:tc>
          <w:tcPr>
            <w:tcW w:type="dxa" w:w="1474"/>
          </w:tcPr>
          <w:p>
            <w:pPr>
              <w:spacing w:after="40" w:before="40"/>
              <w:jc w:val="right"/>
            </w:pPr>
            <w:r/>
            <w:r>
              <w:rPr>
                <w:rFonts w:ascii="Calibri" w:hAnsi="Calibri" w:cs="Loma"/>
                <w:b w:val="0"/>
                <w:color w:val="22303C"/>
                <w:sz w:val="17"/>
              </w:rPr>
              <w:t>1.00</w:t>
            </w:r>
          </w:p>
        </w:tc>
      </w:tr>
      <w:tr>
        <w:tc>
          <w:tcPr>
            <w:tcW w:type="dxa" w:w="1814"/>
            <w:shd w:val="clear" w:fill="F4F7FA"/>
          </w:tcPr>
          <w:p>
            <w:pPr>
              <w:spacing w:after="40" w:before="40"/>
            </w:pPr>
            <w:r/>
            <w:r>
              <w:rPr>
                <w:rFonts w:ascii="Calibri" w:hAnsi="Calibri" w:cs="Loma"/>
                <w:b w:val="0"/>
                <w:color w:val="22303C"/>
                <w:sz w:val="17"/>
              </w:rPr>
              <w:t>hayy</w:t>
            </w:r>
          </w:p>
        </w:tc>
        <w:tc>
          <w:tcPr>
            <w:tcW w:type="dxa" w:w="1814"/>
            <w:shd w:val="clear" w:fill="F4F7FA"/>
          </w:tcPr>
          <w:p>
            <w:pPr>
              <w:spacing w:after="40" w:before="40"/>
            </w:pPr>
            <w:r/>
            <w:r>
              <w:rPr>
                <w:rFonts w:ascii="Calibri" w:hAnsi="Calibri" w:cs="Loma"/>
                <w:b w:val="0"/>
                <w:color w:val="22303C"/>
                <w:sz w:val="17"/>
              </w:rPr>
              <w:t>0betlogin</w:t>
            </w:r>
          </w:p>
        </w:tc>
        <w:tc>
          <w:tcPr>
            <w:tcW w:type="dxa" w:w="4535"/>
            <w:shd w:val="clear" w:fill="F4F7FA"/>
          </w:tcPr>
          <w:p>
            <w:pPr>
              <w:spacing w:after="40" w:before="40"/>
            </w:pPr>
            <w:r/>
            <w:r>
              <w:rPr>
                <w:rFonts w:ascii="Calibri" w:hAnsi="Calibri" w:cs="Loma"/>
                <w:b w:val="0"/>
                <w:color w:val="22303C"/>
                <w:sz w:val="17"/>
              </w:rPr>
              <w:t>BET, PP, VIP, WIN</w:t>
            </w:r>
          </w:p>
        </w:tc>
        <w:tc>
          <w:tcPr>
            <w:tcW w:type="dxa" w:w="1474"/>
            <w:shd w:val="clear" w:fill="F4F7FA"/>
          </w:tcPr>
          <w:p>
            <w:pPr>
              <w:spacing w:after="40" w:before="40"/>
              <w:jc w:val="right"/>
            </w:pPr>
            <w:r/>
            <w:r>
              <w:rPr>
                <w:rFonts w:ascii="Calibri" w:hAnsi="Calibri" w:cs="Loma"/>
                <w:b w:val="0"/>
                <w:color w:val="22303C"/>
                <w:sz w:val="17"/>
              </w:rPr>
              <w:t>1.00</w:t>
            </w:r>
          </w:p>
        </w:tc>
      </w:tr>
      <w:tr>
        <w:tc>
          <w:tcPr>
            <w:tcW w:type="dxa" w:w="1814"/>
          </w:tcPr>
          <w:p>
            <w:pPr>
              <w:spacing w:after="40" w:before="40"/>
            </w:pPr>
            <w:r/>
            <w:r>
              <w:rPr>
                <w:rFonts w:ascii="Calibri" w:hAnsi="Calibri" w:cs="Loma"/>
                <w:b w:val="0"/>
                <w:color w:val="22303C"/>
                <w:sz w:val="17"/>
              </w:rPr>
              <w:t>bohocasino</w:t>
            </w:r>
          </w:p>
        </w:tc>
        <w:tc>
          <w:tcPr>
            <w:tcW w:type="dxa" w:w="1814"/>
          </w:tcPr>
          <w:p>
            <w:pPr>
              <w:spacing w:after="40" w:before="40"/>
            </w:pPr>
            <w:r/>
            <w:r>
              <w:rPr>
                <w:rFonts w:ascii="Calibri" w:hAnsi="Calibri" w:cs="Loma"/>
                <w:b w:val="0"/>
                <w:color w:val="22303C"/>
                <w:sz w:val="17"/>
              </w:rPr>
              <w:t>gg8852</w:t>
            </w:r>
          </w:p>
        </w:tc>
        <w:tc>
          <w:tcPr>
            <w:tcW w:type="dxa" w:w="4535"/>
          </w:tcPr>
          <w:p>
            <w:pPr>
              <w:spacing w:after="40" w:before="40"/>
            </w:pPr>
            <w:r/>
            <w:r>
              <w:rPr>
                <w:rFonts w:ascii="Calibri" w:hAnsi="Calibri" w:cs="Loma"/>
                <w:b w:val="0"/>
                <w:color w:val="22303C"/>
                <w:sz w:val="17"/>
              </w:rPr>
              <w:t>BET, PP, VIP, WIN</w:t>
            </w:r>
          </w:p>
        </w:tc>
        <w:tc>
          <w:tcPr>
            <w:tcW w:type="dxa" w:w="1474"/>
          </w:tcPr>
          <w:p>
            <w:pPr>
              <w:spacing w:after="40" w:before="40"/>
              <w:jc w:val="right"/>
            </w:pPr>
            <w:r/>
            <w:r>
              <w:rPr>
                <w:rFonts w:ascii="Calibri" w:hAnsi="Calibri" w:cs="Loma"/>
                <w:b w:val="0"/>
                <w:color w:val="22303C"/>
                <w:sz w:val="17"/>
              </w:rPr>
              <w:t>1.00</w:t>
            </w:r>
          </w:p>
        </w:tc>
      </w:tr>
    </w:tbl>
    <w:p>
      <w:pPr>
        <w:spacing w:after="0"/>
      </w:pPr>
    </w:p>
    <w:p>
      <w:pPr>
        <w:spacing w:before="60" w:after="220"/>
      </w:pPr>
      <w:r>
        <w:rPr>
          <w:b/>
          <w:color w:val="1F3F63"/>
          <w:sz w:val="17"/>
        </w:rPr>
        <w:t xml:space="preserve">Table 10. </w:t>
      </w:r>
      <w:r>
        <w:rPr>
          <w:rFonts w:cs="Loma"/>
          <w:color w:val="4A5B6B"/>
          <w:sz w:val="17"/>
        </w:rPr>
        <w:t>Clusters with a shared signal-keyword fingerprint, the 15 strongest of 14,082 pairs.</w:t>
      </w:r>
    </w:p>
    <w:p>
      <w:pPr>
        <w:pStyle w:val="Heading2"/>
      </w:pPr>
      <w:r>
        <w:t>4.9  Naming conventions</w:t>
      </w:r>
    </w:p>
    <w:p>
      <w:pPr>
        <w:spacing w:after="120"/>
      </w:pPr>
      <w:r>
        <w:rPr>
          <w:rFonts w:cs="Loma"/>
          <w:i w:val="0"/>
          <w:color w:val="22303C"/>
          <w:sz w:val="21"/>
        </w:rPr>
        <w:t>Recurring tokens: bet (631), vip (145), login (117) — evidence of a templated naming scheme across the largest clusters.</w:t>
      </w:r>
    </w:p>
    <w:p>
      <w:pPr>
        <w:spacing w:after="120"/>
      </w:pPr>
      <w:r>
        <w:rPr>
          <w:rFonts w:cs="Loma"/>
          <w:i w:val="0"/>
          <w:color w:val="22303C"/>
          <w:sz w:val="21"/>
        </w:rPr>
        <w:t>TLD switching: .com (206), .net (135), .cc (105), .bet (104) — the largest operators rotate top-level domains.</w:t>
      </w:r>
    </w:p>
    <w:p>
      <w:pPr>
        <w:spacing w:after="120"/>
      </w:pPr>
      <w:r>
        <w:rPr>
          <w:rFonts w:cs="Loma"/>
          <w:i w:val="0"/>
          <w:color w:val="22303C"/>
          <w:sz w:val="21"/>
        </w:rPr>
        <w:t>Distinct count: 1,300 distinct domains across 15 brand clusters.</w:t>
      </w:r>
    </w:p>
    <w:p>
      <w:pPr>
        <w:pStyle w:val="Heading2"/>
      </w:pPr>
      <w:r>
        <w:t>4.10  Structure: direct, redirect and variant</w:t>
      </w:r>
    </w:p>
    <w:tbl>
      <w:tblPr>
        <w:tblStyle w:val="TableGrid"/>
        <w:tblW w:type="auto" w:w="0"/>
        <w:jc w:val="center"/>
        <w:tblBorders>
          <w:top w:val="single" w:sz="4" w:space="0" w:color="C9D2DB"/>
          <w:left w:val="single" w:sz="4" w:space="0" w:color="C9D2DB"/>
          <w:bottom w:val="single" w:sz="4" w:space="0" w:color="C9D2DB"/>
          <w:right w:val="single" w:sz="4" w:space="0" w:color="C9D2DB"/>
          <w:insideH w:val="nil" w:sz="4" w:space="0" w:color="C9D2DB"/>
          <w:insideV w:val="single" w:sz="4" w:space="0" w:color="C9D2DB"/>
        </w:tblBorders>
        <w:tblLook w:firstColumn="1" w:firstRow="1" w:lastColumn="0" w:lastRow="0" w:noHBand="0" w:noVBand="1" w:val="04A0"/>
      </w:tblPr>
      <w:tblGrid>
        <w:gridCol w:w="3213"/>
        <w:gridCol w:w="3213"/>
        <w:gridCol w:w="3213"/>
      </w:tblGrid>
      <w:tr>
        <w:tc>
          <w:tcPr>
            <w:tcW w:type="dxa" w:w="3213"/>
          </w:tcPr>
          <w:p>
            <w:pPr>
              <w:spacing w:after="40" w:before="120"/>
              <w:jc w:val="center"/>
            </w:pPr>
            <w:r/>
            <w:r>
              <w:rPr>
                <w:rFonts w:ascii="Calibri" w:hAnsi="Calibri" w:cs="Loma"/>
                <w:b/>
                <w:color w:val="1F3F63"/>
                <w:sz w:val="36"/>
              </w:rPr>
              <w:t>1.4%</w:t>
            </w:r>
          </w:p>
        </w:tc>
        <w:tc>
          <w:tcPr>
            <w:tcW w:type="dxa" w:w="3213"/>
          </w:tcPr>
          <w:p>
            <w:pPr>
              <w:spacing w:after="40" w:before="120"/>
              <w:jc w:val="center"/>
            </w:pPr>
            <w:r/>
            <w:r>
              <w:rPr>
                <w:rFonts w:ascii="Calibri" w:hAnsi="Calibri" w:cs="Loma"/>
                <w:b/>
                <w:color w:val="1F3F63"/>
                <w:sz w:val="36"/>
              </w:rPr>
              <w:t>6.0%</w:t>
            </w:r>
          </w:p>
        </w:tc>
        <w:tc>
          <w:tcPr>
            <w:tcW w:type="dxa" w:w="3213"/>
          </w:tcPr>
          <w:p>
            <w:pPr>
              <w:spacing w:after="40" w:before="120"/>
              <w:jc w:val="center"/>
            </w:pPr>
            <w:r/>
            <w:r>
              <w:rPr>
                <w:rFonts w:ascii="Calibri" w:hAnsi="Calibri" w:cs="Loma"/>
                <w:b/>
                <w:color w:val="1F3F63"/>
                <w:sz w:val="36"/>
              </w:rPr>
              <w:t>92.6%</w:t>
            </w:r>
          </w:p>
        </w:tc>
      </w:tr>
      <w:tr>
        <w:tc>
          <w:tcPr>
            <w:tcW w:type="dxa" w:w="3213"/>
          </w:tcPr>
          <w:p>
            <w:pPr>
              <w:spacing w:after="120" w:before="40"/>
              <w:jc w:val="center"/>
            </w:pPr>
            <w:r/>
            <w:r>
              <w:rPr>
                <w:rFonts w:ascii="Calibri" w:hAnsi="Calibri" w:cs="Loma"/>
                <w:b w:val="0"/>
                <w:color w:val="4A5B6B"/>
                <w:sz w:val="17"/>
              </w:rPr>
              <w:t>Reached directly</w:t>
              <w:br/>
              <w:t>129 URLs</w:t>
            </w:r>
          </w:p>
        </w:tc>
        <w:tc>
          <w:tcPr>
            <w:tcW w:type="dxa" w:w="3213"/>
          </w:tcPr>
          <w:p>
            <w:pPr>
              <w:spacing w:after="120" w:before="40"/>
              <w:jc w:val="center"/>
            </w:pPr>
            <w:r/>
            <w:r>
              <w:rPr>
                <w:rFonts w:ascii="Calibri" w:hAnsi="Calibri" w:cs="Loma"/>
                <w:b w:val="0"/>
                <w:color w:val="4A5B6B"/>
                <w:sz w:val="17"/>
              </w:rPr>
              <w:t>Behind a redirect</w:t>
              <w:br/>
              <w:t>546 URLs</w:t>
            </w:r>
          </w:p>
        </w:tc>
        <w:tc>
          <w:tcPr>
            <w:tcW w:type="dxa" w:w="3213"/>
          </w:tcPr>
          <w:p>
            <w:pPr>
              <w:spacing w:after="120" w:before="40"/>
              <w:jc w:val="center"/>
            </w:pPr>
            <w:r/>
            <w:r>
              <w:rPr>
                <w:rFonts w:ascii="Calibri" w:hAnsi="Calibri" w:cs="Loma"/>
                <w:b w:val="0"/>
                <w:color w:val="4A5B6B"/>
                <w:sz w:val="17"/>
              </w:rPr>
              <w:t>Crawler variants</w:t>
              <w:br/>
              <w:t>8,427 URLs</w:t>
            </w:r>
          </w:p>
        </w:tc>
      </w:tr>
    </w:tbl>
    <w:p>
      <w:pPr>
        <w:spacing w:after="0"/>
      </w:pPr>
    </w:p>
    <w:p>
      <w:pPr>
        <w:spacing w:before="60" w:after="220"/>
      </w:pPr>
      <w:r>
        <w:rPr>
          <w:b/>
          <w:color w:val="1F3F63"/>
          <w:sz w:val="17"/>
        </w:rPr>
        <w:t xml:space="preserve">Table 11. </w:t>
      </w:r>
      <w:r>
        <w:rPr>
          <w:rFonts w:cs="Loma"/>
          <w:color w:val="4A5B6B"/>
          <w:sz w:val="17"/>
        </w:rPr>
        <w:t>How gambling URLs in the estate were reached.</w:t>
      </w:r>
    </w:p>
    <w:p>
      <w:pPr>
        <w:keepNext/>
        <w:spacing w:before="80" w:after="0"/>
        <w:jc w:val="center"/>
      </w:pPr>
      <w:r>
        <w:drawing>
          <wp:inline xmlns:a="http://schemas.openxmlformats.org/drawingml/2006/main" xmlns:pic="http://schemas.openxmlformats.org/drawingml/2006/picture">
            <wp:extent cx="6120000" cy="2171613"/>
            <wp:docPr id="14" name="Picture 14"/>
            <wp:cNvGraphicFramePr>
              <a:graphicFrameLocks noChangeAspect="1"/>
            </wp:cNvGraphicFramePr>
            <a:graphic>
              <a:graphicData uri="http://schemas.openxmlformats.org/drawingml/2006/picture">
                <pic:pic>
                  <pic:nvPicPr>
                    <pic:cNvPr id="0" name="c10_structure.png"/>
                    <pic:cNvPicPr/>
                  </pic:nvPicPr>
                  <pic:blipFill>
                    <a:blip r:embed="rId22"/>
                    <a:stretch>
                      <a:fillRect/>
                    </a:stretch>
                  </pic:blipFill>
                  <pic:spPr>
                    <a:xfrm>
                      <a:off x="0" y="0"/>
                      <a:ext cx="6120000" cy="2171613"/>
                    </a:xfrm>
                    <a:prstGeom prst="rect"/>
                  </pic:spPr>
                </pic:pic>
              </a:graphicData>
            </a:graphic>
          </wp:inline>
        </w:drawing>
      </w:r>
    </w:p>
    <w:p>
      <w:pPr>
        <w:spacing w:before="60" w:after="220"/>
      </w:pPr>
      <w:r>
        <w:rPr>
          <w:b/>
          <w:color w:val="1F3F63"/>
          <w:sz w:val="17"/>
        </w:rPr>
        <w:t xml:space="preserve">Figure 14. </w:t>
      </w:r>
      <w:r>
        <w:rPr>
          <w:rFonts w:cs="Loma"/>
          <w:color w:val="4A5B6B"/>
          <w:sz w:val="17"/>
        </w:rPr>
        <w:t>The same split as a single proportional bar.</w:t>
      </w:r>
    </w:p>
    <w:p>
      <w:pPr>
        <w:pStyle w:val="Heading2"/>
      </w:pPr>
      <w:r>
        <w:t>4.11  Redirect propagation — localcoffeemontclair.com</w:t>
      </w:r>
    </w:p>
    <w:p>
      <w:pPr>
        <w:keepNext/>
        <w:spacing w:before="80" w:after="0"/>
        <w:jc w:val="center"/>
      </w:pPr>
      <w:r>
        <w:drawing>
          <wp:inline xmlns:a="http://schemas.openxmlformats.org/drawingml/2006/main" xmlns:pic="http://schemas.openxmlformats.org/drawingml/2006/picture">
            <wp:extent cx="6120000" cy="6360363"/>
            <wp:docPr id="15" name="Picture 15"/>
            <wp:cNvGraphicFramePr>
              <a:graphicFrameLocks noChangeAspect="1"/>
            </wp:cNvGraphicFramePr>
            <a:graphic>
              <a:graphicData uri="http://schemas.openxmlformats.org/drawingml/2006/picture">
                <pic:pic>
                  <pic:nvPicPr>
                    <pic:cNvPr id="0" name="c11_redirect.png"/>
                    <pic:cNvPicPr/>
                  </pic:nvPicPr>
                  <pic:blipFill>
                    <a:blip r:embed="rId23"/>
                    <a:stretch>
                      <a:fillRect/>
                    </a:stretch>
                  </pic:blipFill>
                  <pic:spPr>
                    <a:xfrm>
                      <a:off x="0" y="0"/>
                      <a:ext cx="6120000" cy="6360363"/>
                    </a:xfrm>
                    <a:prstGeom prst="rect"/>
                  </pic:spPr>
                </pic:pic>
              </a:graphicData>
            </a:graphic>
          </wp:inline>
        </w:drawing>
      </w:r>
    </w:p>
    <w:p>
      <w:pPr>
        <w:spacing w:before="60" w:after="220"/>
      </w:pPr>
      <w:r>
        <w:rPr>
          <w:b/>
          <w:color w:val="1F3F63"/>
          <w:sz w:val="17"/>
        </w:rPr>
        <w:t xml:space="preserve">Figure 15. </w:t>
      </w:r>
      <w:r>
        <w:rPr>
          <w:rFonts w:cs="Loma"/>
          <w:color w:val="4A5B6B"/>
          <w:sz w:val="17"/>
        </w:rPr>
        <w:t>Destinations reached from the busiest redirect source, localcoffeemontclair.com (6 distinct URLs).</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4819"/>
        <w:gridCol w:w="4819"/>
      </w:tblGrid>
      <w:tr>
        <w:tc>
          <w:tcPr>
            <w:tcW w:type="dxa" w:w="6803"/>
            <w:shd w:val="clear" w:fill="1F3F63"/>
          </w:tcPr>
          <w:p>
            <w:pPr>
              <w:spacing w:after="40" w:before="40"/>
            </w:pPr>
            <w:r/>
            <w:r>
              <w:rPr>
                <w:rFonts w:ascii="Calibri" w:hAnsi="Calibri" w:cs="Loma"/>
                <w:b/>
                <w:color w:val="FFFFFF"/>
                <w:sz w:val="18"/>
              </w:rPr>
              <w:t>Redirect source</w:t>
            </w:r>
          </w:p>
        </w:tc>
        <w:tc>
          <w:tcPr>
            <w:tcW w:type="dxa" w:w="2835"/>
            <w:shd w:val="clear" w:fill="1F3F63"/>
          </w:tcPr>
          <w:p>
            <w:pPr>
              <w:spacing w:after="40" w:before="40"/>
              <w:jc w:val="right"/>
            </w:pPr>
            <w:r/>
            <w:r>
              <w:rPr>
                <w:rFonts w:ascii="Calibri" w:hAnsi="Calibri" w:cs="Loma"/>
                <w:b/>
                <w:color w:val="FFFFFF"/>
                <w:sz w:val="18"/>
              </w:rPr>
              <w:t>Distinct destination URLs</w:t>
            </w:r>
          </w:p>
        </w:tc>
      </w:tr>
      <w:tr>
        <w:tc>
          <w:tcPr>
            <w:tcW w:type="dxa" w:w="6803"/>
          </w:tcPr>
          <w:p>
            <w:pPr>
              <w:spacing w:after="40" w:before="40"/>
            </w:pPr>
            <w:r/>
            <w:r>
              <w:rPr>
                <w:rFonts w:ascii="Calibri" w:hAnsi="Calibri" w:cs="Loma"/>
                <w:b w:val="0"/>
                <w:color w:val="22303C"/>
                <w:sz w:val="18"/>
              </w:rPr>
              <w:t>localcoffeemontclair.com</w:t>
            </w:r>
          </w:p>
        </w:tc>
        <w:tc>
          <w:tcPr>
            <w:tcW w:type="dxa" w:w="2835"/>
          </w:tcPr>
          <w:p>
            <w:pPr>
              <w:spacing w:after="40" w:before="40"/>
              <w:jc w:val="right"/>
            </w:pPr>
            <w:r/>
            <w:r>
              <w:rPr>
                <w:rFonts w:ascii="Calibri" w:hAnsi="Calibri" w:cs="Loma"/>
                <w:b w:val="0"/>
                <w:color w:val="22303C"/>
                <w:sz w:val="18"/>
              </w:rPr>
              <w:t>6</w:t>
            </w:r>
          </w:p>
        </w:tc>
      </w:tr>
      <w:tr>
        <w:tc>
          <w:tcPr>
            <w:tcW w:type="dxa" w:w="6803"/>
            <w:shd w:val="clear" w:fill="F4F7FA"/>
          </w:tcPr>
          <w:p>
            <w:pPr>
              <w:spacing w:after="40" w:before="40"/>
            </w:pPr>
            <w:r/>
            <w:r>
              <w:rPr>
                <w:rFonts w:ascii="Calibri" w:hAnsi="Calibri" w:cs="Loma"/>
                <w:b w:val="0"/>
                <w:color w:val="22303C"/>
                <w:sz w:val="18"/>
              </w:rPr>
              <w:t>b.37.app</w:t>
            </w:r>
          </w:p>
        </w:tc>
        <w:tc>
          <w:tcPr>
            <w:tcW w:type="dxa" w:w="2835"/>
            <w:shd w:val="clear" w:fill="F4F7FA"/>
          </w:tcPr>
          <w:p>
            <w:pPr>
              <w:spacing w:after="40" w:before="40"/>
              <w:jc w:val="right"/>
            </w:pPr>
            <w:r/>
            <w:r>
              <w:rPr>
                <w:rFonts w:ascii="Calibri" w:hAnsi="Calibri" w:cs="Loma"/>
                <w:b w:val="0"/>
                <w:color w:val="22303C"/>
                <w:sz w:val="18"/>
              </w:rPr>
              <w:t>6</w:t>
            </w:r>
          </w:p>
        </w:tc>
      </w:tr>
      <w:tr>
        <w:tc>
          <w:tcPr>
            <w:tcW w:type="dxa" w:w="6803"/>
          </w:tcPr>
          <w:p>
            <w:pPr>
              <w:spacing w:after="40" w:before="40"/>
            </w:pPr>
            <w:r/>
            <w:r>
              <w:rPr>
                <w:rFonts w:ascii="Calibri" w:hAnsi="Calibri" w:cs="Loma"/>
                <w:b w:val="0"/>
                <w:color w:val="22303C"/>
                <w:sz w:val="18"/>
              </w:rPr>
              <w:t>lotto432e.com</w:t>
            </w:r>
          </w:p>
        </w:tc>
        <w:tc>
          <w:tcPr>
            <w:tcW w:type="dxa" w:w="2835"/>
          </w:tcPr>
          <w:p>
            <w:pPr>
              <w:spacing w:after="40" w:before="40"/>
              <w:jc w:val="right"/>
            </w:pPr>
            <w:r/>
            <w:r>
              <w:rPr>
                <w:rFonts w:ascii="Calibri" w:hAnsi="Calibri" w:cs="Loma"/>
                <w:b w:val="0"/>
                <w:color w:val="22303C"/>
                <w:sz w:val="18"/>
              </w:rPr>
              <w:t>5</w:t>
            </w:r>
          </w:p>
        </w:tc>
      </w:tr>
      <w:tr>
        <w:tc>
          <w:tcPr>
            <w:tcW w:type="dxa" w:w="6803"/>
            <w:shd w:val="clear" w:fill="F4F7FA"/>
          </w:tcPr>
          <w:p>
            <w:pPr>
              <w:spacing w:after="40" w:before="40"/>
            </w:pPr>
            <w:r/>
            <w:r>
              <w:rPr>
                <w:rFonts w:ascii="Calibri" w:hAnsi="Calibri" w:cs="Loma"/>
                <w:b w:val="0"/>
                <w:color w:val="22303C"/>
                <w:sz w:val="18"/>
              </w:rPr>
              <w:t>kdbet.pro</w:t>
            </w:r>
          </w:p>
        </w:tc>
        <w:tc>
          <w:tcPr>
            <w:tcW w:type="dxa" w:w="2835"/>
            <w:shd w:val="clear" w:fill="F4F7FA"/>
          </w:tcPr>
          <w:p>
            <w:pPr>
              <w:spacing w:after="40" w:before="40"/>
              <w:jc w:val="right"/>
            </w:pPr>
            <w:r/>
            <w:r>
              <w:rPr>
                <w:rFonts w:ascii="Calibri" w:hAnsi="Calibri" w:cs="Loma"/>
                <w:b w:val="0"/>
                <w:color w:val="22303C"/>
                <w:sz w:val="18"/>
              </w:rPr>
              <w:t>5</w:t>
            </w:r>
          </w:p>
        </w:tc>
      </w:tr>
      <w:tr>
        <w:tc>
          <w:tcPr>
            <w:tcW w:type="dxa" w:w="6803"/>
          </w:tcPr>
          <w:p>
            <w:pPr>
              <w:spacing w:after="40" w:before="40"/>
            </w:pPr>
            <w:r/>
            <w:r>
              <w:rPr>
                <w:rFonts w:ascii="Calibri" w:hAnsi="Calibri" w:cs="Loma"/>
                <w:b w:val="0"/>
                <w:color w:val="22303C"/>
                <w:sz w:val="18"/>
              </w:rPr>
              <w:t>slotxo6.co</w:t>
            </w:r>
          </w:p>
        </w:tc>
        <w:tc>
          <w:tcPr>
            <w:tcW w:type="dxa" w:w="2835"/>
          </w:tcPr>
          <w:p>
            <w:pPr>
              <w:spacing w:after="40" w:before="40"/>
              <w:jc w:val="right"/>
            </w:pPr>
            <w:r/>
            <w:r>
              <w:rPr>
                <w:rFonts w:ascii="Calibri" w:hAnsi="Calibri" w:cs="Loma"/>
                <w:b w:val="0"/>
                <w:color w:val="22303C"/>
                <w:sz w:val="18"/>
              </w:rPr>
              <w:t>4</w:t>
            </w:r>
          </w:p>
        </w:tc>
      </w:tr>
      <w:tr>
        <w:tc>
          <w:tcPr>
            <w:tcW w:type="dxa" w:w="6803"/>
            <w:shd w:val="clear" w:fill="F4F7FA"/>
          </w:tcPr>
          <w:p>
            <w:pPr>
              <w:spacing w:after="40" w:before="40"/>
            </w:pPr>
            <w:r/>
            <w:r>
              <w:rPr>
                <w:rFonts w:ascii="Calibri" w:hAnsi="Calibri" w:cs="Loma"/>
                <w:b w:val="0"/>
                <w:color w:val="22303C"/>
                <w:sz w:val="18"/>
              </w:rPr>
              <w:t>i9bet.click</w:t>
            </w:r>
          </w:p>
        </w:tc>
        <w:tc>
          <w:tcPr>
            <w:tcW w:type="dxa" w:w="2835"/>
            <w:shd w:val="clear" w:fill="F4F7FA"/>
          </w:tcPr>
          <w:p>
            <w:pPr>
              <w:spacing w:after="40" w:before="40"/>
              <w:jc w:val="right"/>
            </w:pPr>
            <w:r/>
            <w:r>
              <w:rPr>
                <w:rFonts w:ascii="Calibri" w:hAnsi="Calibri" w:cs="Loma"/>
                <w:b w:val="0"/>
                <w:color w:val="22303C"/>
                <w:sz w:val="18"/>
              </w:rPr>
              <w:t>4</w:t>
            </w:r>
          </w:p>
        </w:tc>
      </w:tr>
      <w:tr>
        <w:tc>
          <w:tcPr>
            <w:tcW w:type="dxa" w:w="6803"/>
          </w:tcPr>
          <w:p>
            <w:pPr>
              <w:spacing w:after="40" w:before="40"/>
            </w:pPr>
            <w:r/>
            <w:r>
              <w:rPr>
                <w:rFonts w:ascii="Calibri" w:hAnsi="Calibri" w:cs="Loma"/>
                <w:b w:val="0"/>
                <w:color w:val="22303C"/>
                <w:sz w:val="18"/>
              </w:rPr>
              <w:t>bet26.site</w:t>
            </w:r>
          </w:p>
        </w:tc>
        <w:tc>
          <w:tcPr>
            <w:tcW w:type="dxa" w:w="2835"/>
          </w:tcPr>
          <w:p>
            <w:pPr>
              <w:spacing w:after="40" w:before="40"/>
              <w:jc w:val="right"/>
            </w:pPr>
            <w:r/>
            <w:r>
              <w:rPr>
                <w:rFonts w:ascii="Calibri" w:hAnsi="Calibri" w:cs="Loma"/>
                <w:b w:val="0"/>
                <w:color w:val="22303C"/>
                <w:sz w:val="18"/>
              </w:rPr>
              <w:t>4</w:t>
            </w:r>
          </w:p>
        </w:tc>
      </w:tr>
      <w:tr>
        <w:tc>
          <w:tcPr>
            <w:tcW w:type="dxa" w:w="6803"/>
            <w:shd w:val="clear" w:fill="F4F7FA"/>
          </w:tcPr>
          <w:p>
            <w:pPr>
              <w:spacing w:after="40" w:before="40"/>
            </w:pPr>
            <w:r/>
            <w:r>
              <w:rPr>
                <w:rFonts w:ascii="Calibri" w:hAnsi="Calibri" w:cs="Loma"/>
                <w:b w:val="0"/>
                <w:color w:val="22303C"/>
                <w:sz w:val="18"/>
              </w:rPr>
              <w:t>gulfstreamair.com</w:t>
            </w:r>
          </w:p>
        </w:tc>
        <w:tc>
          <w:tcPr>
            <w:tcW w:type="dxa" w:w="2835"/>
            <w:shd w:val="clear" w:fill="F4F7FA"/>
          </w:tcPr>
          <w:p>
            <w:pPr>
              <w:spacing w:after="40" w:before="40"/>
              <w:jc w:val="right"/>
            </w:pPr>
            <w:r/>
            <w:r>
              <w:rPr>
                <w:rFonts w:ascii="Calibri" w:hAnsi="Calibri" w:cs="Loma"/>
                <w:b w:val="0"/>
                <w:color w:val="22303C"/>
                <w:sz w:val="18"/>
              </w:rPr>
              <w:t>4</w:t>
            </w:r>
          </w:p>
        </w:tc>
      </w:tr>
      <w:tr>
        <w:tc>
          <w:tcPr>
            <w:tcW w:type="dxa" w:w="6803"/>
          </w:tcPr>
          <w:p>
            <w:pPr>
              <w:spacing w:after="40" w:before="40"/>
            </w:pPr>
            <w:r/>
            <w:r>
              <w:rPr>
                <w:rFonts w:ascii="Calibri" w:hAnsi="Calibri" w:cs="Loma"/>
                <w:b w:val="0"/>
                <w:color w:val="22303C"/>
                <w:sz w:val="18"/>
              </w:rPr>
              <w:t>adirondackbrewing.com</w:t>
            </w:r>
          </w:p>
        </w:tc>
        <w:tc>
          <w:tcPr>
            <w:tcW w:type="dxa" w:w="2835"/>
          </w:tcPr>
          <w:p>
            <w:pPr>
              <w:spacing w:after="40" w:before="40"/>
              <w:jc w:val="right"/>
            </w:pPr>
            <w:r/>
            <w:r>
              <w:rPr>
                <w:rFonts w:ascii="Calibri" w:hAnsi="Calibri" w:cs="Loma"/>
                <w:b w:val="0"/>
                <w:color w:val="22303C"/>
                <w:sz w:val="18"/>
              </w:rPr>
              <w:t>4</w:t>
            </w:r>
          </w:p>
        </w:tc>
      </w:tr>
      <w:tr>
        <w:tc>
          <w:tcPr>
            <w:tcW w:type="dxa" w:w="6803"/>
            <w:shd w:val="clear" w:fill="F4F7FA"/>
          </w:tcPr>
          <w:p>
            <w:pPr>
              <w:spacing w:after="40" w:before="40"/>
            </w:pPr>
            <w:r/>
            <w:r>
              <w:rPr>
                <w:rFonts w:ascii="Calibri" w:hAnsi="Calibri" w:cs="Loma"/>
                <w:b w:val="0"/>
                <w:color w:val="22303C"/>
                <w:sz w:val="18"/>
              </w:rPr>
              <w:t>ccsmm.net</w:t>
            </w:r>
          </w:p>
        </w:tc>
        <w:tc>
          <w:tcPr>
            <w:tcW w:type="dxa" w:w="2835"/>
            <w:shd w:val="clear" w:fill="F4F7FA"/>
          </w:tcPr>
          <w:p>
            <w:pPr>
              <w:spacing w:after="40" w:before="40"/>
              <w:jc w:val="right"/>
            </w:pPr>
            <w:r/>
            <w:r>
              <w:rPr>
                <w:rFonts w:ascii="Calibri" w:hAnsi="Calibri" w:cs="Loma"/>
                <w:b w:val="0"/>
                <w:color w:val="22303C"/>
                <w:sz w:val="18"/>
              </w:rPr>
              <w:t>4</w:t>
            </w:r>
          </w:p>
        </w:tc>
      </w:tr>
    </w:tbl>
    <w:p>
      <w:pPr>
        <w:spacing w:after="0"/>
      </w:pPr>
    </w:p>
    <w:p>
      <w:pPr>
        <w:spacing w:before="60" w:after="220"/>
      </w:pPr>
      <w:r>
        <w:rPr>
          <w:b/>
          <w:color w:val="1F3F63"/>
          <w:sz w:val="17"/>
        </w:rPr>
        <w:t xml:space="preserve">Table 12. </w:t>
      </w:r>
      <w:r>
        <w:rPr>
          <w:rFonts w:cs="Loma"/>
          <w:color w:val="4A5B6B"/>
          <w:sz w:val="17"/>
        </w:rPr>
        <w:t>The ten busiest redirect sources in the gambling estate.</w:t>
      </w:r>
    </w:p>
    <w:p>
      <w:r>
        <w:br w:type="page"/>
      </w:r>
    </w:p>
    <w:p>
      <w:pPr>
        <w:pStyle w:val="Heading1"/>
      </w:pPr>
      <w:r>
        <w:t>5  Ranking</w:t>
      </w:r>
    </w:p>
    <w:p>
      <w:pPr>
        <w:spacing w:after="120"/>
      </w:pPr>
      <w:r>
        <w:rPr>
          <w:rFonts w:cs="Loma"/>
          <w:i w:val="0"/>
          <w:color w:val="22303C"/>
          <w:sz w:val="21"/>
        </w:rPr>
        <w:t>374 gambling sites carried a numeric rank. The fifteen highest-ranked are listed below; a lower rank number means a more visible site.</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1928"/>
        <w:gridCol w:w="1928"/>
        <w:gridCol w:w="1928"/>
        <w:gridCol w:w="1928"/>
        <w:gridCol w:w="1928"/>
      </w:tblGrid>
      <w:tr>
        <w:tc>
          <w:tcPr>
            <w:tcW w:type="dxa" w:w="1134"/>
            <w:shd w:val="clear" w:fill="1F3F63"/>
          </w:tcPr>
          <w:p>
            <w:pPr>
              <w:spacing w:after="40" w:before="40"/>
              <w:jc w:val="right"/>
            </w:pPr>
            <w:r/>
            <w:r>
              <w:rPr>
                <w:rFonts w:ascii="Calibri" w:hAnsi="Calibri" w:cs="Loma"/>
                <w:b/>
                <w:color w:val="FFFFFF"/>
                <w:sz w:val="17"/>
              </w:rPr>
              <w:t>Rank</w:t>
            </w:r>
          </w:p>
        </w:tc>
        <w:tc>
          <w:tcPr>
            <w:tcW w:type="dxa" w:w="3288"/>
            <w:shd w:val="clear" w:fill="1F3F63"/>
          </w:tcPr>
          <w:p>
            <w:pPr>
              <w:spacing w:after="40" w:before="40"/>
            </w:pPr>
            <w:r/>
            <w:r>
              <w:rPr>
                <w:rFonts w:ascii="Calibri" w:hAnsi="Calibri" w:cs="Loma"/>
                <w:b/>
                <w:color w:val="FFFFFF"/>
                <w:sz w:val="17"/>
              </w:rPr>
              <w:t>Domain</w:t>
            </w:r>
          </w:p>
        </w:tc>
        <w:tc>
          <w:tcPr>
            <w:tcW w:type="dxa" w:w="1814"/>
            <w:shd w:val="clear" w:fill="1F3F63"/>
          </w:tcPr>
          <w:p>
            <w:pPr>
              <w:spacing w:after="40" w:before="40"/>
            </w:pPr>
            <w:r/>
            <w:r>
              <w:rPr>
                <w:rFonts w:ascii="Calibri" w:hAnsi="Calibri" w:cs="Loma"/>
                <w:b/>
                <w:color w:val="FFFFFF"/>
                <w:sz w:val="17"/>
              </w:rPr>
              <w:t>Cluster</w:t>
            </w:r>
          </w:p>
        </w:tc>
        <w:tc>
          <w:tcPr>
            <w:tcW w:type="dxa" w:w="1928"/>
            <w:shd w:val="clear" w:fill="1F3F63"/>
          </w:tcPr>
          <w:p>
            <w:pPr>
              <w:spacing w:after="40" w:before="40"/>
            </w:pPr>
            <w:r/>
            <w:r>
              <w:rPr>
                <w:rFonts w:ascii="Calibri" w:hAnsi="Calibri" w:cs="Loma"/>
                <w:b/>
                <w:color w:val="FFFFFF"/>
                <w:sz w:val="17"/>
              </w:rPr>
              <w:t>Subcategory</w:t>
            </w:r>
          </w:p>
        </w:tc>
        <w:tc>
          <w:tcPr>
            <w:tcW w:type="dxa" w:w="1474"/>
            <w:shd w:val="clear" w:fill="1F3F63"/>
          </w:tcPr>
          <w:p>
            <w:pPr>
              <w:spacing w:after="40" w:before="40"/>
            </w:pPr>
            <w:r/>
            <w:r>
              <w:rPr>
                <w:rFonts w:ascii="Calibri" w:hAnsi="Calibri" w:cs="Loma"/>
                <w:b/>
                <w:color w:val="FFFFFF"/>
                <w:sz w:val="17"/>
              </w:rPr>
              <w:t>Source</w:t>
            </w:r>
          </w:p>
        </w:tc>
      </w:tr>
      <w:tr>
        <w:tc>
          <w:tcPr>
            <w:tcW w:type="dxa" w:w="1134"/>
          </w:tcPr>
          <w:p>
            <w:pPr>
              <w:spacing w:after="40" w:before="40"/>
              <w:jc w:val="right"/>
            </w:pPr>
            <w:r/>
            <w:r>
              <w:rPr>
                <w:rFonts w:ascii="Calibri" w:hAnsi="Calibri" w:cs="Loma"/>
                <w:b w:val="0"/>
                <w:color w:val="22303C"/>
                <w:sz w:val="17"/>
              </w:rPr>
              <w:t>2,282</w:t>
            </w:r>
          </w:p>
        </w:tc>
        <w:tc>
          <w:tcPr>
            <w:tcW w:type="dxa" w:w="3288"/>
          </w:tcPr>
          <w:p>
            <w:pPr>
              <w:spacing w:after="40" w:before="40"/>
            </w:pPr>
            <w:r/>
            <w:r>
              <w:rPr>
                <w:rFonts w:ascii="Calibri" w:hAnsi="Calibri" w:cs="Loma"/>
                <w:b w:val="0"/>
                <w:color w:val="22303C"/>
                <w:sz w:val="17"/>
              </w:rPr>
              <w:t>polymarket.com</w:t>
            </w:r>
          </w:p>
        </w:tc>
        <w:tc>
          <w:tcPr>
            <w:tcW w:type="dxa" w:w="1814"/>
          </w:tcPr>
          <w:p>
            <w:pPr>
              <w:spacing w:after="40" w:before="40"/>
            </w:pPr>
            <w:r/>
            <w:r>
              <w:rPr>
                <w:rFonts w:ascii="Calibri" w:hAnsi="Calibri" w:cs="Loma"/>
                <w:b w:val="0"/>
                <w:color w:val="22303C"/>
                <w:sz w:val="17"/>
              </w:rPr>
              <w:t>polymarket</w:t>
            </w:r>
          </w:p>
        </w:tc>
        <w:tc>
          <w:tcPr>
            <w:tcW w:type="dxa" w:w="1928"/>
          </w:tcPr>
          <w:p>
            <w:pPr>
              <w:spacing w:after="40" w:before="40"/>
            </w:pPr>
            <w:r/>
            <w:r>
              <w:rPr>
                <w:rFonts w:ascii="Calibri" w:hAnsi="Calibri" w:cs="Loma"/>
                <w:b w:val="0"/>
                <w:color w:val="22303C"/>
                <w:sz w:val="17"/>
              </w:rPr>
              <w:t>General Gambling</w:t>
            </w:r>
          </w:p>
        </w:tc>
        <w:tc>
          <w:tcPr>
            <w:tcW w:type="dxa" w:w="1474"/>
          </w:tcPr>
          <w:p>
            <w:pPr>
              <w:spacing w:after="40" w:before="40"/>
            </w:pPr>
            <w:r/>
            <w:r>
              <w:rPr>
                <w:rFonts w:ascii="Calibri" w:hAnsi="Calibri" w:cs="Loma"/>
                <w:b w:val="0"/>
                <w:color w:val="22303C"/>
                <w:sz w:val="17"/>
              </w:rPr>
              <w:t>Other</w:t>
            </w:r>
          </w:p>
        </w:tc>
      </w:tr>
      <w:tr>
        <w:tc>
          <w:tcPr>
            <w:tcW w:type="dxa" w:w="1134"/>
            <w:shd w:val="clear" w:fill="F4F7FA"/>
          </w:tcPr>
          <w:p>
            <w:pPr>
              <w:spacing w:after="40" w:before="40"/>
              <w:jc w:val="right"/>
            </w:pPr>
            <w:r/>
            <w:r>
              <w:rPr>
                <w:rFonts w:ascii="Calibri" w:hAnsi="Calibri" w:cs="Loma"/>
                <w:b w:val="0"/>
                <w:color w:val="22303C"/>
                <w:sz w:val="17"/>
              </w:rPr>
              <w:t>13,809</w:t>
            </w:r>
          </w:p>
        </w:tc>
        <w:tc>
          <w:tcPr>
            <w:tcW w:type="dxa" w:w="3288"/>
            <w:shd w:val="clear" w:fill="F4F7FA"/>
          </w:tcPr>
          <w:p>
            <w:pPr>
              <w:spacing w:after="40" w:before="40"/>
            </w:pPr>
            <w:r/>
            <w:r>
              <w:rPr>
                <w:rFonts w:ascii="Calibri" w:hAnsi="Calibri" w:cs="Loma"/>
                <w:b w:val="0"/>
                <w:color w:val="22303C"/>
                <w:sz w:val="17"/>
              </w:rPr>
              <w:t>speed-manga.net</w:t>
            </w:r>
          </w:p>
        </w:tc>
        <w:tc>
          <w:tcPr>
            <w:tcW w:type="dxa" w:w="1814"/>
            <w:shd w:val="clear" w:fill="F4F7FA"/>
          </w:tcPr>
          <w:p>
            <w:pPr>
              <w:spacing w:after="40" w:before="40"/>
            </w:pPr>
            <w:r/>
            <w:r>
              <w:rPr>
                <w:rFonts w:ascii="Calibri" w:hAnsi="Calibri" w:cs="Loma"/>
                <w:b w:val="0"/>
                <w:color w:val="22303C"/>
                <w:sz w:val="17"/>
              </w:rPr>
              <w:t>speedmanga</w:t>
            </w:r>
          </w:p>
        </w:tc>
        <w:tc>
          <w:tcPr>
            <w:tcW w:type="dxa" w:w="1928"/>
            <w:shd w:val="clear" w:fill="F4F7FA"/>
          </w:tcPr>
          <w:p>
            <w:pPr>
              <w:spacing w:after="40" w:before="40"/>
            </w:pPr>
            <w:r/>
            <w:r>
              <w:rPr>
                <w:rFonts w:ascii="Calibri" w:hAnsi="Calibri" w:cs="Loma"/>
                <w:b w:val="0"/>
                <w:color w:val="22303C"/>
                <w:sz w:val="17"/>
              </w:rPr>
              <w:t>Lottery</w:t>
            </w:r>
          </w:p>
        </w:tc>
        <w:tc>
          <w:tcPr>
            <w:tcW w:type="dxa" w:w="1474"/>
            <w:shd w:val="clear" w:fill="F4F7FA"/>
          </w:tcPr>
          <w:p>
            <w:pPr>
              <w:spacing w:after="40" w:before="40"/>
            </w:pPr>
            <w:r/>
            <w:r>
              <w:rPr>
                <w:rFonts w:ascii="Calibri" w:hAnsi="Calibri" w:cs="Loma"/>
                <w:b w:val="0"/>
                <w:color w:val="22303C"/>
                <w:sz w:val="17"/>
              </w:rPr>
              <w:t>Manual</w:t>
            </w:r>
          </w:p>
        </w:tc>
      </w:tr>
      <w:tr>
        <w:tc>
          <w:tcPr>
            <w:tcW w:type="dxa" w:w="1134"/>
          </w:tcPr>
          <w:p>
            <w:pPr>
              <w:spacing w:after="40" w:before="40"/>
              <w:jc w:val="right"/>
            </w:pPr>
            <w:r/>
            <w:r>
              <w:rPr>
                <w:rFonts w:ascii="Calibri" w:hAnsi="Calibri" w:cs="Loma"/>
                <w:b w:val="0"/>
                <w:color w:val="22303C"/>
                <w:sz w:val="17"/>
              </w:rPr>
              <w:t>18,261</w:t>
            </w:r>
          </w:p>
        </w:tc>
        <w:tc>
          <w:tcPr>
            <w:tcW w:type="dxa" w:w="3288"/>
          </w:tcPr>
          <w:p>
            <w:pPr>
              <w:spacing w:after="40" w:before="40"/>
            </w:pPr>
            <w:r/>
            <w:r>
              <w:rPr>
                <w:rFonts w:ascii="Calibri" w:hAnsi="Calibri" w:cs="Loma"/>
                <w:b w:val="0"/>
                <w:color w:val="22303C"/>
                <w:sz w:val="17"/>
              </w:rPr>
              <w:t>bwin.com</w:t>
            </w:r>
          </w:p>
        </w:tc>
        <w:tc>
          <w:tcPr>
            <w:tcW w:type="dxa" w:w="1814"/>
          </w:tcPr>
          <w:p>
            <w:pPr>
              <w:spacing w:after="40" w:before="40"/>
            </w:pPr>
            <w:r/>
            <w:r>
              <w:rPr>
                <w:rFonts w:ascii="Calibri" w:hAnsi="Calibri" w:cs="Loma"/>
                <w:b w:val="0"/>
                <w:color w:val="22303C"/>
                <w:sz w:val="17"/>
              </w:rPr>
              <w:t>btw</w:t>
            </w:r>
          </w:p>
        </w:tc>
        <w:tc>
          <w:tcPr>
            <w:tcW w:type="dxa" w:w="1928"/>
          </w:tcPr>
          <w:p>
            <w:pPr>
              <w:spacing w:after="40" w:before="40"/>
            </w:pPr>
            <w:r/>
            <w:r>
              <w:rPr>
                <w:rFonts w:ascii="Calibri" w:hAnsi="Calibri" w:cs="Loma"/>
                <w:b w:val="0"/>
                <w:color w:val="22303C"/>
                <w:sz w:val="17"/>
              </w:rPr>
              <w:t>Football Betting</w:t>
            </w:r>
          </w:p>
        </w:tc>
        <w:tc>
          <w:tcPr>
            <w:tcW w:type="dxa" w:w="1474"/>
          </w:tcPr>
          <w:p>
            <w:pPr>
              <w:spacing w:after="40" w:before="40"/>
            </w:pPr>
            <w:r/>
            <w:r>
              <w:rPr>
                <w:rFonts w:ascii="Calibri" w:hAnsi="Calibri" w:cs="Loma"/>
                <w:b w:val="0"/>
                <w:color w:val="22303C"/>
                <w:sz w:val="17"/>
              </w:rPr>
              <w:t>Variant</w:t>
            </w:r>
          </w:p>
        </w:tc>
      </w:tr>
      <w:tr>
        <w:tc>
          <w:tcPr>
            <w:tcW w:type="dxa" w:w="1134"/>
            <w:shd w:val="clear" w:fill="F4F7FA"/>
          </w:tcPr>
          <w:p>
            <w:pPr>
              <w:spacing w:after="40" w:before="40"/>
              <w:jc w:val="right"/>
            </w:pPr>
            <w:r/>
            <w:r>
              <w:rPr>
                <w:rFonts w:ascii="Calibri" w:hAnsi="Calibri" w:cs="Loma"/>
                <w:b w:val="0"/>
                <w:color w:val="22303C"/>
                <w:sz w:val="17"/>
              </w:rPr>
              <w:t>21,603</w:t>
            </w:r>
          </w:p>
        </w:tc>
        <w:tc>
          <w:tcPr>
            <w:tcW w:type="dxa" w:w="3288"/>
            <w:shd w:val="clear" w:fill="F4F7FA"/>
          </w:tcPr>
          <w:p>
            <w:pPr>
              <w:spacing w:after="40" w:before="40"/>
            </w:pPr>
            <w:r/>
            <w:r>
              <w:rPr>
                <w:rFonts w:ascii="Calibri" w:hAnsi="Calibri" w:cs="Loma"/>
                <w:b w:val="0"/>
                <w:color w:val="22303C"/>
                <w:sz w:val="17"/>
              </w:rPr>
              <w:t>casino.com</w:t>
            </w:r>
          </w:p>
        </w:tc>
        <w:tc>
          <w:tcPr>
            <w:tcW w:type="dxa" w:w="1814"/>
            <w:shd w:val="clear" w:fill="F4F7FA"/>
          </w:tcPr>
          <w:p>
            <w:pPr>
              <w:spacing w:after="40" w:before="40"/>
            </w:pPr>
            <w:r/>
            <w:r>
              <w:rPr>
                <w:rFonts w:ascii="Calibri" w:hAnsi="Calibri" w:cs="Loma"/>
                <w:b w:val="0"/>
                <w:color w:val="22303C"/>
                <w:sz w:val="17"/>
              </w:rPr>
              <w:t>casino</w:t>
            </w:r>
          </w:p>
        </w:tc>
        <w:tc>
          <w:tcPr>
            <w:tcW w:type="dxa" w:w="1928"/>
            <w:shd w:val="clear" w:fill="F4F7FA"/>
          </w:tcPr>
          <w:p>
            <w:pPr>
              <w:spacing w:after="40" w:before="40"/>
            </w:pPr>
            <w:r/>
            <w:r>
              <w:rPr>
                <w:rFonts w:ascii="Calibri" w:hAnsi="Calibri" w:cs="Loma"/>
                <w:b w:val="0"/>
                <w:color w:val="22303C"/>
                <w:sz w:val="17"/>
              </w:rPr>
              <w:t>Casino</w:t>
            </w:r>
          </w:p>
        </w:tc>
        <w:tc>
          <w:tcPr>
            <w:tcW w:type="dxa" w:w="1474"/>
            <w:shd w:val="clear" w:fill="F4F7FA"/>
          </w:tcPr>
          <w:p>
            <w:pPr>
              <w:spacing w:after="40" w:before="40"/>
            </w:pPr>
            <w:r/>
            <w:r>
              <w:rPr>
                <w:rFonts w:ascii="Calibri" w:hAnsi="Calibri" w:cs="Loma"/>
                <w:b w:val="0"/>
                <w:color w:val="22303C"/>
                <w:sz w:val="17"/>
              </w:rPr>
              <w:t>Manual</w:t>
            </w:r>
          </w:p>
        </w:tc>
      </w:tr>
      <w:tr>
        <w:tc>
          <w:tcPr>
            <w:tcW w:type="dxa" w:w="1134"/>
          </w:tcPr>
          <w:p>
            <w:pPr>
              <w:spacing w:after="40" w:before="40"/>
              <w:jc w:val="right"/>
            </w:pPr>
            <w:r/>
            <w:r>
              <w:rPr>
                <w:rFonts w:ascii="Calibri" w:hAnsi="Calibri" w:cs="Loma"/>
                <w:b w:val="0"/>
                <w:color w:val="22303C"/>
                <w:sz w:val="17"/>
              </w:rPr>
              <w:t>36,241</w:t>
            </w:r>
          </w:p>
        </w:tc>
        <w:tc>
          <w:tcPr>
            <w:tcW w:type="dxa" w:w="3288"/>
          </w:tcPr>
          <w:p>
            <w:pPr>
              <w:spacing w:after="40" w:before="40"/>
            </w:pPr>
            <w:r/>
            <w:r>
              <w:rPr>
                <w:rFonts w:ascii="Calibri" w:hAnsi="Calibri" w:cs="Loma"/>
                <w:b w:val="0"/>
                <w:color w:val="22303C"/>
                <w:sz w:val="17"/>
              </w:rPr>
              <w:t>khonbafutbon.com</w:t>
            </w:r>
          </w:p>
        </w:tc>
        <w:tc>
          <w:tcPr>
            <w:tcW w:type="dxa" w:w="1814"/>
          </w:tcPr>
          <w:p>
            <w:pPr>
              <w:spacing w:after="40" w:before="40"/>
            </w:pPr>
            <w:r/>
            <w:r>
              <w:rPr>
                <w:rFonts w:ascii="Calibri" w:hAnsi="Calibri" w:cs="Loma"/>
                <w:b w:val="0"/>
                <w:color w:val="22303C"/>
                <w:sz w:val="17"/>
              </w:rPr>
              <w:t>sbobet</w:t>
            </w:r>
          </w:p>
        </w:tc>
        <w:tc>
          <w:tcPr>
            <w:tcW w:type="dxa" w:w="1928"/>
          </w:tcPr>
          <w:p>
            <w:pPr>
              <w:spacing w:after="40" w:before="40"/>
            </w:pPr>
            <w:r/>
            <w:r>
              <w:rPr>
                <w:rFonts w:ascii="Calibri" w:hAnsi="Calibri" w:cs="Loma"/>
                <w:b w:val="0"/>
                <w:color w:val="22303C"/>
                <w:sz w:val="17"/>
              </w:rPr>
              <w:t>Football Betting</w:t>
            </w:r>
          </w:p>
        </w:tc>
        <w:tc>
          <w:tcPr>
            <w:tcW w:type="dxa" w:w="1474"/>
          </w:tcPr>
          <w:p>
            <w:pPr>
              <w:spacing w:after="40" w:before="40"/>
            </w:pPr>
            <w:r/>
            <w:r>
              <w:rPr>
                <w:rFonts w:ascii="Calibri" w:hAnsi="Calibri" w:cs="Loma"/>
                <w:b w:val="0"/>
                <w:color w:val="22303C"/>
                <w:sz w:val="17"/>
              </w:rPr>
              <w:t>Redirect</w:t>
            </w:r>
          </w:p>
        </w:tc>
      </w:tr>
      <w:tr>
        <w:tc>
          <w:tcPr>
            <w:tcW w:type="dxa" w:w="1134"/>
            <w:shd w:val="clear" w:fill="F4F7FA"/>
          </w:tcPr>
          <w:p>
            <w:pPr>
              <w:spacing w:after="40" w:before="40"/>
              <w:jc w:val="right"/>
            </w:pPr>
            <w:r/>
            <w:r>
              <w:rPr>
                <w:rFonts w:ascii="Calibri" w:hAnsi="Calibri" w:cs="Loma"/>
                <w:b w:val="0"/>
                <w:color w:val="22303C"/>
                <w:sz w:val="17"/>
              </w:rPr>
              <w:t>36,241</w:t>
            </w:r>
          </w:p>
        </w:tc>
        <w:tc>
          <w:tcPr>
            <w:tcW w:type="dxa" w:w="3288"/>
            <w:shd w:val="clear" w:fill="F4F7FA"/>
          </w:tcPr>
          <w:p>
            <w:pPr>
              <w:spacing w:after="40" w:before="40"/>
            </w:pPr>
            <w:r/>
            <w:r>
              <w:rPr>
                <w:rFonts w:ascii="Calibri" w:hAnsi="Calibri" w:cs="Loma"/>
                <w:b w:val="0"/>
                <w:color w:val="22303C"/>
                <w:sz w:val="17"/>
              </w:rPr>
              <w:t>sbobet.com</w:t>
            </w:r>
          </w:p>
        </w:tc>
        <w:tc>
          <w:tcPr>
            <w:tcW w:type="dxa" w:w="1814"/>
            <w:shd w:val="clear" w:fill="F4F7FA"/>
          </w:tcPr>
          <w:p>
            <w:pPr>
              <w:spacing w:after="40" w:before="40"/>
            </w:pPr>
            <w:r/>
            <w:r>
              <w:rPr>
                <w:rFonts w:ascii="Calibri" w:hAnsi="Calibri" w:cs="Loma"/>
                <w:b w:val="0"/>
                <w:color w:val="22303C"/>
                <w:sz w:val="17"/>
              </w:rPr>
              <w:t>sbobet</w:t>
            </w:r>
          </w:p>
        </w:tc>
        <w:tc>
          <w:tcPr>
            <w:tcW w:type="dxa" w:w="1928"/>
            <w:shd w:val="clear" w:fill="F4F7FA"/>
          </w:tcPr>
          <w:p>
            <w:pPr>
              <w:spacing w:after="40" w:before="40"/>
            </w:pPr>
            <w:r/>
            <w:r>
              <w:rPr>
                <w:rFonts w:ascii="Calibri" w:hAnsi="Calibri" w:cs="Loma"/>
                <w:b w:val="0"/>
                <w:color w:val="22303C"/>
                <w:sz w:val="17"/>
              </w:rPr>
              <w:t>Football Betting</w:t>
            </w:r>
          </w:p>
        </w:tc>
        <w:tc>
          <w:tcPr>
            <w:tcW w:type="dxa" w:w="1474"/>
            <w:shd w:val="clear" w:fill="F4F7FA"/>
          </w:tcPr>
          <w:p>
            <w:pPr>
              <w:spacing w:after="40" w:before="40"/>
            </w:pPr>
            <w:r/>
            <w:r>
              <w:rPr>
                <w:rFonts w:ascii="Calibri" w:hAnsi="Calibri" w:cs="Loma"/>
                <w:b w:val="0"/>
                <w:color w:val="22303C"/>
                <w:sz w:val="17"/>
              </w:rPr>
              <w:t>Manual</w:t>
            </w:r>
          </w:p>
        </w:tc>
      </w:tr>
      <w:tr>
        <w:tc>
          <w:tcPr>
            <w:tcW w:type="dxa" w:w="1134"/>
          </w:tcPr>
          <w:p>
            <w:pPr>
              <w:spacing w:after="40" w:before="40"/>
              <w:jc w:val="right"/>
            </w:pPr>
            <w:r/>
            <w:r>
              <w:rPr>
                <w:rFonts w:ascii="Calibri" w:hAnsi="Calibri" w:cs="Loma"/>
                <w:b w:val="0"/>
                <w:color w:val="22303C"/>
                <w:sz w:val="17"/>
              </w:rPr>
              <w:t>61,164</w:t>
            </w:r>
          </w:p>
        </w:tc>
        <w:tc>
          <w:tcPr>
            <w:tcW w:type="dxa" w:w="3288"/>
          </w:tcPr>
          <w:p>
            <w:pPr>
              <w:spacing w:after="40" w:before="40"/>
            </w:pPr>
            <w:r/>
            <w:r>
              <w:rPr>
                <w:rFonts w:ascii="Calibri" w:hAnsi="Calibri" w:cs="Loma"/>
                <w:b w:val="0"/>
                <w:color w:val="22303C"/>
                <w:sz w:val="17"/>
              </w:rPr>
              <w:t>dafabet.com</w:t>
            </w:r>
          </w:p>
        </w:tc>
        <w:tc>
          <w:tcPr>
            <w:tcW w:type="dxa" w:w="1814"/>
          </w:tcPr>
          <w:p>
            <w:pPr>
              <w:spacing w:after="40" w:before="40"/>
            </w:pPr>
            <w:r/>
            <w:r>
              <w:rPr>
                <w:rFonts w:ascii="Calibri" w:hAnsi="Calibri" w:cs="Loma"/>
                <w:b w:val="0"/>
                <w:color w:val="22303C"/>
                <w:sz w:val="17"/>
              </w:rPr>
              <w:t>dafabet</w:t>
            </w:r>
          </w:p>
        </w:tc>
        <w:tc>
          <w:tcPr>
            <w:tcW w:type="dxa" w:w="1928"/>
          </w:tcPr>
          <w:p>
            <w:pPr>
              <w:spacing w:after="40" w:before="40"/>
            </w:pPr>
            <w:r/>
            <w:r>
              <w:rPr>
                <w:rFonts w:ascii="Calibri" w:hAnsi="Calibri" w:cs="Loma"/>
                <w:b w:val="0"/>
                <w:color w:val="22303C"/>
                <w:sz w:val="17"/>
              </w:rPr>
              <w:t>Casino</w:t>
            </w:r>
          </w:p>
        </w:tc>
        <w:tc>
          <w:tcPr>
            <w:tcW w:type="dxa" w:w="1474"/>
          </w:tcPr>
          <w:p>
            <w:pPr>
              <w:spacing w:after="40" w:before="40"/>
            </w:pPr>
            <w:r/>
            <w:r>
              <w:rPr>
                <w:rFonts w:ascii="Calibri" w:hAnsi="Calibri" w:cs="Loma"/>
                <w:b w:val="0"/>
                <w:color w:val="22303C"/>
                <w:sz w:val="17"/>
              </w:rPr>
              <w:t>Manual</w:t>
            </w:r>
          </w:p>
        </w:tc>
      </w:tr>
      <w:tr>
        <w:tc>
          <w:tcPr>
            <w:tcW w:type="dxa" w:w="1134"/>
            <w:shd w:val="clear" w:fill="F4F7FA"/>
          </w:tcPr>
          <w:p>
            <w:pPr>
              <w:spacing w:after="40" w:before="40"/>
              <w:jc w:val="right"/>
            </w:pPr>
            <w:r/>
            <w:r>
              <w:rPr>
                <w:rFonts w:ascii="Calibri" w:hAnsi="Calibri" w:cs="Loma"/>
                <w:b w:val="0"/>
                <w:color w:val="22303C"/>
                <w:sz w:val="17"/>
              </w:rPr>
              <w:t>77,632</w:t>
            </w:r>
          </w:p>
        </w:tc>
        <w:tc>
          <w:tcPr>
            <w:tcW w:type="dxa" w:w="3288"/>
            <w:shd w:val="clear" w:fill="F4F7FA"/>
          </w:tcPr>
          <w:p>
            <w:pPr>
              <w:spacing w:after="40" w:before="40"/>
            </w:pPr>
            <w:r/>
            <w:r>
              <w:rPr>
                <w:rFonts w:ascii="Calibri" w:hAnsi="Calibri" w:cs="Loma"/>
                <w:b w:val="0"/>
                <w:color w:val="22303C"/>
                <w:sz w:val="17"/>
              </w:rPr>
              <w:t>5gbet.com</w:t>
            </w:r>
          </w:p>
        </w:tc>
        <w:tc>
          <w:tcPr>
            <w:tcW w:type="dxa" w:w="1814"/>
            <w:shd w:val="clear" w:fill="F4F7FA"/>
          </w:tcPr>
          <w:p>
            <w:pPr>
              <w:spacing w:after="40" w:before="40"/>
            </w:pPr>
            <w:r/>
            <w:r>
              <w:rPr>
                <w:rFonts w:ascii="Calibri" w:hAnsi="Calibri" w:cs="Loma"/>
                <w:b w:val="0"/>
                <w:color w:val="22303C"/>
                <w:sz w:val="17"/>
              </w:rPr>
              <w:t>5mgbet</w:t>
            </w:r>
          </w:p>
        </w:tc>
        <w:tc>
          <w:tcPr>
            <w:tcW w:type="dxa" w:w="1928"/>
            <w:shd w:val="clear" w:fill="F4F7FA"/>
          </w:tcPr>
          <w:p>
            <w:pPr>
              <w:spacing w:after="40" w:before="40"/>
            </w:pPr>
            <w:r/>
            <w:r>
              <w:rPr>
                <w:rFonts w:ascii="Calibri" w:hAnsi="Calibri" w:cs="Loma"/>
                <w:b w:val="0"/>
                <w:color w:val="22303C"/>
                <w:sz w:val="17"/>
              </w:rPr>
              <w:t>General Gambling</w:t>
            </w:r>
          </w:p>
        </w:tc>
        <w:tc>
          <w:tcPr>
            <w:tcW w:type="dxa" w:w="1474"/>
            <w:shd w:val="clear" w:fill="F4F7FA"/>
          </w:tcPr>
          <w:p>
            <w:pPr>
              <w:spacing w:after="40" w:before="40"/>
            </w:pPr>
            <w:r/>
            <w:r>
              <w:rPr>
                <w:rFonts w:ascii="Calibri" w:hAnsi="Calibri" w:cs="Loma"/>
                <w:b w:val="0"/>
                <w:color w:val="22303C"/>
                <w:sz w:val="17"/>
              </w:rPr>
              <w:t>Variant</w:t>
            </w:r>
          </w:p>
        </w:tc>
      </w:tr>
      <w:tr>
        <w:tc>
          <w:tcPr>
            <w:tcW w:type="dxa" w:w="1134"/>
          </w:tcPr>
          <w:p>
            <w:pPr>
              <w:spacing w:after="40" w:before="40"/>
              <w:jc w:val="right"/>
            </w:pPr>
            <w:r/>
            <w:r>
              <w:rPr>
                <w:rFonts w:ascii="Calibri" w:hAnsi="Calibri" w:cs="Loma"/>
                <w:b w:val="0"/>
                <w:color w:val="22303C"/>
                <w:sz w:val="17"/>
              </w:rPr>
              <w:t>78,229</w:t>
            </w:r>
          </w:p>
        </w:tc>
        <w:tc>
          <w:tcPr>
            <w:tcW w:type="dxa" w:w="3288"/>
          </w:tcPr>
          <w:p>
            <w:pPr>
              <w:spacing w:after="40" w:before="40"/>
            </w:pPr>
            <w:r/>
            <w:r>
              <w:rPr>
                <w:rFonts w:ascii="Calibri" w:hAnsi="Calibri" w:cs="Loma"/>
                <w:b w:val="0"/>
                <w:color w:val="22303C"/>
                <w:sz w:val="17"/>
              </w:rPr>
              <w:t>lottovip.com</w:t>
            </w:r>
          </w:p>
        </w:tc>
        <w:tc>
          <w:tcPr>
            <w:tcW w:type="dxa" w:w="1814"/>
          </w:tcPr>
          <w:p>
            <w:pPr>
              <w:spacing w:after="40" w:before="40"/>
            </w:pPr>
            <w:r/>
            <w:r>
              <w:rPr>
                <w:rFonts w:ascii="Calibri" w:hAnsi="Calibri" w:cs="Loma"/>
                <w:b w:val="0"/>
                <w:color w:val="22303C"/>
                <w:sz w:val="17"/>
              </w:rPr>
              <w:t>lott</w:t>
            </w:r>
          </w:p>
        </w:tc>
        <w:tc>
          <w:tcPr>
            <w:tcW w:type="dxa" w:w="1928"/>
          </w:tcPr>
          <w:p>
            <w:pPr>
              <w:spacing w:after="40" w:before="40"/>
            </w:pPr>
            <w:r/>
            <w:r>
              <w:rPr>
                <w:rFonts w:ascii="Calibri" w:hAnsi="Calibri" w:cs="Loma"/>
                <w:b w:val="0"/>
                <w:color w:val="22303C"/>
                <w:sz w:val="17"/>
              </w:rPr>
              <w:t>Lottery</w:t>
            </w:r>
          </w:p>
        </w:tc>
        <w:tc>
          <w:tcPr>
            <w:tcW w:type="dxa" w:w="1474"/>
          </w:tcPr>
          <w:p>
            <w:pPr>
              <w:spacing w:after="40" w:before="40"/>
            </w:pPr>
            <w:r/>
            <w:r>
              <w:rPr>
                <w:rFonts w:ascii="Calibri" w:hAnsi="Calibri" w:cs="Loma"/>
                <w:b w:val="0"/>
                <w:color w:val="22303C"/>
                <w:sz w:val="17"/>
              </w:rPr>
              <w:t>Other</w:t>
            </w:r>
          </w:p>
        </w:tc>
      </w:tr>
      <w:tr>
        <w:tc>
          <w:tcPr>
            <w:tcW w:type="dxa" w:w="1134"/>
            <w:shd w:val="clear" w:fill="F4F7FA"/>
          </w:tcPr>
          <w:p>
            <w:pPr>
              <w:spacing w:after="40" w:before="40"/>
              <w:jc w:val="right"/>
            </w:pPr>
            <w:r/>
            <w:r>
              <w:rPr>
                <w:rFonts w:ascii="Calibri" w:hAnsi="Calibri" w:cs="Loma"/>
                <w:b w:val="0"/>
                <w:color w:val="22303C"/>
                <w:sz w:val="17"/>
              </w:rPr>
              <w:t>87,599</w:t>
            </w:r>
          </w:p>
        </w:tc>
        <w:tc>
          <w:tcPr>
            <w:tcW w:type="dxa" w:w="3288"/>
            <w:shd w:val="clear" w:fill="F4F7FA"/>
          </w:tcPr>
          <w:p>
            <w:pPr>
              <w:spacing w:after="40" w:before="40"/>
            </w:pPr>
            <w:r/>
            <w:r>
              <w:rPr>
                <w:rFonts w:ascii="Calibri" w:hAnsi="Calibri" w:cs="Loma"/>
                <w:b w:val="0"/>
                <w:color w:val="22303C"/>
                <w:sz w:val="17"/>
              </w:rPr>
              <w:t>mgbet.com</w:t>
            </w:r>
          </w:p>
        </w:tc>
        <w:tc>
          <w:tcPr>
            <w:tcW w:type="dxa" w:w="1814"/>
            <w:shd w:val="clear" w:fill="F4F7FA"/>
          </w:tcPr>
          <w:p>
            <w:pPr>
              <w:spacing w:after="40" w:before="40"/>
            </w:pPr>
            <w:r/>
            <w:r>
              <w:rPr>
                <w:rFonts w:ascii="Calibri" w:hAnsi="Calibri" w:cs="Loma"/>
                <w:b w:val="0"/>
                <w:color w:val="22303C"/>
                <w:sz w:val="17"/>
              </w:rPr>
              <w:t>mgbet</w:t>
            </w:r>
          </w:p>
        </w:tc>
        <w:tc>
          <w:tcPr>
            <w:tcW w:type="dxa" w:w="1928"/>
            <w:shd w:val="clear" w:fill="F4F7FA"/>
          </w:tcPr>
          <w:p>
            <w:pPr>
              <w:spacing w:after="40" w:before="40"/>
            </w:pPr>
            <w:r/>
            <w:r>
              <w:rPr>
                <w:rFonts w:ascii="Calibri" w:hAnsi="Calibri" w:cs="Loma"/>
                <w:b w:val="0"/>
                <w:color w:val="22303C"/>
                <w:sz w:val="17"/>
              </w:rPr>
              <w:t>General Gambling</w:t>
            </w:r>
          </w:p>
        </w:tc>
        <w:tc>
          <w:tcPr>
            <w:tcW w:type="dxa" w:w="1474"/>
            <w:shd w:val="clear" w:fill="F4F7FA"/>
          </w:tcPr>
          <w:p>
            <w:pPr>
              <w:spacing w:after="40" w:before="40"/>
            </w:pPr>
            <w:r/>
            <w:r>
              <w:rPr>
                <w:rFonts w:ascii="Calibri" w:hAnsi="Calibri" w:cs="Loma"/>
                <w:b w:val="0"/>
                <w:color w:val="22303C"/>
                <w:sz w:val="17"/>
              </w:rPr>
              <w:t>Variant</w:t>
            </w:r>
          </w:p>
        </w:tc>
      </w:tr>
      <w:tr>
        <w:tc>
          <w:tcPr>
            <w:tcW w:type="dxa" w:w="1134"/>
          </w:tcPr>
          <w:p>
            <w:pPr>
              <w:spacing w:after="40" w:before="40"/>
              <w:jc w:val="right"/>
            </w:pPr>
            <w:r/>
            <w:r>
              <w:rPr>
                <w:rFonts w:ascii="Calibri" w:hAnsi="Calibri" w:cs="Loma"/>
                <w:b w:val="0"/>
                <w:color w:val="22303C"/>
                <w:sz w:val="17"/>
              </w:rPr>
              <w:t>88,727</w:t>
            </w:r>
          </w:p>
        </w:tc>
        <w:tc>
          <w:tcPr>
            <w:tcW w:type="dxa" w:w="3288"/>
          </w:tcPr>
          <w:p>
            <w:pPr>
              <w:spacing w:after="40" w:before="40"/>
            </w:pPr>
            <w:r/>
            <w:r>
              <w:rPr>
                <w:rFonts w:ascii="Calibri" w:hAnsi="Calibri" w:cs="Loma"/>
                <w:b w:val="0"/>
                <w:color w:val="22303C"/>
                <w:sz w:val="17"/>
              </w:rPr>
              <w:t>gbets.in</w:t>
            </w:r>
          </w:p>
        </w:tc>
        <w:tc>
          <w:tcPr>
            <w:tcW w:type="dxa" w:w="1814"/>
          </w:tcPr>
          <w:p>
            <w:pPr>
              <w:spacing w:after="40" w:before="40"/>
            </w:pPr>
            <w:r/>
            <w:r>
              <w:rPr>
                <w:rFonts w:ascii="Calibri" w:hAnsi="Calibri" w:cs="Loma"/>
                <w:b w:val="0"/>
                <w:color w:val="22303C"/>
                <w:sz w:val="17"/>
              </w:rPr>
              <w:t>gnbet</w:t>
            </w:r>
          </w:p>
        </w:tc>
        <w:tc>
          <w:tcPr>
            <w:tcW w:type="dxa" w:w="1928"/>
          </w:tcPr>
          <w:p>
            <w:pPr>
              <w:spacing w:after="40" w:before="40"/>
            </w:pPr>
            <w:r/>
            <w:r>
              <w:rPr>
                <w:rFonts w:ascii="Calibri" w:hAnsi="Calibri" w:cs="Loma"/>
                <w:b w:val="0"/>
                <w:color w:val="22303C"/>
                <w:sz w:val="17"/>
              </w:rPr>
              <w:t>Slots</w:t>
            </w:r>
          </w:p>
        </w:tc>
        <w:tc>
          <w:tcPr>
            <w:tcW w:type="dxa" w:w="1474"/>
          </w:tcPr>
          <w:p>
            <w:pPr>
              <w:spacing w:after="40" w:before="40"/>
            </w:pPr>
            <w:r/>
            <w:r>
              <w:rPr>
                <w:rFonts w:ascii="Calibri" w:hAnsi="Calibri" w:cs="Loma"/>
                <w:b w:val="0"/>
                <w:color w:val="22303C"/>
                <w:sz w:val="17"/>
              </w:rPr>
              <w:t>Variant</w:t>
            </w:r>
          </w:p>
        </w:tc>
      </w:tr>
      <w:tr>
        <w:tc>
          <w:tcPr>
            <w:tcW w:type="dxa" w:w="1134"/>
            <w:shd w:val="clear" w:fill="F4F7FA"/>
          </w:tcPr>
          <w:p>
            <w:pPr>
              <w:spacing w:after="40" w:before="40"/>
              <w:jc w:val="right"/>
            </w:pPr>
            <w:r/>
            <w:r>
              <w:rPr>
                <w:rFonts w:ascii="Calibri" w:hAnsi="Calibri" w:cs="Loma"/>
                <w:b w:val="0"/>
                <w:color w:val="22303C"/>
                <w:sz w:val="17"/>
              </w:rPr>
              <w:t>90,304</w:t>
            </w:r>
          </w:p>
        </w:tc>
        <w:tc>
          <w:tcPr>
            <w:tcW w:type="dxa" w:w="3288"/>
            <w:shd w:val="clear" w:fill="F4F7FA"/>
          </w:tcPr>
          <w:p>
            <w:pPr>
              <w:spacing w:after="40" w:before="40"/>
            </w:pPr>
            <w:r/>
            <w:r>
              <w:rPr>
                <w:rFonts w:ascii="Calibri" w:hAnsi="Calibri" w:cs="Loma"/>
                <w:b w:val="0"/>
                <w:color w:val="22303C"/>
                <w:sz w:val="17"/>
              </w:rPr>
              <w:t>lottovip.bet</w:t>
            </w:r>
          </w:p>
        </w:tc>
        <w:tc>
          <w:tcPr>
            <w:tcW w:type="dxa" w:w="1814"/>
            <w:shd w:val="clear" w:fill="F4F7FA"/>
          </w:tcPr>
          <w:p>
            <w:pPr>
              <w:spacing w:after="40" w:before="40"/>
            </w:pPr>
            <w:r/>
            <w:r>
              <w:rPr>
                <w:rFonts w:ascii="Calibri" w:hAnsi="Calibri" w:cs="Loma"/>
                <w:b w:val="0"/>
                <w:color w:val="22303C"/>
                <w:sz w:val="17"/>
              </w:rPr>
              <w:t>lott</w:t>
            </w:r>
          </w:p>
        </w:tc>
        <w:tc>
          <w:tcPr>
            <w:tcW w:type="dxa" w:w="1928"/>
            <w:shd w:val="clear" w:fill="F4F7FA"/>
          </w:tcPr>
          <w:p>
            <w:pPr>
              <w:spacing w:after="40" w:before="40"/>
            </w:pPr>
            <w:r/>
            <w:r>
              <w:rPr>
                <w:rFonts w:ascii="Calibri" w:hAnsi="Calibri" w:cs="Loma"/>
                <w:b w:val="0"/>
                <w:color w:val="22303C"/>
                <w:sz w:val="17"/>
              </w:rPr>
              <w:t>Lottery</w:t>
            </w:r>
          </w:p>
        </w:tc>
        <w:tc>
          <w:tcPr>
            <w:tcW w:type="dxa" w:w="1474"/>
            <w:shd w:val="clear" w:fill="F4F7FA"/>
          </w:tcPr>
          <w:p>
            <w:pPr>
              <w:spacing w:after="40" w:before="40"/>
            </w:pPr>
            <w:r/>
            <w:r>
              <w:rPr>
                <w:rFonts w:ascii="Calibri" w:hAnsi="Calibri" w:cs="Loma"/>
                <w:b w:val="0"/>
                <w:color w:val="22303C"/>
                <w:sz w:val="17"/>
              </w:rPr>
              <w:t>Variant</w:t>
            </w:r>
          </w:p>
        </w:tc>
      </w:tr>
      <w:tr>
        <w:tc>
          <w:tcPr>
            <w:tcW w:type="dxa" w:w="1134"/>
          </w:tcPr>
          <w:p>
            <w:pPr>
              <w:spacing w:after="40" w:before="40"/>
              <w:jc w:val="right"/>
            </w:pPr>
            <w:r/>
            <w:r>
              <w:rPr>
                <w:rFonts w:ascii="Calibri" w:hAnsi="Calibri" w:cs="Loma"/>
                <w:b w:val="0"/>
                <w:color w:val="22303C"/>
                <w:sz w:val="17"/>
              </w:rPr>
              <w:t>93,196</w:t>
            </w:r>
          </w:p>
        </w:tc>
        <w:tc>
          <w:tcPr>
            <w:tcW w:type="dxa" w:w="3288"/>
          </w:tcPr>
          <w:p>
            <w:pPr>
              <w:spacing w:after="40" w:before="40"/>
            </w:pPr>
            <w:r/>
            <w:r>
              <w:rPr>
                <w:rFonts w:ascii="Calibri" w:hAnsi="Calibri" w:cs="Loma"/>
                <w:b w:val="0"/>
                <w:color w:val="22303C"/>
                <w:sz w:val="17"/>
              </w:rPr>
              <w:t>jlbet.co</w:t>
            </w:r>
          </w:p>
        </w:tc>
        <w:tc>
          <w:tcPr>
            <w:tcW w:type="dxa" w:w="1814"/>
          </w:tcPr>
          <w:p>
            <w:pPr>
              <w:spacing w:after="40" w:before="40"/>
            </w:pPr>
            <w:r/>
            <w:r>
              <w:rPr>
                <w:rFonts w:ascii="Calibri" w:hAnsi="Calibri" w:cs="Loma"/>
                <w:b w:val="0"/>
                <w:color w:val="22303C"/>
                <w:sz w:val="17"/>
              </w:rPr>
              <w:t>ilbet</w:t>
            </w:r>
          </w:p>
        </w:tc>
        <w:tc>
          <w:tcPr>
            <w:tcW w:type="dxa" w:w="1928"/>
          </w:tcPr>
          <w:p>
            <w:pPr>
              <w:spacing w:after="40" w:before="40"/>
            </w:pPr>
            <w:r/>
            <w:r>
              <w:rPr>
                <w:rFonts w:ascii="Calibri" w:hAnsi="Calibri" w:cs="Loma"/>
                <w:b w:val="0"/>
                <w:color w:val="22303C"/>
                <w:sz w:val="17"/>
              </w:rPr>
              <w:t>Slots</w:t>
            </w:r>
          </w:p>
        </w:tc>
        <w:tc>
          <w:tcPr>
            <w:tcW w:type="dxa" w:w="1474"/>
          </w:tcPr>
          <w:p>
            <w:pPr>
              <w:spacing w:after="40" w:before="40"/>
            </w:pPr>
            <w:r/>
            <w:r>
              <w:rPr>
                <w:rFonts w:ascii="Calibri" w:hAnsi="Calibri" w:cs="Loma"/>
                <w:b w:val="0"/>
                <w:color w:val="22303C"/>
                <w:sz w:val="17"/>
              </w:rPr>
              <w:t>Variant</w:t>
            </w:r>
          </w:p>
        </w:tc>
      </w:tr>
      <w:tr>
        <w:tc>
          <w:tcPr>
            <w:tcW w:type="dxa" w:w="1134"/>
            <w:shd w:val="clear" w:fill="F4F7FA"/>
          </w:tcPr>
          <w:p>
            <w:pPr>
              <w:spacing w:after="40" w:before="40"/>
              <w:jc w:val="right"/>
            </w:pPr>
            <w:r/>
            <w:r>
              <w:rPr>
                <w:rFonts w:ascii="Calibri" w:hAnsi="Calibri" w:cs="Loma"/>
                <w:b w:val="0"/>
                <w:color w:val="22303C"/>
                <w:sz w:val="17"/>
              </w:rPr>
              <w:t>93,266</w:t>
            </w:r>
          </w:p>
        </w:tc>
        <w:tc>
          <w:tcPr>
            <w:tcW w:type="dxa" w:w="3288"/>
            <w:shd w:val="clear" w:fill="F4F7FA"/>
          </w:tcPr>
          <w:p>
            <w:pPr>
              <w:spacing w:after="40" w:before="40"/>
            </w:pPr>
            <w:r/>
            <w:r>
              <w:rPr>
                <w:rFonts w:ascii="Calibri" w:hAnsi="Calibri" w:cs="Loma"/>
                <w:b w:val="0"/>
                <w:color w:val="22303C"/>
                <w:sz w:val="17"/>
              </w:rPr>
              <w:t>lottovip.info</w:t>
            </w:r>
          </w:p>
        </w:tc>
        <w:tc>
          <w:tcPr>
            <w:tcW w:type="dxa" w:w="1814"/>
            <w:shd w:val="clear" w:fill="F4F7FA"/>
          </w:tcPr>
          <w:p>
            <w:pPr>
              <w:spacing w:after="40" w:before="40"/>
            </w:pPr>
            <w:r/>
            <w:r>
              <w:rPr>
                <w:rFonts w:ascii="Calibri" w:hAnsi="Calibri" w:cs="Loma"/>
                <w:b w:val="0"/>
                <w:color w:val="22303C"/>
                <w:sz w:val="17"/>
              </w:rPr>
              <w:t>lott</w:t>
            </w:r>
          </w:p>
        </w:tc>
        <w:tc>
          <w:tcPr>
            <w:tcW w:type="dxa" w:w="1928"/>
            <w:shd w:val="clear" w:fill="F4F7FA"/>
          </w:tcPr>
          <w:p>
            <w:pPr>
              <w:spacing w:after="40" w:before="40"/>
            </w:pPr>
            <w:r/>
            <w:r>
              <w:rPr>
                <w:rFonts w:ascii="Calibri" w:hAnsi="Calibri" w:cs="Loma"/>
                <w:b w:val="0"/>
                <w:color w:val="22303C"/>
                <w:sz w:val="17"/>
              </w:rPr>
              <w:t>Slots</w:t>
            </w:r>
          </w:p>
        </w:tc>
        <w:tc>
          <w:tcPr>
            <w:tcW w:type="dxa" w:w="1474"/>
            <w:shd w:val="clear" w:fill="F4F7FA"/>
          </w:tcPr>
          <w:p>
            <w:pPr>
              <w:spacing w:after="40" w:before="40"/>
            </w:pPr>
            <w:r/>
            <w:r>
              <w:rPr>
                <w:rFonts w:ascii="Calibri" w:hAnsi="Calibri" w:cs="Loma"/>
                <w:b w:val="0"/>
                <w:color w:val="22303C"/>
                <w:sz w:val="17"/>
              </w:rPr>
              <w:t>Variant</w:t>
            </w:r>
          </w:p>
        </w:tc>
      </w:tr>
      <w:tr>
        <w:tc>
          <w:tcPr>
            <w:tcW w:type="dxa" w:w="1134"/>
          </w:tcPr>
          <w:p>
            <w:pPr>
              <w:spacing w:after="40" w:before="40"/>
              <w:jc w:val="right"/>
            </w:pPr>
            <w:r/>
            <w:r>
              <w:rPr>
                <w:rFonts w:ascii="Calibri" w:hAnsi="Calibri" w:cs="Loma"/>
                <w:b w:val="0"/>
                <w:color w:val="22303C"/>
                <w:sz w:val="17"/>
              </w:rPr>
              <w:t>101,396</w:t>
            </w:r>
          </w:p>
        </w:tc>
        <w:tc>
          <w:tcPr>
            <w:tcW w:type="dxa" w:w="3288"/>
          </w:tcPr>
          <w:p>
            <w:pPr>
              <w:spacing w:after="40" w:before="40"/>
            </w:pPr>
            <w:r/>
            <w:r>
              <w:rPr>
                <w:rFonts w:ascii="Calibri" w:hAnsi="Calibri" w:cs="Loma"/>
                <w:b w:val="0"/>
                <w:color w:val="22303C"/>
                <w:sz w:val="17"/>
              </w:rPr>
              <w:t>videopoker.go2cloud.org</w:t>
            </w:r>
          </w:p>
        </w:tc>
        <w:tc>
          <w:tcPr>
            <w:tcW w:type="dxa" w:w="1814"/>
          </w:tcPr>
          <w:p>
            <w:pPr>
              <w:spacing w:after="40" w:before="40"/>
            </w:pPr>
            <w:r/>
            <w:r>
              <w:rPr>
                <w:rFonts w:ascii="Calibri" w:hAnsi="Calibri" w:cs="Loma"/>
                <w:b w:val="0"/>
                <w:color w:val="22303C"/>
                <w:sz w:val="17"/>
              </w:rPr>
              <w:t>videopoker</w:t>
            </w:r>
          </w:p>
        </w:tc>
        <w:tc>
          <w:tcPr>
            <w:tcW w:type="dxa" w:w="1928"/>
          </w:tcPr>
          <w:p>
            <w:pPr>
              <w:spacing w:after="40" w:before="40"/>
            </w:pPr>
            <w:r/>
            <w:r>
              <w:rPr>
                <w:rFonts w:ascii="Calibri" w:hAnsi="Calibri" w:cs="Loma"/>
                <w:b w:val="0"/>
                <w:color w:val="22303C"/>
                <w:sz w:val="17"/>
              </w:rPr>
              <w:t>General Gambling</w:t>
            </w:r>
          </w:p>
        </w:tc>
        <w:tc>
          <w:tcPr>
            <w:tcW w:type="dxa" w:w="1474"/>
          </w:tcPr>
          <w:p>
            <w:pPr>
              <w:spacing w:after="40" w:before="40"/>
            </w:pPr>
            <w:r/>
            <w:r>
              <w:rPr>
                <w:rFonts w:ascii="Calibri" w:hAnsi="Calibri" w:cs="Loma"/>
                <w:b w:val="0"/>
                <w:color w:val="22303C"/>
                <w:sz w:val="17"/>
              </w:rPr>
              <w:t>Redirect</w:t>
            </w:r>
          </w:p>
        </w:tc>
      </w:tr>
    </w:tbl>
    <w:p>
      <w:pPr>
        <w:spacing w:after="0"/>
      </w:pPr>
    </w:p>
    <w:p>
      <w:pPr>
        <w:spacing w:before="60" w:after="220"/>
      </w:pPr>
      <w:r>
        <w:rPr>
          <w:b/>
          <w:color w:val="1F3F63"/>
          <w:sz w:val="17"/>
        </w:rPr>
        <w:t xml:space="preserve">Table 13. </w:t>
      </w:r>
      <w:r>
        <w:rPr>
          <w:rFonts w:cs="Loma"/>
          <w:color w:val="4A5B6B"/>
          <w:sz w:val="17"/>
        </w:rPr>
        <w:t>Gambling ranking — the most visible gambling sites in the set.</w:t>
      </w:r>
    </w:p>
    <w:p>
      <w:r>
        <w:br w:type="page"/>
      </w:r>
    </w:p>
    <w:p>
      <w:pPr>
        <w:pStyle w:val="Heading1"/>
      </w:pPr>
      <w:r>
        <w:t>6  Key insights</w:t>
      </w:r>
    </w:p>
    <w:p>
      <w:pPr>
        <w:pStyle w:val="Heading2"/>
      </w:pPr>
      <w:r>
        <w:t>6.1  Scale of the analysis</w:t>
      </w:r>
    </w:p>
    <w:p>
      <w:pPr>
        <w:spacing w:after="120"/>
      </w:pPr>
      <w:r>
        <w:rPr>
          <w:rFonts w:cs="Loma"/>
          <w:i w:val="0"/>
          <w:color w:val="22303C"/>
          <w:sz w:val="21"/>
        </w:rPr>
        <w:t>23,496 distinct URLs were analysed over 43 days (2026-08-06 → 2026-09-17). Of these, 9,102 were assessed as gambling, 14,380 as not gambling and 14 as unreachable.</w:t>
      </w:r>
    </w:p>
    <w:p>
      <w:pPr>
        <w:pBdr>
          <w:left w:val="single" w:sz="18" w:space="8" w:color="1F3F63"/>
        </w:pBdr>
        <w:spacing w:before="80" w:after="240"/>
        <w:ind w:left="227"/>
      </w:pPr>
      <w:r>
        <w:rPr>
          <w:b/>
          <w:color w:val="1F3F63"/>
          <w:sz w:val="18"/>
        </w:rPr>
        <w:t xml:space="preserve">Take  </w:t>
      </w:r>
      <w:r>
        <w:rPr>
          <w:b/>
          <w:color w:val="22303C"/>
          <w:sz w:val="21"/>
        </w:rPr>
        <w:t>The sample is large enough to reason about patterns, not isolated cases.</w:t>
      </w:r>
    </w:p>
    <w:p>
      <w:pPr>
        <w:pStyle w:val="Heading2"/>
      </w:pPr>
      <w:r>
        <w:t>6.2  What is being offered</w:t>
      </w:r>
    </w:p>
    <w:p>
      <w:pPr>
        <w:spacing w:after="120"/>
      </w:pPr>
      <w:r>
        <w:rPr>
          <w:rFonts w:cs="Loma"/>
          <w:i w:val="0"/>
          <w:color w:val="22303C"/>
          <w:sz w:val="21"/>
        </w:rPr>
        <w:t>The three largest product subcategories are Casino (3,635 sites, 39.9%), Slots (1,921, 21.1%) and General Gambling (1,867, 20.5%).</w:t>
      </w:r>
    </w:p>
    <w:p>
      <w:pPr>
        <w:spacing w:after="120"/>
      </w:pPr>
      <w:r>
        <w:rPr>
          <w:rFonts w:cs="Loma"/>
          <w:i w:val="0"/>
          <w:color w:val="22303C"/>
          <w:sz w:val="21"/>
        </w:rPr>
        <w:t>20.5% of gambling sites were confirmed as gambling without an evidenced product type, and 97.6% of all gambling rows were placed by reading the classifier's reasoning rather than by a lexicon match. 213 of the 286 lexicon keywords never matched anything in this sample.</w:t>
      </w:r>
    </w:p>
    <w:p>
      <w:pPr>
        <w:pBdr>
          <w:left w:val="single" w:sz="18" w:space="8" w:color="1F3F63"/>
        </w:pBdr>
        <w:spacing w:before="80" w:after="240"/>
        <w:ind w:left="227"/>
      </w:pPr>
      <w:r>
        <w:rPr>
          <w:b/>
          <w:color w:val="1F3F63"/>
          <w:sz w:val="18"/>
        </w:rPr>
        <w:t xml:space="preserve">Take  </w:t>
      </w:r>
      <w:r>
        <w:rPr>
          <w:b/>
          <w:color w:val="22303C"/>
          <w:sz w:val="21"/>
        </w:rPr>
        <w:t>Casino is the dominant product type, but at 39.9% of gambling sites it is under forty percent — the estate is spread across product types rather than concentrated in one.</w:t>
      </w:r>
    </w:p>
    <w:p>
      <w:pPr>
        <w:pStyle w:val="Heading2"/>
      </w:pPr>
      <w:r>
        <w:t>6.3  Brand clustering</w:t>
      </w:r>
    </w:p>
    <w:p>
      <w:pPr>
        <w:spacing w:after="120"/>
      </w:pPr>
      <w:r>
        <w:rPr>
          <w:rFonts w:cs="Loma"/>
          <w:i w:val="0"/>
          <w:color w:val="22303C"/>
          <w:sz w:val="21"/>
        </w:rPr>
        <w:t>The 9,102 gambling URLs resolve to 1,010 brand clusters, of which 764 hold more than one domain and 246 are singletons. 125 clusters are needed to cover half the estate. The largest, “bet”, holds 177 domains across 6 product subcategories.</w:t>
      </w:r>
    </w:p>
    <w:p>
      <w:pPr>
        <w:pBdr>
          <w:left w:val="single" w:sz="18" w:space="8" w:color="1F3F63"/>
        </w:pBdr>
        <w:spacing w:before="80" w:after="240"/>
        <w:ind w:left="227"/>
      </w:pPr>
      <w:r>
        <w:rPr>
          <w:b/>
          <w:color w:val="1F3F63"/>
          <w:sz w:val="18"/>
        </w:rPr>
        <w:t xml:space="preserve">Take  </w:t>
      </w:r>
      <w:r>
        <w:rPr>
          <w:b/>
          <w:color w:val="22303C"/>
          <w:sz w:val="21"/>
        </w:rPr>
        <w:t>The estate is diffuse — no small group of operators dominates it — so per-URL blocking will have limited leverage and enforcement should still be organised by cluster.</w:t>
      </w:r>
    </w:p>
    <w:p>
      <w:pPr>
        <w:pStyle w:val="Heading2"/>
      </w:pPr>
      <w:r>
        <w:t>6.4  How the estate is grown and marketed</w:t>
      </w:r>
    </w:p>
    <w:p>
      <w:pPr>
        <w:spacing w:after="120"/>
      </w:pPr>
      <w:r>
        <w:rPr>
          <w:rFonts w:cs="Loma"/>
          <w:i w:val="0"/>
          <w:color w:val="22303C"/>
          <w:sz w:val="21"/>
        </w:rPr>
        <w:t>8,427 gambling URLs (92.6%) are crawler-identified variants of a known seed, 546 (6.0%) sit behind redirect chains and only 129 (1.4%) were reached directly. The busiest redirect source is localcoffeemontclair.com, with 6 distinct destinations.</w:t>
      </w:r>
    </w:p>
    <w:p>
      <w:pPr>
        <w:spacing w:after="120"/>
      </w:pPr>
      <w:r>
        <w:rPr>
          <w:rFonts w:cs="Loma"/>
          <w:i w:val="0"/>
          <w:color w:val="22303C"/>
          <w:sz w:val="21"/>
        </w:rPr>
        <w:t>559 clusters rotate across more than one top-level domain. The two most common signal tags are Abbreviations (38.5% of gambling sites) and Marketing &amp; Acquisition (2.1%).</w:t>
      </w:r>
    </w:p>
    <w:p>
      <w:pPr>
        <w:pBdr>
          <w:left w:val="single" w:sz="18" w:space="8" w:color="1F3F63"/>
        </w:pBdr>
        <w:spacing w:before="80" w:after="240"/>
        <w:ind w:left="227"/>
      </w:pPr>
      <w:r>
        <w:rPr>
          <w:b/>
          <w:color w:val="1F3F63"/>
          <w:sz w:val="18"/>
        </w:rPr>
        <w:t xml:space="preserve">Take  </w:t>
      </w:r>
      <w:r>
        <w:rPr>
          <w:b/>
          <w:color w:val="22303C"/>
          <w:sz w:val="21"/>
        </w:rPr>
        <w:t>Redirects and TLD rotation keep a stable entry point while the sites behind it are replaced, so blocking a destination domain does not remove the route to it. Promotional and evasion vocabulary is not dominant in this sample, so there is no evidence here that acquisition runs mainly through promotional content.</w:t>
      </w:r>
    </w:p>
    <w:p>
      <w:pPr>
        <w:pStyle w:val="Heading2"/>
      </w:pPr>
      <w:r>
        <w:t>6.5  Enforcement position</w:t>
      </w:r>
    </w:p>
    <w:p>
      <w:pPr>
        <w:spacing w:after="120"/>
      </w:pPr>
      <w:r>
        <w:rPr>
          <w:rFonts w:cs="Loma"/>
          <w:i w:val="0"/>
          <w:color w:val="22303C"/>
          <w:sz w:val="21"/>
        </w:rPr>
        <w:t>No page in the analysed set carried a regulatory-blocking indicator — no court-order notice, regulator notice or block page was found in the classifier's reasoning text.</w:t>
      </w:r>
    </w:p>
    <w:p>
      <w:pPr>
        <w:pBdr>
          <w:left w:val="single" w:sz="18" w:space="8" w:color="1F3F63"/>
        </w:pBdr>
        <w:spacing w:before="80" w:after="240"/>
        <w:ind w:left="227"/>
      </w:pPr>
      <w:r>
        <w:rPr>
          <w:b/>
          <w:color w:val="1F3F63"/>
          <w:sz w:val="18"/>
        </w:rPr>
        <w:t xml:space="preserve">Take  </w:t>
      </w:r>
      <w:r>
        <w:rPr>
          <w:b/>
          <w:color w:val="22303C"/>
          <w:sz w:val="21"/>
        </w:rPr>
        <w:t>This set appears to be pre-enforcement and is a candidate for a first enforcement pass, prioritised by cluster rather than by URL.</w:t>
      </w:r>
    </w:p>
    <w:p>
      <w:pPr>
        <w:pStyle w:val="Heading1"/>
      </w:pPr>
      <w:r>
        <w:t>7  Methodology</w:t>
      </w:r>
    </w:p>
    <w:tbl>
      <w:tblPr>
        <w:tblStyle w:val="TableGrid"/>
        <w:tblW w:type="auto" w:w="0"/>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firstColumn="1" w:firstRow="1" w:lastColumn="0" w:lastRow="0" w:noHBand="0" w:noVBand="1" w:val="04A0"/>
      </w:tblPr>
      <w:tblGrid>
        <w:gridCol w:w="4819"/>
        <w:gridCol w:w="4819"/>
      </w:tblGrid>
      <w:tr>
        <w:tc>
          <w:tcPr>
            <w:tcW w:type="dxa" w:w="5669"/>
            <w:shd w:val="clear" w:fill="1F3F63"/>
          </w:tcPr>
          <w:p>
            <w:pPr>
              <w:spacing w:after="40" w:before="40"/>
            </w:pPr>
            <w:r/>
            <w:r>
              <w:rPr>
                <w:rFonts w:ascii="Calibri" w:hAnsi="Calibri" w:cs="Loma"/>
                <w:b/>
                <w:color w:val="FFFFFF"/>
                <w:sz w:val="18"/>
              </w:rPr>
              <w:t>Parameter</w:t>
            </w:r>
          </w:p>
        </w:tc>
        <w:tc>
          <w:tcPr>
            <w:tcW w:type="dxa" w:w="3969"/>
            <w:shd w:val="clear" w:fill="1F3F63"/>
          </w:tcPr>
          <w:p>
            <w:pPr>
              <w:spacing w:after="40" w:before="40"/>
            </w:pPr>
            <w:r/>
            <w:r>
              <w:rPr>
                <w:rFonts w:ascii="Calibri" w:hAnsi="Calibri" w:cs="Loma"/>
                <w:b/>
                <w:color w:val="FFFFFF"/>
                <w:sz w:val="18"/>
              </w:rPr>
              <w:t>Value</w:t>
            </w:r>
          </w:p>
        </w:tc>
      </w:tr>
      <w:tr>
        <w:tc>
          <w:tcPr>
            <w:tcW w:type="dxa" w:w="5669"/>
          </w:tcPr>
          <w:p>
            <w:pPr>
              <w:spacing w:after="40" w:before="40"/>
            </w:pPr>
            <w:r/>
            <w:r>
              <w:rPr>
                <w:rFonts w:ascii="Calibri" w:hAnsi="Calibri" w:cs="Loma"/>
                <w:b w:val="0"/>
                <w:color w:val="22303C"/>
                <w:sz w:val="18"/>
              </w:rPr>
              <w:t>Inferred share (rows placed by reasoning, not keyword)</w:t>
            </w:r>
          </w:p>
        </w:tc>
        <w:tc>
          <w:tcPr>
            <w:tcW w:type="dxa" w:w="3969"/>
          </w:tcPr>
          <w:p>
            <w:pPr>
              <w:spacing w:after="40" w:before="40"/>
            </w:pPr>
            <w:r/>
            <w:r>
              <w:rPr>
                <w:rFonts w:ascii="Calibri" w:hAnsi="Calibri" w:cs="Loma"/>
                <w:b w:val="0"/>
                <w:color w:val="22303C"/>
                <w:sz w:val="18"/>
              </w:rPr>
              <w:t>97.6%</w:t>
            </w:r>
          </w:p>
        </w:tc>
      </w:tr>
      <w:tr>
        <w:tc>
          <w:tcPr>
            <w:tcW w:type="dxa" w:w="5669"/>
            <w:shd w:val="clear" w:fill="F4F7FA"/>
          </w:tcPr>
          <w:p>
            <w:pPr>
              <w:spacing w:after="40" w:before="40"/>
            </w:pPr>
            <w:r/>
            <w:r>
              <w:rPr>
                <w:rFonts w:ascii="Calibri" w:hAnsi="Calibri" w:cs="Loma"/>
                <w:b w:val="0"/>
                <w:color w:val="22303C"/>
                <w:sz w:val="18"/>
              </w:rPr>
              <w:t>General Gambling share</w:t>
            </w:r>
          </w:p>
        </w:tc>
        <w:tc>
          <w:tcPr>
            <w:tcW w:type="dxa" w:w="3969"/>
            <w:shd w:val="clear" w:fill="F4F7FA"/>
          </w:tcPr>
          <w:p>
            <w:pPr>
              <w:spacing w:after="40" w:before="40"/>
            </w:pPr>
            <w:r/>
            <w:r>
              <w:rPr>
                <w:rFonts w:ascii="Calibri" w:hAnsi="Calibri" w:cs="Loma"/>
                <w:b w:val="0"/>
                <w:color w:val="22303C"/>
                <w:sz w:val="18"/>
              </w:rPr>
              <w:t>20.5%</w:t>
            </w:r>
          </w:p>
        </w:tc>
      </w:tr>
      <w:tr>
        <w:tc>
          <w:tcPr>
            <w:tcW w:type="dxa" w:w="5669"/>
          </w:tcPr>
          <w:p>
            <w:pPr>
              <w:spacing w:after="40" w:before="40"/>
            </w:pPr>
            <w:r/>
            <w:r>
              <w:rPr>
                <w:rFonts w:ascii="Calibri" w:hAnsi="Calibri" w:cs="Loma"/>
                <w:b w:val="0"/>
                <w:color w:val="22303C"/>
                <w:sz w:val="18"/>
              </w:rPr>
              <w:t>Brand-stem similarity threshold</w:t>
            </w:r>
          </w:p>
        </w:tc>
        <w:tc>
          <w:tcPr>
            <w:tcW w:type="dxa" w:w="3969"/>
          </w:tcPr>
          <w:p>
            <w:pPr>
              <w:spacing w:after="40" w:before="40"/>
            </w:pPr>
            <w:r/>
            <w:r>
              <w:rPr>
                <w:rFonts w:ascii="Calibri" w:hAnsi="Calibri" w:cs="Loma"/>
                <w:b w:val="0"/>
                <w:color w:val="22303C"/>
                <w:sz w:val="18"/>
              </w:rPr>
              <w:t>Jaro–Winkler ≥ 0.90</w:t>
            </w:r>
          </w:p>
        </w:tc>
      </w:tr>
      <w:tr>
        <w:tc>
          <w:tcPr>
            <w:tcW w:type="dxa" w:w="5669"/>
            <w:shd w:val="clear" w:fill="F4F7FA"/>
          </w:tcPr>
          <w:p>
            <w:pPr>
              <w:spacing w:after="40" w:before="40"/>
            </w:pPr>
            <w:r/>
            <w:r>
              <w:rPr>
                <w:rFonts w:ascii="Calibri" w:hAnsi="Calibri" w:cs="Loma"/>
                <w:b w:val="0"/>
                <w:color w:val="22303C"/>
                <w:sz w:val="18"/>
              </w:rPr>
              <w:t>Similarity merge constraint</w:t>
            </w:r>
          </w:p>
        </w:tc>
        <w:tc>
          <w:tcPr>
            <w:tcW w:type="dxa" w:w="3969"/>
            <w:shd w:val="clear" w:fill="F4F7FA"/>
          </w:tcPr>
          <w:p>
            <w:pPr>
              <w:spacing w:after="40" w:before="40"/>
            </w:pPr>
            <w:r/>
            <w:r>
              <w:rPr>
                <w:rFonts w:ascii="Calibri" w:hAnsi="Calibri" w:cs="Loma"/>
                <w:b w:val="0"/>
                <w:color w:val="22303C"/>
                <w:sz w:val="18"/>
              </w:rPr>
              <w:t>one stem must be a prefix of the other, or differ only in trailing characters</w:t>
            </w:r>
          </w:p>
        </w:tc>
      </w:tr>
      <w:tr>
        <w:tc>
          <w:tcPr>
            <w:tcW w:type="dxa" w:w="5669"/>
          </w:tcPr>
          <w:p>
            <w:pPr>
              <w:spacing w:after="40" w:before="40"/>
            </w:pPr>
            <w:r/>
            <w:r>
              <w:rPr>
                <w:rFonts w:ascii="Calibri" w:hAnsi="Calibri" w:cs="Loma"/>
                <w:b w:val="0"/>
                <w:color w:val="22303C"/>
                <w:sz w:val="18"/>
              </w:rPr>
              <w:t>Minimum brand stem length</w:t>
            </w:r>
          </w:p>
        </w:tc>
        <w:tc>
          <w:tcPr>
            <w:tcW w:type="dxa" w:w="3969"/>
          </w:tcPr>
          <w:p>
            <w:pPr>
              <w:spacing w:after="40" w:before="40"/>
            </w:pPr>
            <w:r/>
            <w:r>
              <w:rPr>
                <w:rFonts w:ascii="Calibri" w:hAnsi="Calibri" w:cs="Loma"/>
                <w:b w:val="0"/>
                <w:color w:val="22303C"/>
                <w:sz w:val="18"/>
              </w:rPr>
              <w:t>3 characters</w:t>
            </w:r>
          </w:p>
        </w:tc>
      </w:tr>
      <w:tr>
        <w:tc>
          <w:tcPr>
            <w:tcW w:type="dxa" w:w="5669"/>
            <w:shd w:val="clear" w:fill="F4F7FA"/>
          </w:tcPr>
          <w:p>
            <w:pPr>
              <w:spacing w:after="40" w:before="40"/>
            </w:pPr>
            <w:r/>
            <w:r>
              <w:rPr>
                <w:rFonts w:ascii="Calibri" w:hAnsi="Calibri" w:cs="Loma"/>
                <w:b w:val="0"/>
                <w:color w:val="22303C"/>
                <w:sz w:val="18"/>
              </w:rPr>
              <w:t>Signal-keyword linkage threshold (indicative only)</w:t>
            </w:r>
          </w:p>
        </w:tc>
        <w:tc>
          <w:tcPr>
            <w:tcW w:type="dxa" w:w="3969"/>
            <w:shd w:val="clear" w:fill="F4F7FA"/>
          </w:tcPr>
          <w:p>
            <w:pPr>
              <w:spacing w:after="40" w:before="40"/>
            </w:pPr>
            <w:r/>
            <w:r>
              <w:rPr>
                <w:rFonts w:ascii="Calibri" w:hAnsi="Calibri" w:cs="Loma"/>
                <w:b w:val="0"/>
                <w:color w:val="22303C"/>
                <w:sz w:val="18"/>
              </w:rPr>
              <w:t>Jaccard ≥ 0.60</w:t>
            </w:r>
          </w:p>
        </w:tc>
      </w:tr>
    </w:tbl>
    <w:p>
      <w:pPr>
        <w:spacing w:after="0"/>
      </w:pPr>
    </w:p>
    <w:p>
      <w:pPr>
        <w:spacing w:before="60" w:after="220"/>
      </w:pPr>
      <w:r>
        <w:rPr>
          <w:b/>
          <w:color w:val="1F3F63"/>
          <w:sz w:val="17"/>
        </w:rPr>
        <w:t xml:space="preserve">Table 14. </w:t>
      </w:r>
      <w:r>
        <w:rPr>
          <w:rFonts w:cs="Loma"/>
          <w:color w:val="4A5B6B"/>
          <w:sz w:val="17"/>
        </w:rPr>
        <w:t>Quality figures and clustering thresholds used in this analysis.</w:t>
      </w:r>
    </w:p>
    <w:sectPr w:rsidR="00FC693F" w:rsidRPr="0006063C" w:rsidSect="00034616">
      <w:headerReference w:type="default" r:id="rId24"/>
      <w:footerReference w:type="default" r:id="rId25"/>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B6B"/>
        <w:sz w:val="17"/>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A5B6B"/>
        <w:sz w:val="16"/>
      </w:rPr>
      <w:t>Data Insights &amp; Patterns — Ministry of Digital Economy and Society (MDES), Thailand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Loma"/>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F3F63"/>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3F6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