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drawing>
          <wp:inline xmlns:a="http://schemas.openxmlformats.org/drawingml/2006/main" xmlns:pic="http://schemas.openxmlformats.org/drawingml/2006/picture">
            <wp:extent cx="878049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8049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Bdr>
          <w:bottom w:val="single" w:sz="20" w:space="4" w:color="111417"/>
        </w:pBdr>
        <w:spacing w:before="0" w:after="60"/>
      </w:pPr>
      <w:r>
        <w:rPr>
          <w:rFonts w:ascii="Arial" w:hAnsi="Arial" w:cs="Tahoma" w:eastAsia="Tahoma"/>
          <w:b/>
          <w:bCs/>
          <w:color w:val="111417"/>
          <w:sz w:val="42"/>
        </w:rPr>
        <w:t>Site Classification Report</w:t>
      </w:r>
    </w:p>
    <w:p>
      <w:pPr>
        <w:spacing w:before="0" w:after="160" w:line="276" w:lineRule="auto"/>
      </w:pPr>
      <w:r>
        <w:rPr>
          <w:rFonts w:ascii="Arial" w:hAnsi="Arial" w:cs="Tahoma" w:eastAsia="Tahoma"/>
          <w:b/>
          <w:bCs/>
          <w:i w:val="0"/>
          <w:color w:val="5B6670"/>
          <w:sz w:val="16"/>
          <w:szCs w:val="16"/>
        </w:rPr>
        <w:t>Automated site classification — evidence record</w:t>
      </w:r>
    </w:p>
    <w:tbl>
      <w:tblPr>
        <w:tblW w:type="dxa" w:w="9071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Report reference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Prepared by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Date of issue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18/09/2026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Document classification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7A3A12"/>
                <w:sz w:val="18"/>
                <w:szCs w:val="18"/>
                <w:shd w:val="clear" w:color="auto" w:fill="FBC9AC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System / model version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SICPADetect 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Records in this report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2</w:t>
            </w:r>
          </w:p>
        </w:tc>
      </w:tr>
    </w:tbl>
    <w:p>
      <w:pPr>
        <w:pStyle w:val="Heading2"/>
        <w:keepNext/>
        <w:pBdr>
          <w:bottom w:val="single" w:sz="16" w:space="4" w:color="111417"/>
        </w:pBdr>
        <w:spacing w:before="440" w:after="60"/>
      </w:pPr>
      <w:r>
        <w:rPr>
          <w:rFonts w:ascii="Arial" w:hAnsi="Arial" w:cs="Tahoma" w:eastAsia="Tahoma"/>
          <w:b/>
          <w:bCs/>
          <w:color w:val="111417"/>
          <w:sz w:val="27"/>
        </w:rPr>
        <w:t>Analysis</w:t>
      </w:r>
    </w:p>
    <w:p>
      <w:pPr>
        <w:pStyle w:val="Heading3"/>
        <w:keepNext/>
        <w:spacing w:before="200" w:after="60"/>
      </w:pPr>
      <w:r>
        <w:rPr>
          <w:rFonts w:ascii="Arial" w:hAnsi="Arial" w:cs="Tahoma" w:eastAsia="Tahoma"/>
          <w:b/>
          <w:bCs/>
          <w:color w:val="111417"/>
          <w:sz w:val="22"/>
        </w:rPr>
        <w:t>m88-th-casino[.]xyz — online casino and slots</w:t>
      </w:r>
    </w:p>
    <w:tbl>
      <w:tblPr>
        <w:tblW w:type="dxa" w:w="9071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Redirect from m88-th-casino[.]lol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hxxps://m88-th-casino[.]xyz/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A 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  0.95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Gambling → Casino; Gambling → 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Screenshot: The website contains images of slot machines and other gambling-related graphics.. Screenshot: The website has buttons labeled for sports betting, casino, poker, and games, indicating various gambling options.. Screenshot: The website prominently displays a button to register and deposit money, which are common actions in online gambling.. URL: The URL contains terms like 'casino' which is directly associated with gambling activities.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spacing w:after="40" w:before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00000" cy="18609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60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evidence/4e33cad7-1196-4afc-b02f-bd9556507644/0abacbd4-21c1-491e-9b9f-b38c76787854/homepage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18/09/2026 21:10, UTC+7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ae7da5965a9cc91da6e0bb44d99df8c1853baf9a62c14a4aa0199adb7c14ffc4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4A555F"/>
                <w:sz w:val="18"/>
                <w:szCs w:val="18"/>
                <w:shd w:val="clear" w:color="auto" w:fill="E6EAEE"/>
              </w:rPr>
              <w:t>No — keyword legible; clock and URL not in frame</w:t>
            </w:r>
          </w:p>
        </w:tc>
      </w:tr>
    </w:tbl>
    <w:p>
      <w:pPr>
        <w:spacing w:before="0" w:after="0" w:line="276" w:lineRule="auto"/>
      </w:pPr>
    </w:p>
    <w:p>
      <w:pPr>
        <w:pStyle w:val="Heading3"/>
        <w:keepNext/>
        <w:spacing w:before="320" w:after="60"/>
      </w:pPr>
      <w:r>
        <w:rPr>
          <w:rFonts w:ascii="Arial" w:hAnsi="Arial" w:cs="Tahoma" w:eastAsia="Tahoma"/>
          <w:b/>
          <w:bCs/>
          <w:color w:val="111417"/>
          <w:sz w:val="22"/>
        </w:rPr>
        <w:t>m88-th-casino[.]net — online casino and slots</w:t>
      </w:r>
    </w:p>
    <w:tbl>
      <w:tblPr>
        <w:tblW w:type="dxa" w:w="9071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Manual submission (operator redacted)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hxxps://www[.]m88-th-casino[.]net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Status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Confidence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FFFFFF"/>
                <w:sz w:val="17"/>
                <w:szCs w:val="17"/>
                <w:shd w:val="clear" w:color="auto" w:fill="2E7D32"/>
              </w:rPr>
              <w:t xml:space="preserve"> A 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  0.95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Subcategory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Gambling → Casino; Gambling → Slots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Rationale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Screenshot: The website prominently displays images of slot machines and gambling-related icons, indicating online gambling activities.. Screenshot: The text mentions 'M88 รวมเว็บยูมูลที่สมาจิกวรสวว' which translates to 'M88 Summarizes useful websites', suggesting a compilation of gambling sites.. Screenshot: The section with images of slot machines and the text 'เกมสล็อต' (slot games) directly indicates the presence of online slot games.. Screenshot: The website includes a button with the text 'สมัครเลย รับโบนัส 3,000 บาท' which translates to 'Sign up and receive a bonus of 3,000 baht', a common incentive for online gambling platforms.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Screenshot</w:t>
            </w:r>
          </w:p>
        </w:tc>
        <w:tc>
          <w:tcPr>
            <w:tcW w:type="dxa" w:w="5987"/>
          </w:tcPr>
          <w:p>
            <w:pPr>
              <w:spacing w:after="40" w:before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3600000" cy="18609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860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evidence/db32be27-a0e5-4afb-b22b-b065c016cd5e/e1ace150-ea4a-433a-a834-e9e5d6cf7e3b/homepage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18/09/2026 21:10, UTC+7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SHA-256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aaebdca4f3250415c4131b6c786c527f2679c844d611e87d5ffde08d7b37f1c6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Capture valid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4A555F"/>
                <w:sz w:val="18"/>
                <w:szCs w:val="18"/>
                <w:shd w:val="clear" w:color="auto" w:fill="E6EAEE"/>
              </w:rPr>
              <w:t>No — keyword legible; clock and URL not in frame</w:t>
            </w:r>
          </w:p>
        </w:tc>
      </w:tr>
    </w:tbl>
    <w:p>
      <w:pPr>
        <w:spacing w:before="0" w:after="0" w:line="276" w:lineRule="auto"/>
      </w:pPr>
    </w:p>
    <w:p>
      <w:pPr>
        <w:spacing w:after="0"/>
      </w:pPr>
      <w:r>
        <w:br w:type="page"/>
      </w:r>
    </w:p>
    <w:p>
      <w:pPr>
        <w:pStyle w:val="Heading2"/>
        <w:keepNext/>
        <w:pBdr>
          <w:bottom w:val="single" w:sz="16" w:space="4" w:color="111417"/>
        </w:pBdr>
        <w:spacing w:before="0" w:after="60"/>
      </w:pPr>
      <w:r>
        <w:rPr>
          <w:rFonts w:ascii="Arial" w:hAnsi="Arial" w:cs="Tahoma" w:eastAsia="Tahoma"/>
          <w:b/>
          <w:bCs/>
          <w:color w:val="111417"/>
          <w:sz w:val="27"/>
        </w:rPr>
        <w:t>Appendix A — Subcategory data model</w:t>
      </w:r>
    </w:p>
    <w:p>
      <w:pPr>
        <w:spacing w:before="0" w:after="200" w:line="276" w:lineRule="auto"/>
      </w:pPr>
      <w:r>
        <w:rPr>
          <w:rFonts w:ascii="Arial" w:hAnsi="Arial" w:cs="Tahoma" w:eastAsia="Tahoma"/>
          <w:b/>
          <w:bCs/>
          <w:i w:val="0"/>
          <w:color w:val="5B6670"/>
          <w:sz w:val="16"/>
          <w:szCs w:val="16"/>
        </w:rPr>
        <w:t>Reference only. Not part of any record. Source: Gambling_Keywords_Full_English_Categories_V1.xlsx · 14 categories · 286 distinct keywords</w:t>
      </w:r>
    </w:p>
    <w:p>
      <w:pPr>
        <w:pStyle w:val="Heading3"/>
        <w:keepNext/>
        <w:spacing w:before="240" w:after="60"/>
      </w:pPr>
      <w:r>
        <w:rPr>
          <w:rFonts w:ascii="Arial" w:hAnsi="Arial" w:cs="Tahoma" w:eastAsia="Tahoma"/>
          <w:b/>
          <w:bCs/>
          <w:color w:val="111417"/>
          <w:sz w:val="22"/>
        </w:rPr>
        <w:t>A.1 Product subcategories</w:t>
      </w:r>
    </w:p>
    <w:p>
      <w:pPr>
        <w:spacing w:before="0" w:after="120" w:line="276" w:lineRule="auto"/>
      </w:pP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Exactly one is assigned per gambling record, in the </w:t>
      </w:r>
      <w:r>
        <w:rPr>
          <w:rFonts w:ascii="Arial" w:hAnsi="Arial" w:cs="Tahoma" w:eastAsia="Tahoma"/>
          <w:b/>
          <w:bCs/>
          <w:i w:val="0"/>
          <w:color w:val="5B6670"/>
          <w:sz w:val="16"/>
          <w:szCs w:val="16"/>
        </w:rPr>
        <w:t>Subcategory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field. These seven are the only permitted values.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general_gambling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is a catch-all: assign it only when no other product category scores, meaning the site is confirmed gambling but the product type is not evidenced.</w:t>
      </w:r>
    </w:p>
    <w:tbl>
      <w:tblPr>
        <w:tblW w:type="dxa" w:w="9071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449"/>
        <w:gridCol w:w="6622"/>
      </w:tblGrid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Football Betting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football_betting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after="0" w:before="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Slots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slots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32 keywords</w:t>
            </w:r>
          </w:p>
        </w:tc>
        <w:tc>
          <w:tcPr>
            <w:tcW w:type="dxa" w:w="6622"/>
          </w:tcPr>
          <w:p>
            <w:pPr>
              <w:spacing w:after="0" w:before="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Casino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casino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14 keywords</w:t>
            </w:r>
          </w:p>
        </w:tc>
        <w:tc>
          <w:tcPr>
            <w:tcW w:type="dxa" w:w="6622"/>
          </w:tcPr>
          <w:p>
            <w:pPr>
              <w:spacing w:after="0" w:before="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Lottery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lottery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after="0" w:before="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Playing card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playing_card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12 keywords</w:t>
            </w:r>
          </w:p>
        </w:tc>
        <w:tc>
          <w:tcPr>
            <w:tcW w:type="dxa" w:w="6622"/>
          </w:tcPr>
          <w:p>
            <w:pPr>
              <w:spacing w:after="0" w:before="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Baccarat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baccarat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11 keywords</w:t>
            </w:r>
          </w:p>
        </w:tc>
        <w:tc>
          <w:tcPr>
            <w:tcW w:type="dxa" w:w="6622"/>
          </w:tcPr>
          <w:p>
            <w:pPr>
              <w:spacing w:after="0" w:before="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General Gambling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general_gambling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4A555F"/>
                <w:sz w:val="18"/>
                <w:szCs w:val="18"/>
                <w:shd w:val="clear" w:color="auto" w:fill="E6EAEE"/>
              </w:rPr>
              <w:t>catch-all — lowest priority</w:t>
            </w:r>
          </w:p>
          <w:p>
            <w:pPr>
              <w:spacing w:after="0" w:before="4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>
      <w:pPr>
        <w:pStyle w:val="Heading3"/>
        <w:keepNext/>
        <w:spacing w:before="360" w:after="60"/>
      </w:pPr>
      <w:r>
        <w:rPr>
          <w:rFonts w:ascii="Arial" w:hAnsi="Arial" w:cs="Tahoma" w:eastAsia="Tahoma"/>
          <w:b/>
          <w:bCs/>
          <w:color w:val="111417"/>
          <w:sz w:val="22"/>
        </w:rPr>
        <w:t>A.2 Signal tags</w:t>
      </w:r>
    </w:p>
    <w:p>
      <w:pPr>
        <w:spacing w:before="0" w:after="120" w:line="276" w:lineRule="auto"/>
      </w:pP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Zero or more are assigned per gambling record, in the </w:t>
      </w:r>
      <w:r>
        <w:rPr>
          <w:rFonts w:ascii="Arial" w:hAnsi="Arial" w:cs="Tahoma" w:eastAsia="Tahoma"/>
          <w:b/>
          <w:bCs/>
          <w:i w:val="0"/>
          <w:color w:val="5B6670"/>
          <w:sz w:val="16"/>
          <w:szCs w:val="16"/>
        </w:rPr>
        <w:t>Signal tags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field. A signal tag is </w:t>
      </w:r>
      <w:r>
        <w:rPr>
          <w:rFonts w:ascii="Arial" w:hAnsi="Arial" w:cs="Tahoma" w:eastAsia="Tahoma"/>
          <w:b/>
          <w:bCs/>
          <w:i w:val="0"/>
          <w:color w:val="5B6670"/>
          <w:sz w:val="16"/>
          <w:szCs w:val="16"/>
        </w:rPr>
        <w:t>never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a subcategory — it records how a site operates or markets itself, not what it sells.</w:t>
      </w:r>
    </w:p>
    <w:tbl>
      <w:tblPr>
        <w:tblW w:type="dxa" w:w="9071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2449"/>
        <w:gridCol w:w="6622"/>
      </w:tblGrid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Deposit &amp; Withdrawal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deposit_withdrawal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24 keywords</w:t>
            </w:r>
          </w:p>
        </w:tc>
        <w:tc>
          <w:tcPr>
            <w:tcW w:type="dxa" w:w="6622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/>
                <w:color w:val="5B6670"/>
                <w:sz w:val="18"/>
                <w:szCs w:val="18"/>
              </w:rPr>
              <w:t>Payment and cash-out mechanics advertised</w:t>
            </w:r>
          </w:p>
          <w:p>
            <w:pPr>
              <w:spacing w:after="0" w:before="4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Promotions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promotions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27 keywords</w:t>
            </w:r>
          </w:p>
        </w:tc>
        <w:tc>
          <w:tcPr>
            <w:tcW w:type="dxa" w:w="6622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/>
                <w:color w:val="5B6670"/>
                <w:sz w:val="18"/>
                <w:szCs w:val="18"/>
              </w:rPr>
              <w:t>Free-credit and bonus acquisition offers</w:t>
            </w:r>
          </w:p>
          <w:p>
            <w:pPr>
              <w:spacing w:after="0" w:before="4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Marketing &amp; Acquisition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marketing_acquisition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25 keywords</w:t>
            </w:r>
          </w:p>
        </w:tc>
        <w:tc>
          <w:tcPr>
            <w:tcW w:type="dxa" w:w="6622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/>
                <w:color w:val="5B6670"/>
                <w:sz w:val="18"/>
                <w:szCs w:val="18"/>
              </w:rPr>
              <w:t>Win-rate and payout claims</w:t>
            </w:r>
          </w:p>
          <w:p>
            <w:pPr>
              <w:spacing w:after="0" w:before="4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Affiliate &amp; Agent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affiliate_agent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/>
                <w:color w:val="5B6670"/>
                <w:sz w:val="18"/>
                <w:szCs w:val="18"/>
              </w:rPr>
              <w:t>Affiliate, agent or referral structure</w:t>
            </w:r>
          </w:p>
          <w:p>
            <w:pPr>
              <w:spacing w:after="0" w:before="4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Vague-Evasion Terms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vague_evasion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20 keywords</w:t>
            </w:r>
          </w:p>
        </w:tc>
        <w:tc>
          <w:tcPr>
            <w:tcW w:type="dxa" w:w="6622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/>
                <w:color w:val="5B6670"/>
                <w:sz w:val="18"/>
                <w:szCs w:val="18"/>
              </w:rPr>
              <w:t>Deliberate avoidance of explicit gambling vocabulary</w:t>
            </w:r>
          </w:p>
          <w:p>
            <w:pPr>
              <w:spacing w:after="0" w:before="4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Abbreviations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abbreviations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22 keywords</w:t>
            </w:r>
          </w:p>
        </w:tc>
        <w:tc>
          <w:tcPr>
            <w:tcW w:type="dxa" w:w="6622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/>
                <w:color w:val="5B6670"/>
                <w:sz w:val="18"/>
                <w:szCs w:val="18"/>
              </w:rPr>
              <w:t>Provider or network branding</w:t>
            </w:r>
          </w:p>
          <w:p>
            <w:pPr>
              <w:spacing w:after="0" w:before="4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rPr>
          <w:cantSplit/>
        </w:trPr>
        <w:tc>
          <w:tcPr>
            <w:tcW w:type="dxa" w:w="2449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Hashtags</w:t>
            </w:r>
          </w:p>
          <w:p>
            <w:pPr>
              <w:spacing w:after="0" w:before="4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hashtags</w:t>
            </w:r>
          </w:p>
          <w:p>
            <w:pPr>
              <w:spacing w:after="0" w:before="4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5B6670"/>
                <w:sz w:val="15"/>
                <w:szCs w:val="15"/>
              </w:rPr>
              <w:t>21 keywords</w:t>
            </w:r>
          </w:p>
        </w:tc>
        <w:tc>
          <w:tcPr>
            <w:tcW w:type="dxa" w:w="6622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/>
                <w:color w:val="5B6670"/>
                <w:sz w:val="18"/>
                <w:szCs w:val="18"/>
              </w:rPr>
              <w:t>Promoted through hashtag campaigns</w:t>
            </w:r>
          </w:p>
          <w:p>
            <w:pPr>
              <w:spacing w:after="0" w:before="4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>
      <w:pPr>
        <w:pStyle w:val="Heading3"/>
        <w:keepNext/>
        <w:spacing w:before="360" w:after="60"/>
      </w:pPr>
      <w:r>
        <w:rPr>
          <w:rFonts w:ascii="Arial" w:hAnsi="Arial" w:cs="Tahoma" w:eastAsia="Tahoma"/>
          <w:b/>
          <w:bCs/>
          <w:color w:val="111417"/>
          <w:sz w:val="22"/>
        </w:rPr>
        <w:t>A.3 Matching rules</w:t>
      </w:r>
    </w:p>
    <w:tbl>
      <w:tblPr>
        <w:tblW w:type="dxa" w:w="9071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Thai keyword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Case-sensitive substring match. Thai has no word delimiters, so no boundary test applies.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Latin keyword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Case-insensitive, must sit on a token boundary (`[^a-z0-9]` or string edge both sides) so `BET` does not match *betterment*.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Mixed keyword</w:t>
            </w:r>
          </w:p>
        </w:tc>
        <w:tc>
          <w:tcPr>
            <w:tcW w:type="dxa" w:w="5987"/>
          </w:tcPr>
          <w:p>
            <w:pPr>
              <w:spacing w:after="0" w:before="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Substring match, e.g. 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สล็อต pg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Hashtag keyword</w:t>
            </w:r>
          </w:p>
        </w:tc>
        <w:tc>
          <w:tcPr>
            <w:tcW w:type="dxa" w:w="5987"/>
          </w:tcPr>
          <w:p>
            <w:pPr>
              <w:spacing w:after="0" w:before="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Match the full string including `#`, then strip the `#` and re-run the remainder against the product categories, so 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#สล็อต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 also scores Slots.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Two-letter abbreviations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Consolas" w:hAnsi="Consolas" w:cs="Consolas" w:eastAsia="Consolas"/>
                <w:b w:val="0"/>
                <w:bCs w:val="0"/>
                <w:i w:val="0"/>
                <w:color w:val="111417"/>
                <w:sz w:val="17"/>
                <w:szCs w:val="17"/>
              </w:rPr>
              <w:t>PG PP FC XO SA WM AG AE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 count only when the token stands alone or sits at a separator inside a domain stem (`pg-slot`, `slotxo`, `/pg/`). </w:t>
            </w:r>
            <w:r>
              <w:rPr>
                <w:rFonts w:ascii="Arial" w:hAnsi="Arial" w:cs="Tahoma" w:eastAsia="Tahoma"/>
                <w:b/>
                <w:bCs/>
                <w:i w:val="0"/>
                <w:color w:val="7A3A12"/>
                <w:sz w:val="18"/>
                <w:szCs w:val="18"/>
                <w:shd w:val="clear" w:color="auto" w:fill="FBC9AC"/>
              </w:rPr>
              <w:t>High false-positive risk.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Cross-category collisions</w:t>
            </w:r>
          </w:p>
        </w:tc>
        <w:tc>
          <w:tcPr>
            <w:tcW w:type="dxa" w:w="5987"/>
          </w:tcPr>
          <w:p>
            <w:pPr>
              <w:spacing w:after="0" w:before="0" w:line="34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คาสิโน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 · 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คาสิโนออนไลน์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 resolve to Casino. 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พนันกีฬา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 · 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พนันบอล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 · 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6"/>
                <w:szCs w:val="16"/>
              </w:rPr>
              <w:t>แทงบอล</w:t>
            </w: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 xml:space="preserve"> resolve to Football Betting. The specific product category always beats the catch-all.</w:t>
            </w:r>
          </w:p>
        </w:tc>
      </w:tr>
    </w:tbl>
    <w:p>
      <w:pPr>
        <w:pStyle w:val="Heading3"/>
        <w:keepNext/>
        <w:spacing w:before="360" w:after="60"/>
      </w:pPr>
      <w:r>
        <w:rPr>
          <w:rFonts w:ascii="Arial" w:hAnsi="Arial" w:cs="Tahoma" w:eastAsia="Tahoma"/>
          <w:b/>
          <w:bCs/>
          <w:color w:val="111417"/>
          <w:sz w:val="22"/>
        </w:rPr>
        <w:t>A.4 Heat map axes</w:t>
      </w:r>
    </w:p>
    <w:p>
      <w:pPr>
        <w:spacing w:before="0" w:after="120" w:line="276" w:lineRule="auto"/>
      </w:pP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Three heat maps are built from this model. Every one shares the same columns, so they read against each other. Cell intensity is a sequential single-hue scale; a zero cell renders as page background with a hairline border, never as the palest fill, so </w:t>
      </w:r>
      <w:r>
        <w:rPr>
          <w:rFonts w:ascii="Arial" w:hAnsi="Arial" w:cs="Tahoma" w:eastAsia="Tahoma"/>
          <w:b w:val="0"/>
          <w:bCs w:val="0"/>
          <w:i/>
          <w:color w:val="5B6670"/>
          <w:sz w:val="16"/>
          <w:szCs w:val="16"/>
        </w:rPr>
        <w:t>no data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stays distinct from </w:t>
      </w:r>
      <w:r>
        <w:rPr>
          <w:rFonts w:ascii="Arial" w:hAnsi="Arial" w:cs="Tahoma" w:eastAsia="Tahoma"/>
          <w:b w:val="0"/>
          <w:bCs w:val="0"/>
          <w:i/>
          <w:color w:val="5B6670"/>
          <w:sz w:val="16"/>
          <w:szCs w:val="16"/>
        </w:rPr>
        <w:t>low count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>.</w:t>
      </w:r>
    </w:p>
    <w:tbl>
      <w:tblPr>
        <w:tblW w:type="dxa" w:w="9071"/>
        <w:jc w:val="left"/>
        <w:tblBorders>
          <w:top w:val="single" w:sz="4" w:space="0" w:color="C9D2DB"/>
          <w:left w:val="single" w:sz="4" w:space="0" w:color="C9D2DB"/>
          <w:bottom w:val="single" w:sz="4" w:space="0" w:color="C9D2DB"/>
          <w:right w:val="single" w:sz="4" w:space="0" w:color="C9D2DB"/>
          <w:insideH w:val="single" w:sz="4" w:space="0" w:color="E1E7EC"/>
          <w:insideV w:val="single" w:sz="4" w:space="0" w:color="E1E7EC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  <w:tblLook w:firstColumn="1" w:firstRow="1" w:lastColumn="0" w:lastRow="0" w:noHBand="0" w:noVBand="1" w:val="04A0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Keyword × subcategory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Signal tag × subcategory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/>
                <w:bCs/>
                <w:i w:val="0"/>
                <w:color w:val="111417"/>
                <w:sz w:val="18"/>
                <w:szCs w:val="18"/>
              </w:rPr>
              <w:t>Brand cluster × subcategory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Rows: top 20 brand clusters. Columns: the 7 product subcategories. Cell: URL count. Multi-product operators appear as horizontal bands.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Label orientation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Upright on both axes. Long names truncate with an ellipsis and carry the full string in the tooltip; labels are never rotated.</w:t>
            </w:r>
          </w:p>
        </w:tc>
      </w:tr>
      <w:tr>
        <w:trPr>
          <w:cantSplit/>
        </w:trPr>
        <w:tc>
          <w:tcPr>
            <w:tcW w:type="dxa" w:w="3084"/>
            <w:shd w:val="clear" w:color="auto" w:fill="F4F7F9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Row / column order</w:t>
            </w:r>
          </w:p>
        </w:tc>
        <w:tc>
          <w:tcPr>
            <w:tcW w:type="dxa" w:w="5987"/>
          </w:tcPr>
          <w:p>
            <w:pPr>
              <w:spacing w:after="0" w:before="0" w:line="288" w:lineRule="auto"/>
            </w:pPr>
            <w:r>
              <w:rPr>
                <w:rFonts w:ascii="Arial" w:hAnsi="Arial" w:cs="Tahoma" w:eastAsia="Tahoma"/>
                <w:b w:val="0"/>
                <w:bCs w:val="0"/>
                <w:i w:val="0"/>
                <w:color w:val="111417"/>
                <w:sz w:val="18"/>
                <w:szCs w:val="18"/>
              </w:rPr>
              <w:t>Descending total on each axis.</w:t>
            </w:r>
          </w:p>
        </w:tc>
      </w:tr>
    </w:tbl>
    <w:p>
      <w:pPr>
        <w:spacing w:before="0" w:after="40" w:line="276" w:lineRule="auto"/>
      </w:pPr>
    </w:p>
    <w:p>
      <w:pPr>
        <w:spacing w:before="200" w:after="160" w:line="276" w:lineRule="auto"/>
      </w:pPr>
      <w:r>
        <w:rPr>
          <w:rFonts w:ascii="Arial" w:hAnsi="Arial" w:cs="Tahoma" w:eastAsia="Tahoma"/>
          <w:b/>
          <w:bCs/>
          <w:i w:val="0"/>
          <w:color w:val="5B6670"/>
          <w:sz w:val="16"/>
          <w:szCs w:val="16"/>
        </w:rPr>
        <w:t>Fill guide.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Status cell: </w:t>
      </w:r>
      <w:r>
        <w:rPr>
          <w:rFonts w:ascii="Arial" w:hAnsi="Arial" w:cs="Tahoma" w:eastAsia="Tahoma"/>
          <w:b/>
          <w:bCs/>
          <w:i w:val="0"/>
          <w:color w:val="2C5015"/>
          <w:sz w:val="16"/>
          <w:szCs w:val="16"/>
          <w:shd w:val="clear" w:color="auto" w:fill="D3E7BD"/>
        </w:rPr>
        <w:t>Confirmed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· </w:t>
      </w:r>
      <w:r>
        <w:rPr>
          <w:rFonts w:ascii="Arial" w:hAnsi="Arial" w:cs="Tahoma" w:eastAsia="Tahoma"/>
          <w:b/>
          <w:bCs/>
          <w:i w:val="0"/>
          <w:color w:val="7A3A12"/>
          <w:sz w:val="16"/>
          <w:szCs w:val="16"/>
          <w:shd w:val="clear" w:color="auto" w:fill="FBC9AC"/>
        </w:rPr>
        <w:t>Pending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· </w:t>
      </w:r>
      <w:r>
        <w:rPr>
          <w:rFonts w:ascii="Arial" w:hAnsi="Arial" w:cs="Tahoma" w:eastAsia="Tahoma"/>
          <w:b/>
          <w:bCs/>
          <w:i w:val="0"/>
          <w:color w:val="4A555F"/>
          <w:sz w:val="16"/>
          <w:szCs w:val="16"/>
          <w:shd w:val="clear" w:color="auto" w:fill="E6EAEE"/>
        </w:rPr>
        <w:t>Dismissed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— swap the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class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to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ok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,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warn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or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off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. Confidence badge: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g-a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≥0.90,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g-b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0.75–0.89,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g-c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0.60–0.74,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g-d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0.40–0.59, </w:t>
      </w:r>
      <w:r>
        <w:rPr>
          <w:rFonts w:ascii="Consolas" w:hAnsi="Consolas" w:cs="Consolas" w:eastAsia="Consolas"/>
          <w:b w:val="0"/>
          <w:bCs w:val="0"/>
          <w:i w:val="0"/>
          <w:color w:val="5B6670"/>
          <w:sz w:val="16"/>
          <w:szCs w:val="16"/>
          <w:shd w:val="clear" w:color="auto" w:fill="EFF3F6"/>
        </w:rPr>
        <w:t>g-f</w:t>
      </w:r>
      <w:r>
        <w:rPr>
          <w:rFonts w:ascii="Arial" w:hAnsi="Arial" w:cs="Tahoma" w:eastAsia="Tahoma"/>
          <w:b w:val="0"/>
          <w:bCs w:val="0"/>
          <w:i w:val="0"/>
          <w:color w:val="5B6670"/>
          <w:sz w:val="16"/>
          <w:szCs w:val="16"/>
        </w:rPr>
        <w:t xml:space="preserve"> &lt;0.40. Duplicate a record block for each additional record; the heading carries its title of classification.</w:t>
      </w:r>
    </w:p>
    <w:p>
      <w:pPr>
        <w:pBdr>
          <w:bottom w:val="single" w:sz="6" w:space="4" w:color="C9D2DB"/>
        </w:pBdr>
        <w:spacing w:before="160" w:after="0" w:line="276" w:lineRule="auto"/>
      </w:pPr>
      <w:r>
        <w:rPr>
          <w:rFonts w:ascii="Arial" w:hAnsi="Arial" w:cs="Tahoma" w:eastAsia="Tahoma"/>
          <w:b w:val="0"/>
          <w:bCs w:val="0"/>
          <w:i w:val="0"/>
          <w:color w:val="5B6670"/>
          <w:sz w:val="15"/>
          <w:szCs w:val="15"/>
        </w:rPr>
        <w:t>SICPADetect · Ministry of Digital Economy and Society, Thailand · URLs are defanged for safe handling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Tahoma" w:eastAsia="Tahoma"/>
        <w:b w:val="0"/>
        <w:bCs w:val="0"/>
        <w:i w:val="0"/>
        <w:color w:val="5B6670"/>
        <w:sz w:val="16"/>
        <w:szCs w:val="16"/>
      </w:rPr>
      <w:t xml:space="preserve">Page </w:t>
    </w:r>
    <w:r>
      <w:rPr>
        <w:rFonts w:ascii="Arial" w:hAnsi="Arial" w:cs="Tahoma" w:eastAsia="Tahoma"/>
        <w:color w:val="5B6670"/>
        <w:sz w:val="16"/>
      </w:rPr>
    </w:r>
    <w:fldSimple w:instr=" PAGE ">
      <w:r>
        <w:t>1</w:t>
      </w:r>
    </w:fldSimple>
    <w:r>
      <w:rPr>
        <w:rFonts w:ascii="Arial" w:hAnsi="Arial" w:cs="Tahoma" w:eastAsia="Tahoma"/>
        <w:b w:val="0"/>
        <w:bCs w:val="0"/>
        <w:i w:val="0"/>
        <w:color w:val="5B6670"/>
        <w:sz w:val="16"/>
        <w:szCs w:val="16"/>
      </w:rPr>
      <w:t xml:space="preserve"> of </w:t>
    </w:r>
    <w:fldSimple w:instr=" NUMPAGES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D2DB"/>
      </w:pBdr>
      <w:jc w:val="left"/>
    </w:pPr>
    <w:r>
      <w:rPr>
        <w:rFonts w:ascii="Arial" w:hAnsi="Arial" w:cs="Tahoma" w:eastAsia="Tahoma"/>
        <w:b/>
        <w:bCs/>
        <w:i w:val="0"/>
        <w:color w:val="5B6670"/>
        <w:sz w:val="16"/>
        <w:szCs w:val="16"/>
      </w:rPr>
      <w:t>Site Classification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cs="Tahoma" w:eastAsia="Tahoma"/>
      <w:color w:val="1114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