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300" w:lineRule="auto"/>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9"/>
                    <a:stretch>
                      <a:fillRect/>
                    </a:stretch>
                  </pic:blipFill>
                  <pic:spPr>
                    <a:xfrm>
                      <a:off x="0" y="0"/>
                      <a:ext cx="792000" cy="779429"/>
                    </a:xfrm>
                    <a:prstGeom prst="rect"/>
                  </pic:spPr>
                </pic:pic>
              </a:graphicData>
            </a:graphic>
          </wp:inline>
        </w:drawing>
      </w: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pStyle w:val="Title"/>
      </w:pPr>
      <w:r>
        <w:rPr>
          <w:rFonts w:ascii="Arial" w:hAnsi="Arial" w:eastAsia="Arial" w:cs="Tahoma"/>
        </w:rPr>
        <w:t>Data Insights &amp; Patterns</w:t>
      </w:r>
    </w:p>
    <w:p>
      <w:pPr>
        <w:keepNext w:val="0"/>
        <w:keepLines w:val="0"/>
        <w:spacing w:before="0" w:after="720" w:line="300" w:lineRule="auto"/>
      </w:pPr>
      <w:r>
        <w:rPr>
          <w:rFonts w:ascii="Arial" w:hAnsi="Arial" w:eastAsia="Arial" w:cs="Tahoma"/>
          <w:color w:val="5D6D7E"/>
          <w:sz w:val="28"/>
          <w:szCs w:val="28"/>
        </w:rPr>
        <w:t>29,864 URLs · 4 Sep – 20 Oct 2026</w:t>
      </w:r>
    </w:p>
    <w:tbl>
      <w:tblPr>
        <w:tblLook w:firstColumn="1" w:firstRow="1" w:lastColumn="0" w:lastRow="0" w:noHBand="0" w:noVBand="1" w:val="04A0"/>
        <w:tblW w:w="9071" w:type="dxa"/>
        <w:tblLayout w:type="fixed"/>
        <w:tblBorders>
          <w:top w:val="single" w:sz="4" w:space="0" w:color="C9D2DB"/>
          <w:bottom w:val="single" w:sz="4" w:space="0" w:color="C9D2DB"/>
          <w:insideH w:val="single" w:sz="4" w:space="0" w:color="C9D2DB"/>
        </w:tblBorders>
        <w:tblCellMar>
          <w:top w:w="80" w:type="dxa"/>
          <w:left w:w="60" w:type="dxa"/>
          <w:bottom w:w="80" w:type="dxa"/>
          <w:right w:w="60" w:type="dxa"/>
        </w:tblCellMar>
      </w:tblPr>
      <w:tblGrid>
        <w:gridCol w:w="2268"/>
        <w:gridCol w:w="6803"/>
      </w:tblGrid>
      <w:tr>
        <w:tc>
          <w:tcPr>
            <w:tcW w:type="dxa" w:w="2268"/>
          </w:tcPr>
          <w:p>
            <w:pPr>
              <w:keepNext w:val="0"/>
              <w:keepLines w:val="0"/>
              <w:spacing w:before="0" w:after="0" w:line="300" w:lineRule="auto"/>
            </w:pPr>
            <w:r>
              <w:rPr>
                <w:rFonts w:ascii="Arial" w:hAnsi="Arial" w:eastAsia="Arial" w:cs="Tahoma"/>
                <w:b/>
                <w:color w:val="1F3F63"/>
                <w:sz w:val="20"/>
                <w:szCs w:val="20"/>
                <w:bCs w:val="1"/>
              </w:rPr>
              <w:t>Issued to</w:t>
            </w:r>
          </w:p>
        </w:tc>
        <w:tc>
          <w:tcPr>
            <w:tcW w:type="dxa" w:w="6803"/>
          </w:tcPr>
          <w:p>
            <w:pPr>
              <w:keepNext w:val="0"/>
              <w:keepLines w:val="0"/>
              <w:spacing w:before="0" w:after="0" w:line="300" w:lineRule="auto"/>
            </w:pPr>
            <w:r>
              <w:rPr>
                <w:rFonts w:ascii="Arial" w:hAnsi="Arial" w:eastAsia="Arial" w:cs="Tahoma"/>
                <w:sz w:val="20"/>
                <w:szCs w:val="20"/>
              </w:rPr>
              <w:t>Ministry of Digital Economy and Society, Thailand</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Prepared by</w:t>
            </w:r>
          </w:p>
        </w:tc>
        <w:tc>
          <w:tcPr>
            <w:tcW w:type="dxa" w:w="6803"/>
          </w:tcPr>
          <w:p>
            <w:pPr>
              <w:keepNext w:val="0"/>
              <w:keepLines w:val="0"/>
              <w:spacing w:before="0" w:after="0" w:line="300" w:lineRule="auto"/>
            </w:pPr>
            <w:r>
              <w:rPr>
                <w:rFonts w:ascii="Arial" w:hAnsi="Arial" w:eastAsia="Arial" w:cs="Tahoma"/>
                <w:sz w:val="20"/>
                <w:szCs w:val="20"/>
              </w:rPr>
              <w:t>SICPA SA</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Date of issue</w:t>
            </w:r>
          </w:p>
        </w:tc>
        <w:tc>
          <w:tcPr>
            <w:tcW w:type="dxa" w:w="6803"/>
          </w:tcPr>
          <w:p>
            <w:pPr>
              <w:keepNext w:val="0"/>
              <w:keepLines w:val="0"/>
              <w:spacing w:before="0" w:after="0" w:line="300" w:lineRule="auto"/>
            </w:pPr>
            <w:r>
              <w:rPr>
                <w:rFonts w:ascii="Arial" w:hAnsi="Arial" w:eastAsia="Arial" w:cs="Tahoma"/>
                <w:sz w:val="20"/>
                <w:szCs w:val="20"/>
              </w:rPr>
              <w:t>21/10/2026</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Source system</w:t>
            </w:r>
          </w:p>
        </w:tc>
        <w:tc>
          <w:tcPr>
            <w:tcW w:type="dxa" w:w="6803"/>
          </w:tcPr>
          <w:p>
            <w:pPr>
              <w:keepNext w:val="0"/>
              <w:keepLines w:val="0"/>
              <w:spacing w:before="0" w:after="0" w:line="300" w:lineRule="auto"/>
            </w:pPr>
            <w:r>
              <w:rPr>
                <w:rFonts w:ascii="Arial" w:hAnsi="Arial" w:eastAsia="Arial" w:cs="Tahoma"/>
                <w:sz w:val="20"/>
                <w:szCs w:val="20"/>
              </w:rPr>
              <w:t>SICPADetect, lexicon V1 (Gambling_Keywords_Full_English_Categories_V1.xlsx)</w:t>
            </w:r>
          </w:p>
        </w:tc>
      </w:tr>
    </w:tbl>
    <w:p>
      <w:pPr>
        <w:keepNext w:val="0"/>
        <w:keepLines w:val="0"/>
        <w:spacing w:before="0" w:after="0" w:line="20" w:lineRule="exact"/>
      </w:pPr>
      <w:r>
        <w:br w:type="page"/>
      </w: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r>
              <w:rPr>
                <w:rFonts w:ascii="Arial" w:hAnsi="Arial" w:eastAsia="Arial" w:cs="Tahoma"/>
              </w:rPr>
              <w:t>Contents</w:t>
            </w:r>
          </w:p>
          <w:tbl>
            <w:tblPr>
              <w:tblLook w:firstColumn="1" w:firstRow="1" w:lastColumn="0" w:lastRow="0" w:noHBand="0" w:noVBand="1" w:val="04A0"/>
              <w:tblW w:w="7937" w:type="dxa"/>
              <w:tblLayout w:type="fixed"/>
              <w:tblCellMar>
                <w:top w:w="18" w:type="dxa"/>
                <w:left w:w="0" w:type="dxa"/>
                <w:bottom w:w="18" w:type="dxa"/>
                <w:right w:w="0" w:type="dxa"/>
              </w:tblCellMar>
            </w:tblPr>
            <w:tblGrid>
              <w:gridCol w:w="7257"/>
              <w:gridCol w:w="680"/>
            </w:tblGrid>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Executive Summary</w:t>
                  </w:r>
                </w:p>
              </w:tc>
              <w:tc>
                <w:tcPr>
                  <w:tcW w:type="dxa" w:w="680"/>
                </w:tcPr>
                <w:p>
                  <w:pPr>
                    <w:keepNext w:val="0"/>
                    <w:keepLines w:val="0"/>
                    <w:spacing w:before="0" w:after="0" w:line="264" w:lineRule="auto"/>
                    <w:jc w:val="right"/>
                  </w:pPr>
                  <w:r>
                    <w:fldChar w:fldCharType="begin"/>
                  </w:r>
                  <w:r>
                    <w:instrText xml:space="preserve"> PAGEREF _toc1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Insights and trends</w:t>
                  </w:r>
                </w:p>
              </w:tc>
              <w:tc>
                <w:tcPr>
                  <w:tcW w:type="dxa" w:w="680"/>
                </w:tcPr>
                <w:p>
                  <w:pPr>
                    <w:keepNext w:val="0"/>
                    <w:keepLines w:val="0"/>
                    <w:spacing w:before="0" w:after="0" w:line="264" w:lineRule="auto"/>
                    <w:jc w:val="right"/>
                  </w:pPr>
                  <w:r>
                    <w:fldChar w:fldCharType="begin"/>
                  </w:r>
                  <w:r>
                    <w:instrText xml:space="preserve"> PAGEREF _toc2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figures</w:t>
                  </w:r>
                </w:p>
              </w:tc>
              <w:tc>
                <w:tcPr>
                  <w:tcW w:type="dxa" w:w="680"/>
                </w:tcPr>
                <w:p>
                  <w:pPr>
                    <w:keepNext w:val="0"/>
                    <w:keepLines w:val="0"/>
                    <w:spacing w:before="0" w:after="0" w:line="264" w:lineRule="auto"/>
                    <w:jc w:val="right"/>
                  </w:pPr>
                  <w:r>
                    <w:fldChar w:fldCharType="begin"/>
                  </w:r>
                  <w:r>
                    <w:instrText xml:space="preserve"> PAGEREF _toc3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Model Insights</w:t>
                  </w:r>
                </w:p>
              </w:tc>
              <w:tc>
                <w:tcPr>
                  <w:tcW w:type="dxa" w:w="680"/>
                </w:tcPr>
                <w:p>
                  <w:pPr>
                    <w:keepNext w:val="0"/>
                    <w:keepLines w:val="0"/>
                    <w:spacing w:before="0" w:after="0" w:line="264" w:lineRule="auto"/>
                    <w:jc w:val="right"/>
                  </w:pPr>
                  <w:r>
                    <w:fldChar w:fldCharType="begin"/>
                  </w:r>
                  <w:r>
                    <w:instrText xml:space="preserve"> PAGEREF _toc4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Introduction</w:t>
                  </w:r>
                </w:p>
              </w:tc>
              <w:tc>
                <w:tcPr>
                  <w:tcW w:type="dxa" w:w="680"/>
                </w:tcPr>
                <w:p>
                  <w:pPr>
                    <w:keepNext w:val="0"/>
                    <w:keepLines w:val="0"/>
                    <w:spacing w:before="0" w:after="0" w:line="264" w:lineRule="auto"/>
                    <w:jc w:val="right"/>
                  </w:pPr>
                  <w:r>
                    <w:fldChar w:fldCharType="begin"/>
                  </w:r>
                  <w:r>
                    <w:instrText xml:space="preserve"> PAGEREF _toc5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Executive Summary</w:t>
                  </w:r>
                </w:p>
              </w:tc>
              <w:tc>
                <w:tcPr>
                  <w:tcW w:type="dxa" w:w="680"/>
                </w:tcPr>
                <w:p>
                  <w:pPr>
                    <w:keepNext w:val="0"/>
                    <w:keepLines w:val="0"/>
                    <w:spacing w:before="0" w:after="0" w:line="264" w:lineRule="auto"/>
                    <w:jc w:val="right"/>
                  </w:pPr>
                  <w:r>
                    <w:fldChar w:fldCharType="begin"/>
                  </w:r>
                  <w:r>
                    <w:instrText xml:space="preserve"> PAGEREF _toc6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Overall and per class results</w:t>
                  </w:r>
                </w:p>
              </w:tc>
              <w:tc>
                <w:tcPr>
                  <w:tcW w:type="dxa" w:w="680"/>
                </w:tcPr>
                <w:p>
                  <w:pPr>
                    <w:keepNext w:val="0"/>
                    <w:keepLines w:val="0"/>
                    <w:spacing w:before="0" w:after="0" w:line="264" w:lineRule="auto"/>
                    <w:jc w:val="right"/>
                  </w:pPr>
                  <w:r>
                    <w:fldChar w:fldCharType="begin"/>
                  </w:r>
                  <w:r>
                    <w:instrText xml:space="preserve"> PAGEREF _toc7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Error Analysis</w:t>
                  </w:r>
                </w:p>
              </w:tc>
              <w:tc>
                <w:tcPr>
                  <w:tcW w:type="dxa" w:w="680"/>
                </w:tcPr>
                <w:p>
                  <w:pPr>
                    <w:keepNext w:val="0"/>
                    <w:keepLines w:val="0"/>
                    <w:spacing w:before="0" w:after="0" w:line="264" w:lineRule="auto"/>
                    <w:jc w:val="right"/>
                  </w:pPr>
                  <w:r>
                    <w:fldChar w:fldCharType="begin"/>
                  </w:r>
                  <w:r>
                    <w:instrText xml:space="preserve"> PAGEREF _toc8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Segments and Confidence</w:t>
                  </w:r>
                </w:p>
              </w:tc>
              <w:tc>
                <w:tcPr>
                  <w:tcW w:type="dxa" w:w="680"/>
                </w:tcPr>
                <w:p>
                  <w:pPr>
                    <w:keepNext w:val="0"/>
                    <w:keepLines w:val="0"/>
                    <w:spacing w:before="0" w:after="0" w:line="264" w:lineRule="auto"/>
                    <w:jc w:val="right"/>
                  </w:pPr>
                  <w:r>
                    <w:fldChar w:fldCharType="begin"/>
                  </w:r>
                  <w:r>
                    <w:instrText xml:space="preserve"> PAGEREF _toc9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Data Analysis</w:t>
                  </w:r>
                </w:p>
              </w:tc>
              <w:tc>
                <w:tcPr>
                  <w:tcW w:type="dxa" w:w="680"/>
                </w:tcPr>
                <w:p>
                  <w:pPr>
                    <w:keepNext w:val="0"/>
                    <w:keepLines w:val="0"/>
                    <w:spacing w:before="0" w:after="0" w:line="264" w:lineRule="auto"/>
                    <w:jc w:val="right"/>
                  </w:pPr>
                  <w:r>
                    <w:fldChar w:fldCharType="begin"/>
                  </w:r>
                  <w:r>
                    <w:instrText xml:space="preserve"> PAGEREF _toc10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_toc11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_toc12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The numbers</w:t>
                  </w:r>
                </w:p>
              </w:tc>
              <w:tc>
                <w:tcPr>
                  <w:tcW w:type="dxa" w:w="680"/>
                </w:tcPr>
                <w:p>
                  <w:pPr>
                    <w:keepNext w:val="0"/>
                    <w:keepLines w:val="0"/>
                    <w:spacing w:before="0" w:after="0" w:line="264" w:lineRule="auto"/>
                    <w:jc w:val="right"/>
                  </w:pPr>
                  <w:r>
                    <w:fldChar w:fldCharType="begin"/>
                  </w:r>
                  <w:r>
                    <w:instrText xml:space="preserve"> PAGEREF _toc13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URLs are classified</w:t>
                  </w:r>
                </w:p>
              </w:tc>
              <w:tc>
                <w:tcPr>
                  <w:tcW w:type="dxa" w:w="680"/>
                </w:tcPr>
                <w:p>
                  <w:pPr>
                    <w:keepNext w:val="0"/>
                    <w:keepLines w:val="0"/>
                    <w:spacing w:before="0" w:after="0" w:line="264" w:lineRule="auto"/>
                    <w:jc w:val="right"/>
                  </w:pPr>
                  <w:r>
                    <w:fldChar w:fldCharType="begin"/>
                  </w:r>
                  <w:r>
                    <w:instrText xml:space="preserve"> PAGEREF _toc14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From collection to analysis</w:t>
                  </w:r>
                </w:p>
              </w:tc>
              <w:tc>
                <w:tcPr>
                  <w:tcW w:type="dxa" w:w="680"/>
                </w:tcPr>
                <w:p>
                  <w:pPr>
                    <w:keepNext w:val="0"/>
                    <w:keepLines w:val="0"/>
                    <w:spacing w:before="0" w:after="0" w:line="264" w:lineRule="auto"/>
                    <w:jc w:val="right"/>
                  </w:pPr>
                  <w:r>
                    <w:fldChar w:fldCharType="begin"/>
                  </w:r>
                  <w:r>
                    <w:instrText xml:space="preserve"> PAGEREF _toc15 \h </w:instrText>
                  </w:r>
                  <w:r>
                    <w:fldChar w:fldCharType="separate"/>
                  </w:r>
                  <w:r>
                    <w:rPr>
                      <w:rFonts w:ascii="Arial" w:hAnsi="Arial" w:eastAsia="Arial" w:cs="Tahoma"/>
                      <w:color w:val="1B2733"/>
                      <w:sz w:val="18"/>
                      <w:szCs w:val="18"/>
                    </w:rPr>
                    <w:t>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URLs analyzed per day</w:t>
                  </w:r>
                </w:p>
              </w:tc>
              <w:tc>
                <w:tcPr>
                  <w:tcW w:type="dxa" w:w="680"/>
                </w:tcPr>
                <w:p>
                  <w:pPr>
                    <w:keepNext w:val="0"/>
                    <w:keepLines w:val="0"/>
                    <w:spacing w:before="0" w:after="0" w:line="264" w:lineRule="auto"/>
                    <w:jc w:val="right"/>
                  </w:pPr>
                  <w:r>
                    <w:fldChar w:fldCharType="begin"/>
                  </w:r>
                  <w:r>
                    <w:instrText xml:space="preserve"> PAGEREF _toc16 \h </w:instrText>
                  </w:r>
                  <w:r>
                    <w:fldChar w:fldCharType="separate"/>
                  </w:r>
                  <w:r>
                    <w:rPr>
                      <w:rFonts w:ascii="Arial" w:hAnsi="Arial" w:eastAsia="Arial" w:cs="Tahoma"/>
                      <w:color w:val="1B2733"/>
                      <w:sz w:val="18"/>
                      <w:szCs w:val="18"/>
                    </w:rPr>
                    <w:t>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Status distribution</w:t>
                  </w:r>
                </w:p>
              </w:tc>
              <w:tc>
                <w:tcPr>
                  <w:tcW w:type="dxa" w:w="680"/>
                </w:tcPr>
                <w:p>
                  <w:pPr>
                    <w:keepNext w:val="0"/>
                    <w:keepLines w:val="0"/>
                    <w:spacing w:before="0" w:after="0" w:line="264" w:lineRule="auto"/>
                    <w:jc w:val="right"/>
                  </w:pPr>
                  <w:r>
                    <w:fldChar w:fldCharType="begin"/>
                  </w:r>
                  <w:r>
                    <w:instrText xml:space="preserve"> PAGEREF _toc17 \h </w:instrText>
                  </w:r>
                  <w:r>
                    <w:fldChar w:fldCharType="separate"/>
                  </w:r>
                  <w:r>
                    <w:rPr>
                      <w:rFonts w:ascii="Arial" w:hAnsi="Arial" w:eastAsia="Arial" w:cs="Tahoma"/>
                      <w:color w:val="1B2733"/>
                      <w:sz w:val="18"/>
                      <w:szCs w:val="18"/>
                    </w:rPr>
                    <w:t>10</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10 URL suffixes</w:t>
                  </w:r>
                </w:p>
              </w:tc>
              <w:tc>
                <w:tcPr>
                  <w:tcW w:type="dxa" w:w="680"/>
                </w:tcPr>
                <w:p>
                  <w:pPr>
                    <w:keepNext w:val="0"/>
                    <w:keepLines w:val="0"/>
                    <w:spacing w:before="0" w:after="0" w:line="264" w:lineRule="auto"/>
                    <w:jc w:val="right"/>
                  </w:pPr>
                  <w:r>
                    <w:fldChar w:fldCharType="begin"/>
                  </w:r>
                  <w:r>
                    <w:instrText xml:space="preserve"> PAGEREF _toc18 \h </w:instrText>
                  </w:r>
                  <w:r>
                    <w:fldChar w:fldCharType="separate"/>
                  </w:r>
                  <w:r>
                    <w:rPr>
                      <w:rFonts w:ascii="Arial" w:hAnsi="Arial" w:eastAsia="Arial" w:cs="Tahoma"/>
                      <w:color w:val="1B2733"/>
                      <w:sz w:val="18"/>
                      <w:szCs w:val="18"/>
                    </w:rPr>
                    <w:t>11</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Subcategories</w:t>
                  </w:r>
                </w:p>
              </w:tc>
              <w:tc>
                <w:tcPr>
                  <w:tcW w:type="dxa" w:w="680"/>
                </w:tcPr>
                <w:p>
                  <w:pPr>
                    <w:keepNext w:val="0"/>
                    <w:keepLines w:val="0"/>
                    <w:spacing w:before="0" w:after="0" w:line="264" w:lineRule="auto"/>
                    <w:jc w:val="right"/>
                  </w:pPr>
                  <w:r>
                    <w:fldChar w:fldCharType="begin"/>
                  </w:r>
                  <w:r>
                    <w:instrText xml:space="preserve"> PAGEREF _toc19 \h </w:instrText>
                  </w:r>
                  <w:r>
                    <w:fldChar w:fldCharType="separate"/>
                  </w:r>
                  <w:r>
                    <w:rPr>
                      <w:rFonts w:ascii="Arial" w:hAnsi="Arial" w:eastAsia="Arial" w:cs="Tahoma"/>
                      <w:color w:val="1B2733"/>
                      <w:sz w:val="18"/>
                      <w:szCs w:val="18"/>
                    </w:rPr>
                    <w:t>12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sites by product subcategory</w:t>
                  </w:r>
                </w:p>
              </w:tc>
              <w:tc>
                <w:tcPr>
                  <w:tcW w:type="dxa" w:w="680"/>
                </w:tcPr>
                <w:p>
                  <w:pPr>
                    <w:keepNext w:val="0"/>
                    <w:keepLines w:val="0"/>
                    <w:spacing w:before="0" w:after="0" w:line="264" w:lineRule="auto"/>
                    <w:jc w:val="right"/>
                  </w:pPr>
                  <w:r>
                    <w:fldChar w:fldCharType="begin"/>
                  </w:r>
                  <w:r>
                    <w:instrText xml:space="preserve"> PAGEREF _toc20 \h </w:instrText>
                  </w:r>
                  <w:r>
                    <w:fldChar w:fldCharType="separate"/>
                  </w:r>
                  <w:r>
                    <w:rPr>
                      <w:rFonts w:ascii="Arial" w:hAnsi="Arial" w:eastAsia="Arial" w:cs="Tahoma"/>
                      <w:color w:val="1B2733"/>
                      <w:sz w:val="18"/>
                      <w:szCs w:val="18"/>
                    </w:rPr>
                    <w:t>12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Assignment method by subcategory</w:t>
                  </w:r>
                </w:p>
              </w:tc>
              <w:tc>
                <w:tcPr>
                  <w:tcW w:type="dxa" w:w="680"/>
                </w:tcPr>
                <w:p>
                  <w:pPr>
                    <w:keepNext w:val="0"/>
                    <w:keepLines w:val="0"/>
                    <w:spacing w:before="0" w:after="0" w:line="264" w:lineRule="auto"/>
                    <w:jc w:val="right"/>
                  </w:pPr>
                  <w:r>
                    <w:fldChar w:fldCharType="begin"/>
                  </w:r>
                  <w:r>
                    <w:instrText xml:space="preserve"> PAGEREF _toc21 \h </w:instrText>
                  </w:r>
                  <w:r>
                    <w:fldChar w:fldCharType="separate"/>
                  </w:r>
                  <w:r>
                    <w:rPr>
                      <w:rFonts w:ascii="Arial" w:hAnsi="Arial" w:eastAsia="Arial" w:cs="Tahoma"/>
                      <w:color w:val="1B2733"/>
                      <w:sz w:val="18"/>
                      <w:szCs w:val="18"/>
                    </w:rPr>
                    <w:t>13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Subcategory table</w:t>
                  </w:r>
                </w:p>
              </w:tc>
              <w:tc>
                <w:tcPr>
                  <w:tcW w:type="dxa" w:w="680"/>
                </w:tcPr>
                <w:p>
                  <w:pPr>
                    <w:keepNext w:val="0"/>
                    <w:keepLines w:val="0"/>
                    <w:spacing w:before="0" w:after="0" w:line="264" w:lineRule="auto"/>
                    <w:jc w:val="right"/>
                  </w:pPr>
                  <w:r>
                    <w:fldChar w:fldCharType="begin"/>
                  </w:r>
                  <w:r>
                    <w:instrText xml:space="preserve"> PAGEREF _toc22 \h </w:instrText>
                  </w:r>
                  <w:r>
                    <w:fldChar w:fldCharType="separate"/>
                  </w:r>
                  <w:r>
                    <w:rPr>
                      <w:rFonts w:ascii="Arial" w:hAnsi="Arial" w:eastAsia="Arial" w:cs="Tahoma"/>
                      <w:color w:val="1B2733"/>
                      <w:sz w:val="18"/>
                      <w:szCs w:val="18"/>
                    </w:rPr>
                    <w:t>14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Keyword × subcategory</w:t>
                  </w:r>
                </w:p>
              </w:tc>
              <w:tc>
                <w:tcPr>
                  <w:tcW w:type="dxa" w:w="680"/>
                </w:tcPr>
                <w:p>
                  <w:pPr>
                    <w:keepNext w:val="0"/>
                    <w:keepLines w:val="0"/>
                    <w:spacing w:before="0" w:after="0" w:line="264" w:lineRule="auto"/>
                    <w:jc w:val="right"/>
                  </w:pPr>
                  <w:r>
                    <w:fldChar w:fldCharType="begin"/>
                  </w:r>
                  <w:r>
                    <w:instrText xml:space="preserve"> PAGEREF _toc23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Signal tag × subcategory</w:t>
                  </w:r>
                </w:p>
              </w:tc>
              <w:tc>
                <w:tcPr>
                  <w:tcW w:type="dxa" w:w="680"/>
                </w:tcPr>
                <w:p>
                  <w:pPr>
                    <w:keepNext w:val="0"/>
                    <w:keepLines w:val="0"/>
                    <w:spacing w:before="0" w:after="0" w:line="264" w:lineRule="auto"/>
                    <w:jc w:val="right"/>
                  </w:pPr>
                  <w:r>
                    <w:fldChar w:fldCharType="begin"/>
                  </w:r>
                  <w:r>
                    <w:instrText xml:space="preserve"> PAGEREF _toc24 \h </w:instrText>
                  </w:r>
                  <w:r>
                    <w:fldChar w:fldCharType="separate"/>
                  </w:r>
                  <w:r>
                    <w:rPr>
                      <w:rFonts w:ascii="Arial" w:hAnsi="Arial" w:eastAsia="Arial" w:cs="Tahoma"/>
                      <w:color w:val="1B2733"/>
                      <w:sz w:val="18"/>
                      <w:szCs w:val="18"/>
                    </w:rPr>
                    <w:t>16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Brands and clustering</w:t>
                  </w:r>
                </w:p>
              </w:tc>
              <w:tc>
                <w:tcPr>
                  <w:tcW w:type="dxa" w:w="680"/>
                </w:tcPr>
                <w:p>
                  <w:pPr>
                    <w:keepNext w:val="0"/>
                    <w:keepLines w:val="0"/>
                    <w:spacing w:before="0" w:after="0" w:line="264" w:lineRule="auto"/>
                    <w:jc w:val="right"/>
                  </w:pPr>
                  <w:r>
                    <w:fldChar w:fldCharType="begin"/>
                  </w:r>
                  <w:r>
                    <w:instrText xml:space="preserve"> PAGEREF _toc25 \h </w:instrText>
                  </w:r>
                  <w:r>
                    <w:fldChar w:fldCharType="separate"/>
                  </w:r>
                  <w:r>
                    <w:rPr>
                      <w:rFonts w:ascii="Arial" w:hAnsi="Arial" w:eastAsia="Arial" w:cs="Tahoma"/>
                      <w:color w:val="1B2733"/>
                      <w:sz w:val="18"/>
                      <w:szCs w:val="18"/>
                    </w:rPr>
                    <w:t>16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brand clusters are</w:t>
                  </w:r>
                </w:p>
              </w:tc>
              <w:tc>
                <w:tcPr>
                  <w:tcW w:type="dxa" w:w="680"/>
                </w:tcPr>
                <w:p>
                  <w:pPr>
                    <w:keepNext w:val="0"/>
                    <w:keepLines w:val="0"/>
                    <w:spacing w:before="0" w:after="0" w:line="264" w:lineRule="auto"/>
                    <w:jc w:val="right"/>
                  </w:pPr>
                  <w:r>
                    <w:fldChar w:fldCharType="begin"/>
                  </w:r>
                  <w:r>
                    <w:instrText xml:space="preserve"> PAGEREF _toc26 \h </w:instrText>
                  </w:r>
                  <w:r>
                    <w:fldChar w:fldCharType="separate"/>
                  </w:r>
                  <w:r>
                    <w:rPr>
                      <w:rFonts w:ascii="Arial" w:hAnsi="Arial" w:eastAsia="Arial" w:cs="Tahoma"/>
                      <w:color w:val="1B2733"/>
                      <w:sz w:val="18"/>
                      <w:szCs w:val="18"/>
                    </w:rPr>
                    <w:t>16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Domains with the most URLs</w:t>
                  </w:r>
                </w:p>
              </w:tc>
              <w:tc>
                <w:tcPr>
                  <w:tcW w:type="dxa" w:w="680"/>
                </w:tcPr>
                <w:p>
                  <w:pPr>
                    <w:keepNext w:val="0"/>
                    <w:keepLines w:val="0"/>
                    <w:spacing w:before="0" w:after="0" w:line="264" w:lineRule="auto"/>
                    <w:jc w:val="right"/>
                  </w:pPr>
                  <w:r>
                    <w:fldChar w:fldCharType="begin"/>
                  </w:r>
                  <w:r>
                    <w:instrText xml:space="preserve"> PAGEREF _toc27 \h </w:instrText>
                  </w:r>
                  <w:r>
                    <w:fldChar w:fldCharType="separate"/>
                  </w:r>
                  <w:r>
                    <w:rPr>
                      <w:rFonts w:ascii="Arial" w:hAnsi="Arial" w:eastAsia="Arial" w:cs="Tahoma"/>
                      <w:color w:val="1B2733"/>
                      <w:sz w:val="18"/>
                      <w:szCs w:val="18"/>
                    </w:rPr>
                    <w:t>17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15 brand clusters by URL count</w:t>
                  </w:r>
                </w:p>
              </w:tc>
              <w:tc>
                <w:tcPr>
                  <w:tcW w:type="dxa" w:w="680"/>
                </w:tcPr>
                <w:p>
                  <w:pPr>
                    <w:keepNext w:val="0"/>
                    <w:keepLines w:val="0"/>
                    <w:spacing w:before="0" w:after="0" w:line="264" w:lineRule="auto"/>
                    <w:jc w:val="right"/>
                  </w:pPr>
                  <w:r>
                    <w:fldChar w:fldCharType="begin"/>
                  </w:r>
                  <w:r>
                    <w:instrText xml:space="preserve"> PAGEREF _toc28 \h </w:instrText>
                  </w:r>
                  <w:r>
                    <w:fldChar w:fldCharType="separate"/>
                  </w:r>
                  <w:r>
                    <w:rPr>
                      <w:rFonts w:ascii="Arial" w:hAnsi="Arial" w:eastAsia="Arial" w:cs="Tahoma"/>
                      <w:color w:val="1B2733"/>
                      <w:sz w:val="18"/>
                      <w:szCs w:val="18"/>
                    </w:rPr>
                    <w:t>18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Brand cluster × subcategory</w:t>
                  </w:r>
                </w:p>
              </w:tc>
              <w:tc>
                <w:tcPr>
                  <w:tcW w:type="dxa" w:w="680"/>
                </w:tcPr>
                <w:p>
                  <w:pPr>
                    <w:keepNext w:val="0"/>
                    <w:keepLines w:val="0"/>
                    <w:spacing w:before="0" w:after="0" w:line="264" w:lineRule="auto"/>
                    <w:jc w:val="right"/>
                  </w:pPr>
                  <w:r>
                    <w:fldChar w:fldCharType="begin"/>
                  </w:r>
                  <w:r>
                    <w:instrText xml:space="preserve"> PAGEREF _toc29 \h </w:instrText>
                  </w:r>
                  <w:r>
                    <w:fldChar w:fldCharType="separate"/>
                  </w:r>
                  <w:r>
                    <w:rPr>
                      <w:rFonts w:ascii="Arial" w:hAnsi="Arial" w:eastAsia="Arial" w:cs="Tahoma"/>
                      <w:color w:val="1B2733"/>
                      <w:sz w:val="18"/>
                      <w:szCs w:val="18"/>
                    </w:rPr>
                    <w:t>19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 expansion: jun8</w:t>
                  </w:r>
                </w:p>
              </w:tc>
              <w:tc>
                <w:tcPr>
                  <w:tcW w:type="dxa" w:w="680"/>
                </w:tcPr>
                <w:p>
                  <w:pPr>
                    <w:keepNext w:val="0"/>
                    <w:keepLines w:val="0"/>
                    <w:spacing w:before="0" w:after="0" w:line="264" w:lineRule="auto"/>
                    <w:jc w:val="right"/>
                  </w:pPr>
                  <w:r>
                    <w:fldChar w:fldCharType="begin"/>
                  </w:r>
                  <w:r>
                    <w:instrText xml:space="preserve"> PAGEREF _toc30 \h </w:instrText>
                  </w:r>
                  <w:r>
                    <w:fldChar w:fldCharType="separate"/>
                  </w:r>
                  <w:r>
                    <w:rPr>
                      <w:rFonts w:ascii="Arial" w:hAnsi="Arial" w:eastAsia="Arial" w:cs="Tahoma"/>
                      <w:color w:val="1B2733"/>
                      <w:sz w:val="18"/>
                      <w:szCs w:val="18"/>
                    </w:rPr>
                    <w:t>20</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Inside the largest cluster</w:t>
                  </w:r>
                </w:p>
              </w:tc>
              <w:tc>
                <w:tcPr>
                  <w:tcW w:type="dxa" w:w="680"/>
                </w:tcPr>
                <w:p>
                  <w:pPr>
                    <w:keepNext w:val="0"/>
                    <w:keepLines w:val="0"/>
                    <w:spacing w:before="0" w:after="0" w:line="264" w:lineRule="auto"/>
                    <w:jc w:val="right"/>
                  </w:pPr>
                  <w:r>
                    <w:fldChar w:fldCharType="begin"/>
                  </w:r>
                  <w:r>
                    <w:instrText xml:space="preserve"> PAGEREF _toc31 \h </w:instrText>
                  </w:r>
                  <w:r>
                    <w:fldChar w:fldCharType="separate"/>
                  </w:r>
                  <w:r>
                    <w:rPr>
                      <w:rFonts w:ascii="Arial" w:hAnsi="Arial" w:eastAsia="Arial" w:cs="Tahoma"/>
                      <w:color w:val="1B2733"/>
                      <w:sz w:val="18"/>
                      <w:szCs w:val="18"/>
                    </w:rPr>
                    <w:t>21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spanning multiple subcategories</w:t>
                  </w:r>
                </w:p>
              </w:tc>
              <w:tc>
                <w:tcPr>
                  <w:tcW w:type="dxa" w:w="680"/>
                </w:tcPr>
                <w:p>
                  <w:pPr>
                    <w:keepNext w:val="0"/>
                    <w:keepLines w:val="0"/>
                    <w:spacing w:before="0" w:after="0" w:line="264" w:lineRule="auto"/>
                    <w:jc w:val="right"/>
                  </w:pPr>
                  <w:r>
                    <w:fldChar w:fldCharType="begin"/>
                  </w:r>
                  <w:r>
                    <w:instrText xml:space="preserve"> PAGEREF _toc32 \h </w:instrText>
                  </w:r>
                  <w:r>
                    <w:fldChar w:fldCharType="separate"/>
                  </w:r>
                  <w:r>
                    <w:rPr>
                      <w:rFonts w:ascii="Arial" w:hAnsi="Arial" w:eastAsia="Arial" w:cs="Tahoma"/>
                      <w:color w:val="1B2733"/>
                      <w:sz w:val="18"/>
                      <w:szCs w:val="18"/>
                    </w:rPr>
                    <w:t>22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rotating top-level domains</w:t>
                  </w:r>
                </w:p>
              </w:tc>
              <w:tc>
                <w:tcPr>
                  <w:tcW w:type="dxa" w:w="680"/>
                </w:tcPr>
                <w:p>
                  <w:pPr>
                    <w:keepNext w:val="0"/>
                    <w:keepLines w:val="0"/>
                    <w:spacing w:before="0" w:after="0" w:line="264" w:lineRule="auto"/>
                    <w:jc w:val="right"/>
                  </w:pPr>
                  <w:r>
                    <w:fldChar w:fldCharType="begin"/>
                  </w:r>
                  <w:r>
                    <w:instrText xml:space="preserve"> PAGEREF _toc33 \h </w:instrText>
                  </w:r>
                  <w:r>
                    <w:fldChar w:fldCharType="separate"/>
                  </w:r>
                  <w:r>
                    <w:rPr>
                      <w:rFonts w:ascii="Arial" w:hAnsi="Arial" w:eastAsia="Arial" w:cs="Tahoma"/>
                      <w:color w:val="1B2733"/>
                      <w:sz w:val="18"/>
                      <w:szCs w:val="18"/>
                    </w:rPr>
                    <w:t>23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Possible operator linkage</w:t>
                  </w:r>
                </w:p>
              </w:tc>
              <w:tc>
                <w:tcPr>
                  <w:tcW w:type="dxa" w:w="680"/>
                </w:tcPr>
                <w:p>
                  <w:pPr>
                    <w:keepNext w:val="0"/>
                    <w:keepLines w:val="0"/>
                    <w:spacing w:before="0" w:after="0" w:line="264" w:lineRule="auto"/>
                    <w:jc w:val="right"/>
                  </w:pPr>
                  <w:r>
                    <w:fldChar w:fldCharType="begin"/>
                  </w:r>
                  <w:r>
                    <w:instrText xml:space="preserve"> PAGEREF _toc34 \h </w:instrText>
                  </w:r>
                  <w:r>
                    <w:fldChar w:fldCharType="separate"/>
                  </w:r>
                  <w:r>
                    <w:rPr>
                      <w:rFonts w:ascii="Arial" w:hAnsi="Arial" w:eastAsia="Arial" w:cs="Tahoma"/>
                      <w:color w:val="1B2733"/>
                      <w:sz w:val="18"/>
                      <w:szCs w:val="18"/>
                    </w:rPr>
                    <w:t>24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Naming conventions</w:t>
                  </w:r>
                </w:p>
              </w:tc>
              <w:tc>
                <w:tcPr>
                  <w:tcW w:type="dxa" w:w="680"/>
                </w:tcPr>
                <w:p>
                  <w:pPr>
                    <w:keepNext w:val="0"/>
                    <w:keepLines w:val="0"/>
                    <w:spacing w:before="0" w:after="0" w:line="264" w:lineRule="auto"/>
                    <w:jc w:val="right"/>
                  </w:pPr>
                  <w:r>
                    <w:fldChar w:fldCharType="begin"/>
                  </w:r>
                  <w:r>
                    <w:instrText xml:space="preserve"> PAGEREF _toc35 \h </w:instrText>
                  </w:r>
                  <w:r>
                    <w:fldChar w:fldCharType="separate"/>
                  </w:r>
                  <w:r>
                    <w:rPr>
                      <w:rFonts w:ascii="Arial" w:hAnsi="Arial" w:eastAsia="Arial" w:cs="Tahoma"/>
                      <w:color w:val="1B2733"/>
                      <w:sz w:val="18"/>
                      <w:szCs w:val="18"/>
                    </w:rPr>
                    <w:t>25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Structure: direct → redirect → variant</w:t>
                  </w:r>
                </w:p>
              </w:tc>
              <w:tc>
                <w:tcPr>
                  <w:tcW w:type="dxa" w:w="680"/>
                </w:tcPr>
                <w:p>
                  <w:pPr>
                    <w:keepNext w:val="0"/>
                    <w:keepLines w:val="0"/>
                    <w:spacing w:before="0" w:after="0" w:line="264" w:lineRule="auto"/>
                    <w:jc w:val="right"/>
                  </w:pPr>
                  <w:r>
                    <w:fldChar w:fldCharType="begin"/>
                  </w:r>
                  <w:r>
                    <w:instrText xml:space="preserve"> PAGEREF _toc36 \h </w:instrText>
                  </w:r>
                  <w:r>
                    <w:fldChar w:fldCharType="separate"/>
                  </w:r>
                  <w:r>
                    <w:rPr>
                      <w:rFonts w:ascii="Arial" w:hAnsi="Arial" w:eastAsia="Arial" w:cs="Tahoma"/>
                      <w:color w:val="1B2733"/>
                      <w:sz w:val="18"/>
                      <w:szCs w:val="18"/>
                    </w:rPr>
                    <w:t>25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Ranking</w:t>
                  </w:r>
                </w:p>
              </w:tc>
              <w:tc>
                <w:tcPr>
                  <w:tcW w:type="dxa" w:w="680"/>
                </w:tcPr>
                <w:p>
                  <w:pPr>
                    <w:keepNext w:val="0"/>
                    <w:keepLines w:val="0"/>
                    <w:spacing w:before="0" w:after="0" w:line="264" w:lineRule="auto"/>
                    <w:jc w:val="right"/>
                  </w:pPr>
                  <w:r>
                    <w:fldChar w:fldCharType="begin"/>
                  </w:r>
                  <w:r>
                    <w:instrText xml:space="preserve"> PAGEREF _toc37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ranking</w:t>
                  </w:r>
                </w:p>
              </w:tc>
              <w:tc>
                <w:tcPr>
                  <w:tcW w:type="dxa" w:w="680"/>
                </w:tcPr>
                <w:p>
                  <w:pPr>
                    <w:keepNext w:val="0"/>
                    <w:keepLines w:val="0"/>
                    <w:spacing w:before="0" w:after="0" w:line="264" w:lineRule="auto"/>
                    <w:jc w:val="right"/>
                  </w:pPr>
                  <w:r>
                    <w:fldChar w:fldCharType="begin"/>
                  </w:r>
                  <w:r>
                    <w:instrText xml:space="preserve"> PAGEREF _toc38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Ranked brand clusters</w:t>
                  </w:r>
                </w:p>
              </w:tc>
              <w:tc>
                <w:tcPr>
                  <w:tcW w:type="dxa" w:w="680"/>
                </w:tcPr>
                <w:p>
                  <w:pPr>
                    <w:keepNext w:val="0"/>
                    <w:keepLines w:val="0"/>
                    <w:spacing w:before="0" w:after="0" w:line="264" w:lineRule="auto"/>
                    <w:jc w:val="right"/>
                  </w:pPr>
                  <w:r>
                    <w:fldChar w:fldCharType="begin"/>
                  </w:r>
                  <w:r>
                    <w:instrText xml:space="preserve"> PAGEREF _toc39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insights</w:t>
                  </w:r>
                </w:p>
              </w:tc>
              <w:tc>
                <w:tcPr>
                  <w:tcW w:type="dxa" w:w="680"/>
                </w:tcPr>
                <w:p>
                  <w:pPr>
                    <w:keepNext w:val="0"/>
                    <w:keepLines w:val="0"/>
                    <w:spacing w:before="0" w:after="0" w:line="264" w:lineRule="auto"/>
                    <w:jc w:val="right"/>
                  </w:pPr>
                  <w:r>
                    <w:fldChar w:fldCharType="begin"/>
                  </w:r>
                  <w:r>
                    <w:instrText xml:space="preserve"> PAGEREF _toc40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Scale of the analysis</w:t>
                  </w:r>
                </w:p>
              </w:tc>
              <w:tc>
                <w:tcPr>
                  <w:tcW w:type="dxa" w:w="680"/>
                </w:tcPr>
                <w:p>
                  <w:pPr>
                    <w:keepNext w:val="0"/>
                    <w:keepLines w:val="0"/>
                    <w:spacing w:before="0" w:after="0" w:line="264" w:lineRule="auto"/>
                    <w:jc w:val="right"/>
                  </w:pPr>
                  <w:r>
                    <w:fldChar w:fldCharType="begin"/>
                  </w:r>
                  <w:r>
                    <w:instrText xml:space="preserve"> PAGEREF _toc41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is being offered</w:t>
                  </w:r>
                </w:p>
              </w:tc>
              <w:tc>
                <w:tcPr>
                  <w:tcW w:type="dxa" w:w="680"/>
                </w:tcPr>
                <w:p>
                  <w:pPr>
                    <w:keepNext w:val="0"/>
                    <w:keepLines w:val="0"/>
                    <w:spacing w:before="0" w:after="0" w:line="264" w:lineRule="auto"/>
                    <w:jc w:val="right"/>
                  </w:pPr>
                  <w:r>
                    <w:fldChar w:fldCharType="begin"/>
                  </w:r>
                  <w:r>
                    <w:instrText xml:space="preserve"> PAGEREF _toc42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Brand clustering</w:t>
                  </w:r>
                </w:p>
              </w:tc>
              <w:tc>
                <w:tcPr>
                  <w:tcW w:type="dxa" w:w="680"/>
                </w:tcPr>
                <w:p>
                  <w:pPr>
                    <w:keepNext w:val="0"/>
                    <w:keepLines w:val="0"/>
                    <w:spacing w:before="0" w:after="0" w:line="264" w:lineRule="auto"/>
                    <w:jc w:val="right"/>
                  </w:pPr>
                  <w:r>
                    <w:fldChar w:fldCharType="begin"/>
                  </w:r>
                  <w:r>
                    <w:instrText xml:space="preserve"> PAGEREF _toc43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the estate is grown and marketed</w:t>
                  </w:r>
                </w:p>
              </w:tc>
              <w:tc>
                <w:tcPr>
                  <w:tcW w:type="dxa" w:w="680"/>
                </w:tcPr>
                <w:p>
                  <w:pPr>
                    <w:keepNext w:val="0"/>
                    <w:keepLines w:val="0"/>
                    <w:spacing w:before="0" w:after="0" w:line="264" w:lineRule="auto"/>
                    <w:jc w:val="right"/>
                  </w:pPr>
                  <w:r>
                    <w:fldChar w:fldCharType="begin"/>
                  </w:r>
                  <w:r>
                    <w:instrText xml:space="preserve"> PAGEREF _toc44 \h </w:instrText>
                  </w:r>
                  <w:r>
                    <w:fldChar w:fldCharType="separate"/>
                  </w:r>
                  <w:r>
                    <w:rPr>
                      <w:rFonts w:ascii="Arial" w:hAnsi="Arial" w:eastAsia="Arial" w:cs="Tahoma"/>
                      <w:color w:val="1B2733"/>
                      <w:sz w:val="18"/>
                      <w:szCs w:val="18"/>
                    </w:rPr>
                    <w:t>29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Enforcement position</w:t>
                  </w:r>
                </w:p>
              </w:tc>
              <w:tc>
                <w:tcPr>
                  <w:tcW w:type="dxa" w:w="680"/>
                </w:tcPr>
                <w:p>
                  <w:pPr>
                    <w:keepNext w:val="0"/>
                    <w:keepLines w:val="0"/>
                    <w:spacing w:before="0" w:after="0" w:line="264" w:lineRule="auto"/>
                    <w:jc w:val="right"/>
                  </w:pPr>
                  <w:r>
                    <w:fldChar w:fldCharType="begin"/>
                  </w:r>
                  <w:r>
                    <w:instrText xml:space="preserve"> PAGEREF _toc45 \h </w:instrText>
                  </w:r>
                  <w:r>
                    <w:fldChar w:fldCharType="separate"/>
                  </w:r>
                  <w:r>
                    <w:rPr>
                      <w:rFonts w:ascii="Arial" w:hAnsi="Arial" w:eastAsia="Arial" w:cs="Tahoma"/>
                      <w:color w:val="1B2733"/>
                      <w:sz w:val="18"/>
                      <w:szCs w:val="18"/>
                    </w:rPr>
                    <w:t>29</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Annexes</w:t>
                  </w:r>
                </w:p>
              </w:tc>
              <w:tc>
                <w:tcPr>
                  <w:tcW w:type="dxa" w:w="680"/>
                </w:tcPr>
                <w:p>
                  <w:pPr>
                    <w:keepNext w:val="0"/>
                    <w:keepLines w:val="0"/>
                    <w:spacing w:before="0" w:after="0" w:line="264" w:lineRule="auto"/>
                    <w:jc w:val="right"/>
                  </w:pPr>
                  <w:r>
                    <w:fldChar w:fldCharType="begin"/>
                  </w:r>
                  <w:r>
                    <w:instrText xml:space="preserve"> PAGEREF _toc46 \h </w:instrText>
                  </w:r>
                  <w:r>
                    <w:fldChar w:fldCharType="separate"/>
                  </w:r>
                  <w:r>
                    <w:rPr>
                      <w:rFonts w:ascii="Arial" w:hAnsi="Arial" w:eastAsia="Arial" w:cs="Tahoma"/>
                      <w:color w:val="1B2733"/>
                      <w:sz w:val="18"/>
                      <w:szCs w:val="18"/>
                    </w:rPr>
                    <w:t>30</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1 — Subcategory definitions</w:t>
                  </w:r>
                </w:p>
              </w:tc>
              <w:tc>
                <w:tcPr>
                  <w:tcW w:type="dxa" w:w="680"/>
                </w:tcPr>
                <w:p>
                  <w:pPr>
                    <w:keepNext w:val="0"/>
                    <w:keepLines w:val="0"/>
                    <w:spacing w:before="0" w:after="0" w:line="264" w:lineRule="auto"/>
                    <w:jc w:val="right"/>
                  </w:pPr>
                  <w:r>
                    <w:fldChar w:fldCharType="begin"/>
                  </w:r>
                  <w:r>
                    <w:instrText xml:space="preserve"> PAGEREF _toc47 \h </w:instrText>
                  </w:r>
                  <w:r>
                    <w:fldChar w:fldCharType="separate"/>
                  </w:r>
                  <w:r>
                    <w:rPr>
                      <w:rFonts w:ascii="Arial" w:hAnsi="Arial" w:eastAsia="Arial" w:cs="Tahoma"/>
                      <w:color w:val="1B2733"/>
                      <w:sz w:val="18"/>
                      <w:szCs w:val="18"/>
                    </w:rPr>
                    <w:t>30</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2 — Ranked domains used for clustering</w:t>
                  </w:r>
                </w:p>
              </w:tc>
              <w:tc>
                <w:tcPr>
                  <w:tcW w:type="dxa" w:w="680"/>
                </w:tcPr>
                <w:p>
                  <w:pPr>
                    <w:keepNext w:val="0"/>
                    <w:keepLines w:val="0"/>
                    <w:spacing w:before="0" w:after="0" w:line="264" w:lineRule="auto"/>
                    <w:jc w:val="right"/>
                  </w:pPr>
                  <w:r>
                    <w:fldChar w:fldCharType="begin"/>
                  </w:r>
                  <w:r>
                    <w:instrText xml:space="preserve"> PAGEREF _toc48 \h </w:instrText>
                  </w:r>
                  <w:r>
                    <w:fldChar w:fldCharType="separate"/>
                  </w:r>
                  <w:r>
                    <w:rPr>
                      <w:rFonts w:ascii="Arial" w:hAnsi="Arial" w:eastAsia="Arial" w:cs="Tahoma"/>
                      <w:color w:val="1B2733"/>
                      <w:sz w:val="18"/>
                      <w:szCs w:val="18"/>
                    </w:rPr>
                    <w:t>33</w:t>
                  </w:r>
                  <w:r>
                    <w:fldChar w:fldCharType="end"/>
                  </w:r>
                </w:p>
              </w:tc>
            </w:tr>
          </w:tbl>
          <w:p>
            <w:pPr>
              <w:keepNext w:val="0"/>
              <w:keepLines w:val="0"/>
              <w:spacing w:before="0" w:after="0" w:line="40" w:lineRule="exact"/>
              <w:rPr>
                <w:sz w:val="2"/>
                <w:szCs w:val="2"/>
              </w:rPr>
            </w:pPr>
          </w:p>
        </w:tc>
      </w:tr>
    </w:tbl>
    <w:p>
      <w:pPr>
        <w:pStyle w:val="Heading1"/>
        <w:pageBreakBefore/>
      </w:pPr>
      <w:bookmarkStart w:id="1" w:name="_toc1"/>
      <w:r>
        <w:rPr>
          <w:rFonts w:ascii="Arial" w:hAnsi="Arial" w:eastAsia="Arial" w:cs="Tahoma"/>
        </w:rPr>
        <w:t>Executive Summary</w:t>
      </w:r>
      <w:bookmarkEnd w:id="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keepNext w:val="0"/>
              <w:keepLines w:val="0"/>
              <w:spacing w:before="0" w:after="0" w:line="40" w:lineRule="exact"/>
              <w:rPr>
                <w:sz w:val="2"/>
                <w:szCs w:val="2"/>
              </w:rPr>
            </w:pPr>
          </w:p>
          <w:p>
            <w:pPr>
              <w:keepNext/>
              <w:keepLines w:val="0"/>
              <w:spacing w:before="0" w:after="80" w:line="300" w:lineRule="auto"/>
            </w:pPr>
            <w:bookmarkStart w:id="2" w:name="_toc2"/>
            <w:r>
              <w:rPr>
                <w:rFonts w:ascii="Arial" w:hAnsi="Arial" w:eastAsia="Arial" w:cs="Tahoma"/>
                <w:b/>
                <w:color w:val="1F3F63"/>
                <w:sz w:val="24"/>
                <w:szCs w:val="24"/>
                <w:bCs w:val="1"/>
              </w:rPr>
              <w:t>Insights and trends</w:t>
            </w:r>
            <w:bookmarkEnd w:id="2"/>
          </w:p>
          <w:p>
            <w:pPr>
              <w:keepNext w:val="0"/>
              <w:keepLines w:val="0"/>
              <w:spacing w:before="0" w:after="100" w:line="300" w:lineRule="auto"/>
            </w:pPr>
            <w:r>
              <w:rPr>
                <w:rFonts w:ascii="Arial" w:hAnsi="Arial" w:eastAsia="Arial" w:cs="Tahoma"/>
                <w:color w:val="1B2733"/>
                <w:sz w:val="19"/>
                <w:szCs w:val="19"/>
              </w:rPr>
              <w:t>SICPADetect analysed 29,864 URLs over a 47 day evaluation period. 47.5% of them were judged to offer or promote gambling and the remainder were judged not to.</w:t>
            </w:r>
          </w:p>
          <w:p>
            <w:pPr>
              <w:keepNext w:val="0"/>
              <w:keepLines w:val="0"/>
              <w:spacing w:before="0" w:after="100" w:line="300" w:lineRule="auto"/>
            </w:pPr>
            <w:r>
              <w:rPr>
                <w:rFonts w:ascii="Arial" w:hAnsi="Arial" w:eastAsia="Arial" w:cs="Tahoma"/>
                <w:color w:val="1B2733"/>
                <w:sz w:val="19"/>
                <w:szCs w:val="19"/>
              </w:rPr>
              <w:t>Slots is the dominant product type, with Casino second. Most subcategory assignments rest on the model's own description rather than on a lexicon keyword, so product figures are indicative only.</w:t>
            </w:r>
          </w:p>
          <w:p>
            <w:pPr>
              <w:keepNext w:val="0"/>
              <w:keepLines w:val="0"/>
              <w:spacing w:before="0" w:after="100" w:line="300" w:lineRule="auto"/>
            </w:pPr>
            <w:r>
              <w:rPr>
                <w:rFonts w:ascii="Arial" w:hAnsi="Arial" w:eastAsia="Arial" w:cs="Tahoma"/>
                <w:color w:val="1B2733"/>
                <w:sz w:val="19"/>
                <w:szCs w:val="19"/>
              </w:rPr>
              <w:t>The gambling URLs sit on 6,827 domains and resolve into 2,719 brand clusters, of which 995 hold more than one domain. One domain, 49m.co, carries 20.3% of the gambling URLs through many hostnames. 15 host farms carry 35.1% of them.</w:t>
            </w:r>
          </w:p>
          <w:p>
            <w:pPr>
              <w:keepNext w:val="0"/>
              <w:keepLines w:val="0"/>
              <w:spacing w:before="0" w:after="100" w:line="300" w:lineRule="auto"/>
            </w:pPr>
            <w:r>
              <w:rPr>
                <w:rFonts w:ascii="Arial" w:hAnsi="Arial" w:eastAsia="Arial" w:cs="Tahoma"/>
                <w:color w:val="1B2733"/>
                <w:sz w:val="19"/>
                <w:szCs w:val="19"/>
              </w:rPr>
              <w:t>Abbreviations is the most common signal tag. The export records no variant or redirect links, so the report cannot say how the estate spreads between domains. Many clusters use more than one top level domain.</w:t>
            </w:r>
          </w:p>
          <w:p>
            <w:pPr>
              <w:keepNext w:val="0"/>
              <w:keepLines w:val="0"/>
              <w:spacing w:before="0" w:after="100" w:line="300" w:lineRule="auto"/>
            </w:pPr>
            <w:r>
              <w:rPr>
                <w:rFonts w:ascii="Arial" w:hAnsi="Arial" w:eastAsia="Arial" w:cs="Tahoma"/>
                <w:color w:val="1B2733"/>
                <w:sz w:val="19"/>
                <w:szCs w:val="19"/>
              </w:rPr>
              <w:t>The evaluation period is too short to carry a trend, so no direction is stated for daily volume. 3 gaps of three or more days fall below the gap threshold, and their cause is not recorded. The operations log was not supplied, so no cause is recorded for the peaks.</w:t>
            </w:r>
          </w:p>
          <w:p>
            <w:pPr>
              <w:keepNext w:val="0"/>
              <w:keepLines w:val="0"/>
              <w:spacing w:before="0" w:after="100" w:line="300" w:lineRule="auto"/>
            </w:pPr>
            <w:r>
              <w:rPr>
                <w:rFonts w:ascii="Arial" w:hAnsi="Arial" w:eastAsia="Arial" w:cs="Tahoma"/>
                <w:color w:val="1B2733"/>
                <w:sz w:val="19"/>
                <w:szCs w:val="19"/>
              </w:rPr>
              <w:t>No URL shows a Thai enforcement indicator. The collection network was not recorded, so enforcement may be understated.</w:t>
            </w:r>
          </w:p>
          <w:p>
            <w:pPr>
              <w:keepNext/>
              <w:keepLines w:val="0"/>
              <w:spacing w:before="160" w:after="80" w:line="300" w:lineRule="auto"/>
            </w:pPr>
            <w:bookmarkStart w:id="3" w:name="_toc3"/>
            <w:r>
              <w:rPr>
                <w:rFonts w:ascii="Arial" w:hAnsi="Arial" w:eastAsia="Arial" w:cs="Tahoma"/>
                <w:b/>
                <w:color w:val="1F3F63"/>
                <w:sz w:val="24"/>
                <w:szCs w:val="24"/>
                <w:bCs w:val="1"/>
              </w:rPr>
              <w:t>Key figures</w:t>
            </w:r>
            <w:bookmarkEnd w:id="3"/>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50" w:type="dxa"/>
                <w:left w:w="70" w:type="dxa"/>
                <w:bottom w:w="50" w:type="dxa"/>
                <w:right w:w="70" w:type="dxa"/>
              </w:tblCellMar>
            </w:tblPr>
            <w:tblGrid>
              <w:gridCol w:w="3515"/>
              <w:gridCol w:w="4422"/>
            </w:tblGrid>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analysed</w:t>
                  </w:r>
                </w:p>
              </w:tc>
              <w:tc>
                <w:tcPr>
                  <w:tcW w:type="dxa" w:w="4422"/>
                </w:tcPr>
                <w:p>
                  <w:pPr>
                    <w:keepNext w:val="0"/>
                    <w:keepLines w:val="0"/>
                    <w:spacing w:before="0" w:after="0" w:line="276" w:lineRule="auto"/>
                  </w:pPr>
                  <w:r>
                    <w:rPr>
                      <w:rFonts w:ascii="Arial" w:hAnsi="Arial" w:eastAsia="Arial" w:cs="Tahoma"/>
                      <w:sz w:val="18"/>
                      <w:szCs w:val="18"/>
                    </w:rPr>
                    <w:t>29,864</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set aside as Needs more analysis</w:t>
                  </w:r>
                </w:p>
              </w:tc>
              <w:tc>
                <w:tcPr>
                  <w:tcW w:type="dxa" w:w="4422"/>
                </w:tcPr>
                <w:p>
                  <w:pPr>
                    <w:keepNext w:val="0"/>
                    <w:keepLines w:val="0"/>
                    <w:spacing w:before="0" w:after="0" w:line="276" w:lineRule="auto"/>
                  </w:pPr>
                  <w:r>
                    <w:rPr>
                      <w:rFonts w:ascii="Arial" w:hAnsi="Arial" w:eastAsia="Arial" w:cs="Tahoma"/>
                      <w:sz w:val="18"/>
                      <w:szCs w:val="18"/>
                    </w:rPr>
                    <w:t>0</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Gambling URLs and share</w:t>
                  </w:r>
                </w:p>
              </w:tc>
              <w:tc>
                <w:tcPr>
                  <w:tcW w:type="dxa" w:w="4422"/>
                </w:tcPr>
                <w:p>
                  <w:pPr>
                    <w:keepNext w:val="0"/>
                    <w:keepLines w:val="0"/>
                    <w:spacing w:before="0" w:after="0" w:line="276" w:lineRule="auto"/>
                  </w:pPr>
                  <w:r>
                    <w:rPr>
                      <w:rFonts w:ascii="Arial" w:hAnsi="Arial" w:eastAsia="Arial" w:cs="Tahoma"/>
                      <w:sz w:val="18"/>
                      <w:szCs w:val="18"/>
                    </w:rPr>
                    <w:t>14,182 (47.5%)</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Not gambling and unreachable URLs</w:t>
                  </w:r>
                </w:p>
              </w:tc>
              <w:tc>
                <w:tcPr>
                  <w:tcW w:type="dxa" w:w="4422"/>
                </w:tcPr>
                <w:p>
                  <w:pPr>
                    <w:keepNext w:val="0"/>
                    <w:keepLines w:val="0"/>
                    <w:spacing w:before="0" w:after="0" w:line="276" w:lineRule="auto"/>
                  </w:pPr>
                  <w:r>
                    <w:rPr>
                      <w:rFonts w:ascii="Arial" w:hAnsi="Arial" w:eastAsia="Arial" w:cs="Tahoma"/>
                      <w:sz w:val="18"/>
                      <w:szCs w:val="18"/>
                    </w:rPr>
                    <w:t>15,682 not gambling · 0 unreachable</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Domains carrying the gambling URLs</w:t>
                  </w:r>
                </w:p>
              </w:tc>
              <w:tc>
                <w:tcPr>
                  <w:tcW w:type="dxa" w:w="4422"/>
                </w:tcPr>
                <w:p>
                  <w:pPr>
                    <w:keepNext w:val="0"/>
                    <w:keepLines w:val="0"/>
                    <w:spacing w:before="0" w:after="0" w:line="276" w:lineRule="auto"/>
                  </w:pPr>
                  <w:r>
                    <w:rPr>
                      <w:rFonts w:ascii="Arial" w:hAnsi="Arial" w:eastAsia="Arial" w:cs="Tahoma"/>
                      <w:sz w:val="18"/>
                      <w:szCs w:val="18"/>
                    </w:rPr>
                    <w:t>6,827</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Brand clusters identified</w:t>
                  </w:r>
                </w:p>
              </w:tc>
              <w:tc>
                <w:tcPr>
                  <w:tcW w:type="dxa" w:w="4422"/>
                </w:tcPr>
                <w:p>
                  <w:pPr>
                    <w:keepNext w:val="0"/>
                    <w:keepLines w:val="0"/>
                    <w:spacing w:before="0" w:after="0" w:line="276" w:lineRule="auto"/>
                  </w:pPr>
                  <w:r>
                    <w:rPr>
                      <w:rFonts w:ascii="Arial" w:hAnsi="Arial" w:eastAsia="Arial" w:cs="Tahoma"/>
                      <w:sz w:val="18"/>
                      <w:szCs w:val="18"/>
                    </w:rPr>
                    <w:t>2,719, of which 995 hold more than one domain</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Clusters needed to cover half of gambling URLs</w:t>
                  </w:r>
                </w:p>
              </w:tc>
              <w:tc>
                <w:tcPr>
                  <w:tcW w:type="dxa" w:w="4422"/>
                </w:tcPr>
                <w:p>
                  <w:pPr>
                    <w:keepNext w:val="0"/>
                    <w:keepLines w:val="0"/>
                    <w:spacing w:before="0" w:after="0" w:line="276" w:lineRule="auto"/>
                  </w:pPr>
                  <w:r>
                    <w:rPr>
                      <w:rFonts w:ascii="Arial" w:hAnsi="Arial" w:eastAsia="Arial" w:cs="Tahoma"/>
                      <w:sz w:val="18"/>
                      <w:szCs w:val="18"/>
                    </w:rPr>
                    <w:t>43</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Largest cluster</w:t>
                  </w:r>
                </w:p>
              </w:tc>
              <w:tc>
                <w:tcPr>
                  <w:tcW w:type="dxa" w:w="4422"/>
                </w:tcPr>
                <w:p>
                  <w:pPr>
                    <w:keepNext w:val="0"/>
                    <w:keepLines w:val="0"/>
                    <w:spacing w:before="0" w:after="0" w:line="276" w:lineRule="auto"/>
                  </w:pPr>
                  <w:r>
                    <w:rPr>
                      <w:rFonts w:ascii="Arial" w:hAnsi="Arial" w:eastAsia="Arial" w:cs="Tahoma"/>
                      <w:sz w:val="18"/>
                      <w:szCs w:val="18"/>
                    </w:rPr>
                    <w:t>49m · 2,885 URLs · 1 domain · 20.3%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Largest domain</w:t>
                  </w:r>
                </w:p>
              </w:tc>
              <w:tc>
                <w:tcPr>
                  <w:tcW w:type="dxa" w:w="4422"/>
                </w:tcPr>
                <w:p>
                  <w:pPr>
                    <w:keepNext w:val="0"/>
                    <w:keepLines w:val="0"/>
                    <w:spacing w:before="0" w:after="0" w:line="276" w:lineRule="auto"/>
                  </w:pPr>
                  <w:r>
                    <w:rPr>
                      <w:rFonts w:ascii="Arial" w:hAnsi="Arial" w:eastAsia="Arial" w:cs="Tahoma"/>
                      <w:sz w:val="18"/>
                      <w:szCs w:val="18"/>
                    </w:rPr>
                    <w:t>49m.co · 2,885 URLs · 20.3%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Host farms</w:t>
                  </w:r>
                </w:p>
              </w:tc>
              <w:tc>
                <w:tcPr>
                  <w:tcW w:type="dxa" w:w="4422"/>
                </w:tcPr>
                <w:p>
                  <w:pPr>
                    <w:keepNext w:val="0"/>
                    <w:keepLines w:val="0"/>
                    <w:spacing w:before="0" w:after="0" w:line="276" w:lineRule="auto"/>
                  </w:pPr>
                  <w:r>
                    <w:rPr>
                      <w:rFonts w:ascii="Arial" w:hAnsi="Arial" w:eastAsia="Arial" w:cs="Tahoma"/>
                      <w:sz w:val="18"/>
                      <w:szCs w:val="18"/>
                    </w:rPr>
                    <w:t>15 domains with 20 or more gambling URLs · 4,971 URLs · 35.1%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Dominant product subcategory</w:t>
                  </w:r>
                </w:p>
              </w:tc>
              <w:tc>
                <w:tcPr>
                  <w:tcW w:type="dxa" w:w="4422"/>
                </w:tcPr>
                <w:p>
                  <w:pPr>
                    <w:keepNext w:val="0"/>
                    <w:keepLines w:val="0"/>
                    <w:spacing w:before="0" w:after="0" w:line="276" w:lineRule="auto"/>
                  </w:pPr>
                  <w:r>
                    <w:rPr>
                      <w:rFonts w:ascii="Arial" w:hAnsi="Arial" w:eastAsia="Arial" w:cs="Tahoma"/>
                      <w:sz w:val="18"/>
                      <w:szCs w:val="18"/>
                    </w:rPr>
                    <w:t>Slots · 44.6%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Most common signal tag</w:t>
                  </w:r>
                </w:p>
              </w:tc>
              <w:tc>
                <w:tcPr>
                  <w:tcW w:type="dxa" w:w="4422"/>
                </w:tcPr>
                <w:p>
                  <w:pPr>
                    <w:keepNext w:val="0"/>
                    <w:keepLines w:val="0"/>
                    <w:spacing w:before="0" w:after="0" w:line="276" w:lineRule="auto"/>
                  </w:pPr>
                  <w:r>
                    <w:rPr>
                      <w:rFonts w:ascii="Arial" w:hAnsi="Arial" w:eastAsia="Arial" w:cs="Tahoma"/>
                      <w:sz w:val="18"/>
                      <w:szCs w:val="18"/>
                    </w:rPr>
                    <w:t>Abbreviations · 27.1%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with Thai enforcement indicators · other block page phrases</w:t>
                  </w:r>
                </w:p>
              </w:tc>
              <w:tc>
                <w:tcPr>
                  <w:tcW w:type="dxa" w:w="4422"/>
                </w:tcPr>
                <w:p>
                  <w:pPr>
                    <w:keepNext w:val="0"/>
                    <w:keepLines w:val="0"/>
                    <w:spacing w:before="0" w:after="0" w:line="276" w:lineRule="auto"/>
                  </w:pPr>
                  <w:r>
                    <w:rPr>
                      <w:rFonts w:ascii="Arial" w:hAnsi="Arial" w:eastAsia="Arial" w:cs="Tahoma"/>
                      <w:sz w:val="18"/>
                      <w:szCs w:val="18"/>
                    </w:rPr>
                    <w:t>0 · 7 · collection network not recorded</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Keyword versus inferred subcategory assignment</w:t>
                  </w:r>
                </w:p>
              </w:tc>
              <w:tc>
                <w:tcPr>
                  <w:tcW w:type="dxa" w:w="4422"/>
                </w:tcPr>
                <w:p>
                  <w:pPr>
                    <w:keepNext w:val="0"/>
                    <w:keepLines w:val="0"/>
                    <w:spacing w:before="0" w:after="0" w:line="276" w:lineRule="auto"/>
                  </w:pPr>
                  <w:r>
                    <w:rPr>
                      <w:rFonts w:ascii="Arial" w:hAnsi="Arial" w:eastAsia="Arial" w:cs="Tahoma"/>
                      <w:sz w:val="18"/>
                      <w:szCs w:val="18"/>
                    </w:rPr>
                    <w:t>471 keyword (3.3%) · 13,711 inferred (96.7%)</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4" w:name="_toc4"/>
      <w:r>
        <w:rPr>
          <w:rFonts w:ascii="Arial" w:hAnsi="Arial" w:eastAsia="Arial" w:cs="Tahoma"/>
        </w:rPr>
        <w:t>Model Insights</w:t>
      </w:r>
      <w:bookmarkEnd w:id="4"/>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5" w:name="_toc5"/>
            <w:r>
              <w:rPr>
                <w:rFonts w:ascii="Arial" w:hAnsi="Arial" w:eastAsia="Arial" w:cs="Tahoma"/>
              </w:rPr>
              <w:t>Introduction</w:t>
            </w:r>
            <w:bookmarkEnd w:id="5"/>
          </w:p>
          <w:p>
            <w:pPr>
              <w:keepNext w:val="0"/>
              <w:keepLines w:val="0"/>
              <w:spacing w:before="0" w:after="120" w:line="300" w:lineRule="auto"/>
            </w:pPr>
            <w:r>
              <w:rPr>
                <w:rFonts w:ascii="Arial" w:hAnsi="Arial" w:eastAsia="Arial" w:cs="Tahoma"/>
                <w:color w:val="1B2733"/>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6" w:name="_toc6"/>
            <w:r>
              <w:rPr>
                <w:rFonts w:ascii="Arial" w:hAnsi="Arial" w:eastAsia="Arial" w:cs="Tahoma"/>
              </w:rPr>
              <w:t>Executive Summary</w:t>
            </w:r>
            <w:bookmarkEnd w:id="6"/>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7" w:name="_toc7"/>
            <w:r>
              <w:rPr>
                <w:rFonts w:ascii="Arial" w:hAnsi="Arial" w:eastAsia="Arial" w:cs="Tahoma"/>
              </w:rPr>
              <w:t>Overall and per class results</w:t>
            </w:r>
            <w:bookmarkEnd w:id="7"/>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8" w:name="_toc8"/>
            <w:r>
              <w:rPr>
                <w:rFonts w:ascii="Arial" w:hAnsi="Arial" w:eastAsia="Arial" w:cs="Tahoma"/>
              </w:rPr>
              <w:t>Error Analysis</w:t>
            </w:r>
            <w:bookmarkEnd w:id="8"/>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9" w:name="_toc9"/>
            <w:r>
              <w:rPr>
                <w:rFonts w:ascii="Arial" w:hAnsi="Arial" w:eastAsia="Arial" w:cs="Tahoma"/>
              </w:rPr>
              <w:t>Segments and Confidence</w:t>
            </w:r>
            <w:bookmarkEnd w:id="9"/>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10" w:name="_toc10"/>
      <w:r>
        <w:rPr>
          <w:rFonts w:ascii="Arial" w:hAnsi="Arial" w:eastAsia="Arial" w:cs="Tahoma"/>
        </w:rPr>
        <w:t>Data Analysis</w:t>
      </w:r>
      <w:bookmarkEnd w:id="10"/>
    </w:p>
    <w:p>
      <w:pPr>
        <w:pStyle w:val="Heading2"/>
      </w:pPr>
      <w:bookmarkStart w:id="11" w:name="_toc11"/>
      <w:r>
        <w:rPr>
          <w:rFonts w:ascii="Arial" w:hAnsi="Arial" w:eastAsia="Arial" w:cs="Tahoma"/>
        </w:rPr>
        <w:t>10 most prominent gambling sites in Thailand</w:t>
      </w:r>
      <w:bookmarkEnd w:id="1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2" w:name="_toc12"/>
            <w:r>
              <w:rPr>
                <w:rFonts w:ascii="Arial" w:hAnsi="Arial" w:eastAsia="Arial" w:cs="Tahoma"/>
              </w:rPr>
              <w:t>10 most prominent gambling sites in Thailand</w:t>
            </w:r>
            <w:bookmarkEnd w:id="1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964"/>
              <w:gridCol w:w="1701"/>
              <w:gridCol w:w="1247"/>
              <w:gridCol w:w="1134"/>
              <w:gridCol w:w="2041"/>
              <w:gridCol w:w="850"/>
            </w:tblGrid>
            <w:tr>
              <w:trPr>
                <w:tblHeader/>
                <w:cantSplit/>
              </w:trPr>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247"/>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Thai targeting evidence</w:t>
                  </w:r>
                </w:p>
              </w:tc>
              <w:tc>
                <w:tcPr>
                  <w:tcW w:type="dxa" w:w="85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เข้าสู่ระบบ</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สมัครสมาชิก</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247"/>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134"/>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บาคาร่า</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733816</w:t>
                  </w:r>
                </w:p>
              </w:tc>
              <w:tc>
                <w:tcPr>
                  <w:tcW w:type="dxa" w:w="1701"/>
                </w:tcPr>
                <w:p>
                  <w:pPr>
                    <w:keepNext w:val="0"/>
                    <w:keepLines w:val="0"/>
                    <w:spacing w:before="0" w:after="0" w:line="276" w:lineRule="auto"/>
                  </w:pPr>
                  <w:r>
                    <w:rPr>
                      <w:rFonts w:ascii="Arial" w:hAnsi="Arial" w:eastAsia="Arial" w:cs="Tahoma"/>
                      <w:b w:val="0"/>
                      <w:color w:val="1B2733"/>
                      <w:sz w:val="16"/>
                      <w:szCs w:val="16"/>
                      <w:bCs w:val="0"/>
                    </w:rPr>
                    <w:t>707jili.com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707jili</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สล็อตออนไลน์ สล็อตเว็บตรง</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758592</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9ufa.vip</w:t>
                  </w:r>
                </w:p>
              </w:tc>
              <w:tc>
                <w:tcPr>
                  <w:tcW w:type="dxa" w:w="1247"/>
                </w:tcPr>
                <w:p>
                  <w:pPr>
                    <w:keepNext w:val="0"/>
                    <w:keepLines w:val="0"/>
                    <w:spacing w:before="0" w:after="0" w:line="276" w:lineRule="auto"/>
                  </w:pPr>
                  <w:r>
                    <w:rPr>
                      <w:rFonts w:ascii="Arial" w:hAnsi="Arial" w:eastAsia="Arial" w:cs="Tahoma"/>
                      <w:b w:val="0"/>
                      <w:color w:val="1B2733"/>
                      <w:sz w:val="16"/>
                      <w:szCs w:val="16"/>
                      <w:bCs w:val="0"/>
                    </w:rPr>
                    <w:t>9ufa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เครดิตฟรี</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766101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awayge.farm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awayge</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เกมสล็อต</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Rank reflects search visibility in the source feed, not harm, reach or revenue. Evidence is quoted from the description text in its original script. The export records no URL beyond the domain.</w:t>
            </w:r>
          </w:p>
        </w:tc>
      </w:tr>
    </w:tbl>
    <w:p>
      <w:pPr>
        <w:keepNext w:val="0"/>
        <w:keepLines w:val="0"/>
        <w:spacing w:before="0" w:after="0" w:line="340" w:lineRule="exact"/>
        <w:rPr>
          <w:sz w:val="2"/>
        </w:rPr>
      </w:pPr>
    </w:p>
    <w:p>
      <w:pPr>
        <w:pStyle w:val="Heading2"/>
      </w:pPr>
      <w:bookmarkStart w:id="13" w:name="_toc13"/>
      <w:r>
        <w:rPr>
          <w:rFonts w:ascii="Arial" w:hAnsi="Arial" w:eastAsia="Arial" w:cs="Tahoma"/>
        </w:rPr>
        <w:t>The numbers</w:t>
      </w:r>
      <w:bookmarkEnd w:id="13"/>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4" w:name="_toc14"/>
            <w:r>
              <w:rPr>
                <w:rFonts w:ascii="Arial" w:hAnsi="Arial" w:eastAsia="Arial" w:cs="Tahoma"/>
              </w:rPr>
              <w:t>How URLs are classified</w:t>
            </w:r>
            <w:bookmarkEnd w:id="14"/>
          </w:p>
          <w:p>
            <w:pPr>
              <w:keepNext w:val="0"/>
              <w:keepLines w:val="0"/>
              <w:spacing w:before="0" w:after="0" w:line="300" w:lineRule="auto"/>
            </w:pPr>
            <w:r>
              <w:rPr>
                <w:rFonts w:ascii="Arial" w:hAnsi="Arial" w:eastAsia="Arial" w:cs="Tahoma"/>
                <w:b w:val="0"/>
                <w:color w:val="1B2733"/>
                <w:sz w:val="19"/>
                <w:szCs w:val="19"/>
                <w:bCs w:val="0"/>
              </w:rPr>
              <w:t xml:space="preserve">Every URL in this analysis receives one of five outcomes. </w:t>
            </w:r>
            <w:r>
              <w:rPr>
                <w:rFonts w:ascii="Arial" w:hAnsi="Arial" w:eastAsia="Arial" w:cs="Tahoma"/>
                <w:b/>
                <w:color w:val="1B2733"/>
                <w:sz w:val="19"/>
                <w:szCs w:val="19"/>
                <w:bCs w:val="1"/>
              </w:rPr>
              <w:t>Gambling</w:t>
            </w:r>
            <w:r>
              <w:rPr>
                <w:rFonts w:ascii="Arial" w:hAnsi="Arial" w:eastAsia="Arial" w:cs="Tahoma"/>
                <w:b w:val="0"/>
                <w:color w:val="1B2733"/>
                <w:sz w:val="19"/>
                <w:szCs w:val="19"/>
                <w:bCs w:val="0"/>
              </w:rPr>
              <w:t xml:space="preserve">: the classifier judged, from what was recorded about the page, that the site offers or promotes gambling. </w:t>
            </w:r>
            <w:r>
              <w:rPr>
                <w:rFonts w:ascii="Arial" w:hAnsi="Arial" w:eastAsia="Arial" w:cs="Tahoma"/>
                <w:b/>
                <w:color w:val="1B2733"/>
                <w:sz w:val="19"/>
                <w:szCs w:val="19"/>
                <w:bCs w:val="1"/>
              </w:rPr>
              <w:t>Not gambling</w:t>
            </w:r>
            <w:r>
              <w:rPr>
                <w:rFonts w:ascii="Arial" w:hAnsi="Arial" w:eastAsia="Arial" w:cs="Tahoma"/>
                <w:b w:val="0"/>
                <w:color w:val="1B2733"/>
                <w:sz w:val="19"/>
                <w:szCs w:val="19"/>
                <w:bCs w:val="0"/>
              </w:rPr>
              <w:t xml:space="preserve">: the page was read and judged not to offer gambling. </w:t>
            </w:r>
            <w:r>
              <w:rPr>
                <w:rFonts w:ascii="Arial" w:hAnsi="Arial" w:eastAsia="Arial" w:cs="Tahoma"/>
                <w:b/>
                <w:color w:val="1B2733"/>
                <w:sz w:val="19"/>
                <w:szCs w:val="19"/>
                <w:bCs w:val="1"/>
              </w:rPr>
              <w:t>Unreachable</w:t>
            </w:r>
            <w:r>
              <w:rPr>
                <w:rFonts w:ascii="Arial" w:hAnsi="Arial" w:eastAsia="Arial" w:cs="Tahoma"/>
                <w:b w:val="0"/>
                <w:color w:val="1B2733"/>
                <w:sz w:val="19"/>
                <w:szCs w:val="19"/>
                <w:bCs w:val="0"/>
              </w:rPr>
              <w:t xml:space="preserve">: the page could not be fetched or read from the collection network, so no judgement was made. </w:t>
            </w:r>
            <w:r>
              <w:rPr>
                <w:rFonts w:ascii="Arial" w:hAnsi="Arial" w:eastAsia="Arial" w:cs="Tahoma"/>
                <w:b/>
                <w:color w:val="1B2733"/>
                <w:sz w:val="19"/>
                <w:szCs w:val="19"/>
                <w:bCs w:val="1"/>
              </w:rPr>
              <w:t>Needs more analysis</w:t>
            </w:r>
            <w:r>
              <w:rPr>
                <w:rFonts w:ascii="Arial" w:hAnsi="Arial" w:eastAsia="Arial" w:cs="Tahoma"/>
                <w:b w:val="0"/>
                <w:color w:val="1B2733"/>
                <w:sz w:val="19"/>
                <w:szCs w:val="19"/>
                <w:bCs w:val="0"/>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eastAsia="Arial" w:cs="Tahoma"/>
                <w:b/>
                <w:color w:val="1B2733"/>
                <w:sz w:val="19"/>
                <w:szCs w:val="19"/>
                <w:bCs w:val="1"/>
              </w:rPr>
              <w:t>Unknown</w:t>
            </w:r>
            <w:r>
              <w:rPr>
                <w:rFonts w:ascii="Arial" w:hAnsi="Arial" w:eastAsia="Arial" w:cs="Tahoma"/>
                <w:b w:val="0"/>
                <w:color w:val="1B2733"/>
                <w:sz w:val="19"/>
                <w:szCs w:val="19"/>
                <w:bCs w:val="0"/>
              </w:rPr>
              <w:t>: the export carried a status outside these four. Figures in this section count URLs, one URL being one address analysed; where a card counts domains instead, it says so.</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29,864</w:t>
            </w:r>
          </w:p>
          <w:p>
            <w:pPr>
              <w:keepNext w:val="0"/>
              <w:keepLines w:val="0"/>
              <w:spacing w:before="0" w:after="0" w:line="264" w:lineRule="auto"/>
              <w:jc w:val="center"/>
            </w:pPr>
            <w:r>
              <w:rPr>
                <w:rFonts w:ascii="Arial" w:hAnsi="Arial" w:eastAsia="Arial" w:cs="Tahoma"/>
                <w:color w:val="1B2733"/>
                <w:sz w:val="17"/>
                <w:szCs w:val="17"/>
              </w:rPr>
              <w:t>Total URLs analyzed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Gambling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6,827</w:t>
            </w:r>
          </w:p>
          <w:p>
            <w:pPr>
              <w:keepNext w:val="0"/>
              <w:keepLines w:val="0"/>
              <w:spacing w:before="0" w:after="0" w:line="264" w:lineRule="auto"/>
              <w:jc w:val="center"/>
            </w:pPr>
            <w:r>
              <w:rPr>
                <w:rFonts w:ascii="Arial" w:hAnsi="Arial" w:eastAsia="Arial" w:cs="Tahoma"/>
                <w:color w:val="1B2733"/>
                <w:sz w:val="17"/>
                <w:szCs w:val="17"/>
              </w:rPr>
              <w:t>Gambling domains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47 days</w:t>
            </w:r>
          </w:p>
          <w:p>
            <w:pPr>
              <w:keepNext w:val="0"/>
              <w:keepLines w:val="0"/>
              <w:spacing w:before="0" w:after="0" w:line="264" w:lineRule="auto"/>
              <w:jc w:val="center"/>
            </w:pPr>
            <w:r>
              <w:rPr>
                <w:rFonts w:ascii="Arial" w:hAnsi="Arial" w:eastAsia="Arial" w:cs="Tahoma"/>
                <w:color w:val="1B2733"/>
                <w:sz w:val="17"/>
                <w:szCs w:val="17"/>
              </w:rPr>
              <w:t>Evaluation period</w:t>
            </w:r>
          </w:p>
          <w:p>
            <w:pPr>
              <w:keepNext w:val="0"/>
              <w:keepLines w:val="0"/>
              <w:spacing w:before="0" w:after="0" w:line="264" w:lineRule="auto"/>
              <w:jc w:val="center"/>
            </w:pPr>
            <w:r>
              <w:rPr>
                <w:rFonts w:ascii="Arial" w:hAnsi="Arial" w:eastAsia="Arial" w:cs="Tahoma"/>
                <w:color w:val="5D6D7E"/>
                <w:sz w:val="16"/>
                <w:szCs w:val="16"/>
              </w:rPr>
              <w:t>2026-09-04 → 2026-10-20</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5" w:name="_toc15"/>
            <w:r>
              <w:rPr>
                <w:rFonts w:ascii="Arial" w:hAnsi="Arial" w:eastAsia="Arial" w:cs="Tahoma"/>
              </w:rPr>
              <w:t>From collection to analysis</w:t>
            </w:r>
            <w:bookmarkEnd w:id="15"/>
          </w:p>
          <w:p>
            <w:pPr>
              <w:keepNext/>
              <w:keepLines w:val="0"/>
              <w:spacing w:before="0" w:after="100" w:line="300" w:lineRule="auto"/>
            </w:pPr>
            <w:r>
              <w:rPr>
                <w:rFonts w:ascii="Arial" w:hAnsi="Arial" w:eastAsia="Arial" w:cs="Tahoma"/>
                <w:color w:val="1B2733"/>
                <w:sz w:val="19"/>
                <w:szCs w:val="19"/>
              </w:rPr>
              <w:t>URLs at each stage from the export to the analysis. Each box carries the URLs kept and each branch the URLs set aside.</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2" name="Picture 2" descr="Flow diagram from URLs received through set aside and duplicate removal to URLs analysed and the status split" title="Flow diagram from URLs received through set aside and duplic"/>
                  <wp:cNvGraphicFramePr>
                    <a:graphicFrameLocks noChangeAspect="1"/>
                  </wp:cNvGraphicFramePr>
                  <a:graphic>
                    <a:graphicData uri="http://schemas.openxmlformats.org/drawingml/2006/picture">
                      <pic:pic>
                        <pic:nvPicPr>
                          <pic:cNvPr id="0" name="c5.png"/>
                          <pic:cNvPicPr/>
                        </pic:nvPicPr>
                        <pic:blipFill>
                          <a:blip r:embed="rId10"/>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5669"/>
              <w:gridCol w:w="2268"/>
            </w:tblGrid>
            <w:tr>
              <w:trPr>
                <w:tblHeader/>
                <w:cantSplit/>
              </w:trPr>
              <w:tc>
                <w:tcPr>
                  <w:tcW w:type="dxa" w:w="5669"/>
                  <w:shd w:val="clear" w:color="auto" w:fill="1F3F63"/>
                </w:tcPr>
                <w:p>
                  <w:pPr>
                    <w:keepNext w:val="0"/>
                    <w:keepLines w:val="0"/>
                    <w:spacing w:before="0" w:after="0" w:line="276" w:lineRule="auto"/>
                  </w:pPr>
                  <w:r>
                    <w:rPr>
                      <w:rFonts w:ascii="Arial" w:hAnsi="Arial" w:eastAsia="Arial" w:cs="Tahoma"/>
                      <w:b/>
                      <w:color w:val="FFFFFF"/>
                      <w:sz w:val="17"/>
                      <w:szCs w:val="17"/>
                      <w:bCs w:val="1"/>
                    </w:rPr>
                    <w:t>Stage</w:t>
                  </w:r>
                </w:p>
              </w:tc>
              <w:tc>
                <w:tcPr>
                  <w:tcW w:type="dxa" w:w="2268"/>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URLs</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URLs received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29,864</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Set aside as Needs more analysis</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Duplicates removed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shd w:val="clear" w:color="auto" w:fill="EEF2F7"/>
                </w:tcPr>
                <w:p>
                  <w:pPr>
                    <w:keepNext w:val="0"/>
                    <w:keepLines w:val="0"/>
                    <w:spacing w:before="0" w:after="0" w:line="276" w:lineRule="auto"/>
                  </w:pPr>
                  <w:r>
                    <w:rPr>
                      <w:rFonts w:ascii="Arial" w:hAnsi="Arial" w:eastAsia="Arial" w:cs="Tahoma"/>
                      <w:b/>
                      <w:color w:val="1B2733"/>
                      <w:sz w:val="17"/>
                      <w:szCs w:val="17"/>
                      <w:bCs w:val="1"/>
                    </w:rPr>
                    <w:t>URLs analysed</w:t>
                  </w:r>
                </w:p>
              </w:tc>
              <w:tc>
                <w:tcPr>
                  <w:tcW w:type="dxa" w:w="2268"/>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URLs analysed split by status: Not gambling 15,682 · Gambling 14,182.</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6" w:name="_toc16"/>
            <w:r>
              <w:rPr>
                <w:rFonts w:ascii="Arial" w:hAnsi="Arial" w:eastAsia="Arial" w:cs="Tahoma"/>
              </w:rPr>
              <w:t>URLs analyzed per day</w:t>
            </w:r>
            <w:bookmarkEnd w:id="16"/>
          </w:p>
          <w:p>
            <w:pPr>
              <w:keepNext/>
              <w:keepLines w:val="0"/>
              <w:spacing w:before="0" w:after="100" w:line="300" w:lineRule="auto"/>
            </w:pPr>
            <w:r>
              <w:rPr>
                <w:rFonts w:ascii="Arial" w:hAnsi="Arial" w:eastAsia="Arial" w:cs="Tahoma"/>
                <w:color w:val="1B2733"/>
                <w:sz w:val="19"/>
                <w:szCs w:val="19"/>
              </w:rPr>
              <w:t>Daily count of URLs analysed across the evaluation period. Each point is one calendar day and shaded bands mark gaps.</w:t>
            </w:r>
          </w:p>
          <w:p>
            <w:pPr>
              <w:keepNext w:val="0"/>
              <w:keepLines w:val="0"/>
              <w:spacing w:before="40" w:after="40" w:line="300" w:lineRule="auto"/>
              <w:jc w:val="center"/>
            </w:pPr>
            <w:r>
              <w:drawing>
                <wp:inline xmlns:a="http://schemas.openxmlformats.org/drawingml/2006/main" xmlns:pic="http://schemas.openxmlformats.org/drawingml/2006/picture">
                  <wp:extent cx="5040000" cy="2561585"/>
                  <wp:docPr id="3" name="Picture 3" descr="Line chart of URLs analysed per calendar day with peak days marked" title="Line chart of URLs analysed per calendar day with peak days "/>
                  <wp:cNvGraphicFramePr>
                    <a:graphicFrameLocks noChangeAspect="1"/>
                  </wp:cNvGraphicFramePr>
                  <a:graphic>
                    <a:graphicData uri="http://schemas.openxmlformats.org/drawingml/2006/picture">
                      <pic:pic>
                        <pic:nvPicPr>
                          <pic:cNvPr id="0" name="c2.png"/>
                          <pic:cNvPicPr/>
                        </pic:nvPicPr>
                        <pic:blipFill>
                          <a:blip r:embed="rId11"/>
                          <a:stretch>
                            <a:fillRect/>
                          </a:stretch>
                        </pic:blipFill>
                        <pic:spPr>
                          <a:xfrm>
                            <a:off x="0" y="0"/>
                            <a:ext cx="5040000" cy="256158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Gap threshold: 10% of the mean of 635 URLs a day, which is 64 URLs a day. 24 days fall below it. Gap 2026-09-08 to 2026-09-20 (13 days, 190 URLs), cause not recorded. Gap 2026-09-30 to 2026-10-02 (3 days, 139 URLs), cause not recorded. Gap 2026-10-10 to 2026-10-17 (8 days, 242 URLs), cause not recorded. Peak periods, days above three times the mean daily count: 2026-09-05 to 2026-09-07 (8,558 URLs); 2026-09-26 to 2026-09-27 (5,907 URLs); 2026-10-07 to 2026-10-08 (4,685 URLs). The cause of each peak is not recorded. A URL is dated by the last time its record changed, so a re-analysed URL moves to its later date.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7" w:name="_toc17"/>
            <w:r>
              <w:rPr>
                <w:rFonts w:ascii="Arial" w:hAnsi="Arial" w:eastAsia="Arial" w:cs="Tahoma"/>
              </w:rPr>
              <w:t>Status distribution</w:t>
            </w:r>
            <w:bookmarkEnd w:id="17"/>
          </w:p>
          <w:p>
            <w:pPr>
              <w:keepNext/>
              <w:keepLines w:val="0"/>
              <w:spacing w:before="0" w:after="100" w:line="300" w:lineRule="auto"/>
            </w:pPr>
            <w:r>
              <w:rPr>
                <w:rFonts w:ascii="Arial" w:hAnsi="Arial" w:eastAsia="Arial" w:cs="Tahoma"/>
                <w:color w:val="1B2733"/>
                <w:sz w:val="19"/>
                <w:szCs w:val="19"/>
              </w:rPr>
              <w:t>Share of the estate by classification status. Each segment is one status and the table beside it carries the counts.</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4" name="Picture 4" descr="Pie chart of the status distribution" title="Pie chart of the status distribution"/>
                  <wp:cNvGraphicFramePr>
                    <a:graphicFrameLocks noChangeAspect="1"/>
                  </wp:cNvGraphicFramePr>
                  <a:graphic>
                    <a:graphicData uri="http://schemas.openxmlformats.org/drawingml/2006/picture">
                      <pic:pic>
                        <pic:nvPicPr>
                          <pic:cNvPr id="0" name="c3.png"/>
                          <pic:cNvPicPr/>
                        </pic:nvPicPr>
                        <pic:blipFill>
                          <a:blip r:embed="rId12"/>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3969"/>
              <w:gridCol w:w="1984"/>
              <w:gridCol w:w="1984"/>
            </w:tblGrid>
            <w:tr>
              <w:trPr>
                <w:tblHeader/>
                <w:cantSplit/>
              </w:trPr>
              <w:tc>
                <w:tcPr>
                  <w:tcW w:type="dxa" w:w="3969"/>
                  <w:shd w:val="clear" w:color="auto" w:fill="1F3F63"/>
                </w:tcPr>
                <w:p>
                  <w:pPr>
                    <w:keepNext w:val="0"/>
                    <w:keepLines w:val="0"/>
                    <w:spacing w:before="0" w:after="0" w:line="276" w:lineRule="auto"/>
                  </w:pPr>
                  <w:r>
                    <w:rPr>
                      <w:rFonts w:ascii="Arial" w:hAnsi="Arial" w:eastAsia="Arial" w:cs="Tahoma"/>
                      <w:b/>
                      <w:color w:val="FFFFFF"/>
                      <w:sz w:val="17"/>
                      <w:szCs w:val="17"/>
                      <w:bCs w:val="1"/>
                    </w:rPr>
                    <w:t>Status</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Share</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Not 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15,682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52.5%</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14,182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47.5%</w:t>
                  </w:r>
                </w:p>
              </w:tc>
            </w:tr>
            <w:tr>
              <w:trPr>
                <w:cantSplit/>
              </w:trPr>
              <w:tc>
                <w:tcPr>
                  <w:tcW w:type="dxa" w:w="3969"/>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0 URLs classified as Needs more analysis are set aside before this count and appear in From collection to analysis.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8" w:name="_toc18"/>
            <w:r>
              <w:rPr>
                <w:rFonts w:ascii="Arial" w:hAnsi="Arial" w:eastAsia="Arial" w:cs="Tahoma"/>
              </w:rPr>
              <w:t>Top 10 URL suffixes</w:t>
            </w:r>
            <w:bookmarkEnd w:id="18"/>
          </w:p>
          <w:p>
            <w:pPr>
              <w:keepNext/>
              <w:keepLines w:val="0"/>
              <w:spacing w:before="0" w:after="100" w:line="300" w:lineRule="auto"/>
            </w:pPr>
            <w:r>
              <w:rPr>
                <w:rFonts w:ascii="Arial" w:hAnsi="Arial" w:eastAsia="Arial" w:cs="Tahoma"/>
                <w:color w:val="1B2733"/>
                <w:sz w:val="19"/>
                <w:szCs w:val="19"/>
              </w:rPr>
              <w:t>The ten most common URL suffixes in the estate. Bar length is the total count and the table separates the gambling share.</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5" name="Picture 5" descr="Bar chart of the ten most common URL suffixes by total URLs" title="Bar chart of the ten most common URL suffixes by total URLs"/>
                  <wp:cNvGraphicFramePr>
                    <a:graphicFrameLocks noChangeAspect="1"/>
                  </wp:cNvGraphicFramePr>
                  <a:graphic>
                    <a:graphicData uri="http://schemas.openxmlformats.org/drawingml/2006/picture">
                      <pic:pic>
                        <pic:nvPicPr>
                          <pic:cNvPr id="0" name="c4.png"/>
                          <pic:cNvPicPr/>
                        </pic:nvPicPr>
                        <pic:blipFill>
                          <a:blip r:embed="rId13"/>
                          <a:stretch>
                            <a:fillRect/>
                          </a:stretch>
                        </pic:blipFill>
                        <pic:spPr>
                          <a:xfrm>
                            <a:off x="0" y="0"/>
                            <a:ext cx="5040000" cy="2744555"/>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1587"/>
              <w:gridCol w:w="1361"/>
              <w:gridCol w:w="1701"/>
              <w:gridCol w:w="1587"/>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7"/>
                      <w:szCs w:val="17"/>
                      <w:bCs w:val="1"/>
                    </w:rPr>
                    <w:t>Suffix</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Total URLs</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all</w:t>
                  </w:r>
                </w:p>
              </w:tc>
              <w:tc>
                <w:tcPr>
                  <w:tcW w:type="dxa" w:w="170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Gambling URLs</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gambling</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.org</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7,902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26.5%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19</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0.2%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.com</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4,472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15.0%</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2,106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47.1%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3,439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11.5%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3,116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.net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1,754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1,102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62.8%</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.cc</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1,159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58.9%</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.vip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1,060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955</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.app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643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69.6%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.pro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800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2.7%</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85.2%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.bet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730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703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96.3%</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.xyz</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711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348</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48.9%</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195 further suffixes covering 6,913 URLs fall outside the top 10. Suffix is the last dot segment of the domain.</w:t>
            </w:r>
          </w:p>
        </w:tc>
      </w:tr>
    </w:tbl>
    <w:p>
      <w:pPr>
        <w:keepNext w:val="0"/>
        <w:keepLines w:val="0"/>
        <w:spacing w:before="0" w:after="0" w:line="340" w:lineRule="exact"/>
        <w:rPr>
          <w:sz w:val="2"/>
        </w:rPr>
      </w:pPr>
    </w:p>
    <w:p>
      <w:pPr>
        <w:pStyle w:val="Heading2"/>
      </w:pPr>
      <w:bookmarkStart w:id="19" w:name="_toc19"/>
      <w:r>
        <w:rPr>
          <w:rFonts w:ascii="Arial" w:hAnsi="Arial" w:eastAsia="Arial" w:cs="Tahoma"/>
        </w:rPr>
        <w:t>Subcategories</w:t>
      </w:r>
      <w:bookmarkEnd w:id="19"/>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0" w:name="_toc20"/>
            <w:r>
              <w:rPr>
                <w:rFonts w:ascii="Arial" w:hAnsi="Arial" w:eastAsia="Arial" w:cs="Tahoma"/>
              </w:rPr>
              <w:t>Gambling sites by product subcategory</w:t>
            </w:r>
            <w:bookmarkEnd w:id="20"/>
          </w:p>
          <w:p>
            <w:pPr>
              <w:keepNext/>
              <w:keepLines w:val="0"/>
              <w:spacing w:before="0" w:after="100" w:line="300" w:lineRule="auto"/>
            </w:pPr>
            <w:r>
              <w:rPr>
                <w:rFonts w:ascii="Arial" w:hAnsi="Arial" w:eastAsia="Arial" w:cs="Tahoma"/>
                <w:color w:val="1B2733"/>
                <w:sz w:val="19"/>
                <w:szCs w:val="19"/>
              </w:rPr>
              <w:t>Gambling sites by product subcategory. Bar length is the site count and each label carries the count and the share of gambling rows.</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6" name="Picture 6" descr="Horizontal bar chart of gambling sites by product subcategory" title="Horizontal bar chart of gambling sites by product subcategor"/>
                  <wp:cNvGraphicFramePr>
                    <a:graphicFrameLocks noChangeAspect="1"/>
                  </wp:cNvGraphicFramePr>
                  <a:graphic>
                    <a:graphicData uri="http://schemas.openxmlformats.org/drawingml/2006/picture">
                      <pic:pic>
                        <pic:nvPicPr>
                          <pic:cNvPr id="0" name="d1.png"/>
                          <pic:cNvPicPr/>
                        </pic:nvPicPr>
                        <pic:blipFill>
                          <a:blip r:embed="rId14"/>
                          <a:stretch>
                            <a:fillRect/>
                          </a:stretch>
                        </pic:blipFill>
                        <pic:spPr>
                          <a:xfrm>
                            <a:off x="0" y="0"/>
                            <a:ext cx="5040000" cy="274455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Shares are of gambling rows, not of all rows. 458 gambling rows have no reasoning text, are assigned Unspecified and are not drawn.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1" w:name="_toc21"/>
            <w:r>
              <w:rPr>
                <w:rFonts w:ascii="Arial" w:hAnsi="Arial" w:eastAsia="Arial" w:cs="Tahoma"/>
              </w:rPr>
              <w:t>Assignment method by subcategory</w:t>
            </w:r>
            <w:bookmarkEnd w:id="21"/>
          </w:p>
          <w:p>
            <w:pPr>
              <w:keepNext/>
              <w:keepLines w:val="0"/>
              <w:spacing w:before="0" w:after="100" w:line="300" w:lineRule="auto"/>
            </w:pPr>
            <w:r>
              <w:rPr>
                <w:rFonts w:ascii="Arial" w:hAnsi="Arial" w:eastAsia="Arial" w:cs="Tahoma"/>
                <w:color w:val="1B2733"/>
                <w:sz w:val="19"/>
                <w:szCs w:val="19"/>
              </w:rPr>
              <w:t>How each subcategory was assigned. Solid fill is a lexicon keyword match and the lighter fill is reasoning inference.</w:t>
            </w:r>
          </w:p>
          <w:p>
            <w:pPr>
              <w:keepNext w:val="0"/>
              <w:keepLines w:val="0"/>
              <w:spacing w:before="40" w:after="40" w:line="300" w:lineRule="auto"/>
              <w:jc w:val="center"/>
            </w:pPr>
            <w:r>
              <w:drawing>
                <wp:inline xmlns:a="http://schemas.openxmlformats.org/drawingml/2006/main" xmlns:pic="http://schemas.openxmlformats.org/drawingml/2006/picture">
                  <wp:extent cx="5040000" cy="3692673"/>
                  <wp:docPr id="7" name="Picture 7" descr="Stacked bar chart of keyword and inferred assignment by subcategory" title="Stacked bar chart of keyword and inferred assignment by subc"/>
                  <wp:cNvGraphicFramePr>
                    <a:graphicFrameLocks noChangeAspect="1"/>
                  </wp:cNvGraphicFramePr>
                  <a:graphic>
                    <a:graphicData uri="http://schemas.openxmlformats.org/drawingml/2006/picture">
                      <pic:pic>
                        <pic:nvPicPr>
                          <pic:cNvPr id="0" name="d2.png"/>
                          <pic:cNvPicPr/>
                        </pic:nvPicPr>
                        <pic:blipFill>
                          <a:blip r:embed="rId15"/>
                          <a:stretch>
                            <a:fillRect/>
                          </a:stretch>
                        </pic:blipFill>
                        <pic:spPr>
                          <a:xfrm>
                            <a:off x="0" y="0"/>
                            <a:ext cx="5040000" cy="3692673"/>
                          </a:xfrm>
                          <a:prstGeom prst="rect"/>
                        </pic:spPr>
                      </pic:pic>
                    </a:graphicData>
                  </a:graphic>
                </wp:inline>
              </w:drawing>
            </w:r>
          </w:p>
          <w:p>
            <w:pPr>
              <w:keepNext/>
              <w:keepLines w:val="0"/>
              <w:spacing w:before="0" w:after="40" w:line="300" w:lineRule="auto"/>
            </w:pPr>
            <w:r>
              <w:rPr>
                <w:rFonts w:ascii="Arial" w:hAnsi="Arial" w:eastAsia="Arial" w:cs="Tahoma"/>
                <w:b/>
                <w:color w:val="1B2733"/>
                <w:sz w:val="19"/>
                <w:szCs w:val="19"/>
                <w:bCs w:val="1"/>
              </w:rPr>
              <w:t>What a lexicon match means</w:t>
            </w:r>
          </w:p>
          <w:p>
            <w:pPr>
              <w:keepNext w:val="0"/>
              <w:keepLines w:val="0"/>
              <w:spacing w:before="0" w:after="80" w:line="300" w:lineRule="auto"/>
            </w:pPr>
            <w:r>
              <w:rPr>
                <w:rFonts w:ascii="Arial" w:hAnsi="Arial" w:eastAsia="Arial" w:cs="Tahoma"/>
                <w:color w:val="1B2733"/>
                <w:sz w:val="19"/>
                <w:szCs w:val="19"/>
              </w:rPr>
              <w:t>A lexicon match means a word from the gambling keyword lexicon appears in what was recorded about the site, such as the model's description or the URL, and that word belongs to the product category assigned. A site whose description contains สล็อต is assigned to Slots this way. The lexicon is the SICPADetect Thai gambling keyword list shown on the title page, with 286 keywords in 14 categories. Seven categories decide the subcategory and seven are reported as signal tags. A match rests on a word that can be pointed to, so it can be checked and repeated. An inferred assignment rests on the model's reading of its own description, so it carries lower confidence. A large inferred share means the sites use vocabulary the lexicon does not yet cover.</w:t>
            </w:r>
          </w:p>
          <w:p>
            <w:pPr>
              <w:keepNext w:val="0"/>
              <w:keepLines w:val="0"/>
              <w:spacing w:before="80" w:after="0" w:line="300" w:lineRule="auto"/>
            </w:pPr>
            <w:r>
              <w:rPr>
                <w:rFonts w:ascii="Arial" w:hAnsi="Arial" w:eastAsia="Arial" w:cs="Tahoma"/>
                <w:color w:val="5D6D7E"/>
                <w:sz w:val="17"/>
                <w:szCs w:val="17"/>
              </w:rPr>
              <w:t>Inferred share of gambling rows: 96.7%. General Gambling share: 5.9%. The lexicon has poor coverage of this dataset, so subcategory figures are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2" w:name="_toc22"/>
            <w:r>
              <w:rPr>
                <w:rFonts w:ascii="Arial" w:hAnsi="Arial" w:eastAsia="Arial" w:cs="Tahoma"/>
              </w:rPr>
              <w:t>Subcategory table</w:t>
            </w:r>
            <w:bookmarkEnd w:id="2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154"/>
              <w:gridCol w:w="1134"/>
              <w:gridCol w:w="1361"/>
              <w:gridCol w:w="1361"/>
              <w:gridCol w:w="964"/>
              <w:gridCol w:w="964"/>
            </w:tblGrid>
            <w:tr>
              <w:trPr>
                <w:tblHeader/>
                <w:cantSplit/>
              </w:trPr>
              <w:tc>
                <w:tcPr>
                  <w:tcW w:type="dxa" w:w="2154"/>
                  <w:shd w:val="clear" w:color="auto" w:fill="1F3F63"/>
                </w:tcPr>
                <w:p>
                  <w:pPr>
                    <w:keepNext w:val="0"/>
                    <w:keepLines w:val="0"/>
                    <w:spacing w:before="0" w:after="0" w:line="276" w:lineRule="auto"/>
                  </w:pPr>
                  <w:r>
                    <w:rPr>
                      <w:rFonts w:ascii="Arial" w:hAnsi="Arial" w:eastAsia="Arial" w:cs="Tahoma"/>
                      <w:b/>
                      <w:color w:val="FFFFFF"/>
                      <w:sz w:val="17"/>
                      <w:szCs w:val="17"/>
                      <w:bCs w:val="1"/>
                    </w:rPr>
                    <w:t>Subcategory</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gambling</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Keyword assigned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Inferred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Distinct clusters</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Slots</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6,324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44.6%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239</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6,085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1,168</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Casino</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4,451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138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4,313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1,378</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Football Betting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1,376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9.7%</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1,366</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534</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General Gambling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835</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815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228</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Playing card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310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7</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303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152</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Lottery</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254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14</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240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79</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Baccarat</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174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131</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125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Unspecified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418</w:t>
                  </w:r>
                </w:p>
              </w:tc>
            </w:tr>
            <w:tr>
              <w:trPr>
                <w:cantSplit/>
              </w:trPr>
              <w:tc>
                <w:tcPr>
                  <w:tcW w:type="dxa" w:w="2154"/>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13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14,182</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471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13,711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676 of the General Gambling URLs are listing, review or ranking sites, pending jointly agreed labelling rules.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3" w:name="_toc23"/>
            <w:r>
              <w:rPr>
                <w:rFonts w:ascii="Arial" w:hAnsi="Arial" w:eastAsia="Arial" w:cs="Tahoma"/>
              </w:rPr>
              <w:t>Heat map: Keyword × subcategory</w:t>
            </w:r>
            <w:bookmarkEnd w:id="23"/>
          </w:p>
          <w:p>
            <w:pPr>
              <w:keepNext/>
              <w:keepLines w:val="0"/>
              <w:spacing w:before="0" w:after="100" w:line="300" w:lineRule="auto"/>
            </w:pPr>
            <w:r>
              <w:rPr>
                <w:rFonts w:ascii="Arial" w:hAnsi="Arial" w:eastAsia="Arial" w:cs="Tahoma"/>
                <w:color w:val="1B2733"/>
                <w:sz w:val="19"/>
                <w:szCs w:val="19"/>
              </w:rPr>
              <w:t>Matched keywords against product subcategory. Each cell is the number of gambling sites carrying that keyword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227"/>
              <w:gridCol w:w="1701"/>
              <w:gridCol w:w="858"/>
              <w:gridCol w:w="858"/>
              <w:gridCol w:w="858"/>
              <w:gridCol w:w="858"/>
              <w:gridCol w:w="858"/>
              <w:gridCol w:w="858"/>
              <w:gridCol w:w="858"/>
            </w:tblGrid>
            <w:tr>
              <w:trPr>
                <w:trHeight w:val="510" w:hRule="atLeast"/>
                <w:tblHeader/>
              </w:trPr>
              <w:tc>
                <w:tcPr>
                  <w:tcW w:type="dxa" w:w="227"/>
                </w:tcPr>
                <w:p/>
              </w:tc>
              <w:tc>
                <w:tcPr>
                  <w:tcW w:type="dxa" w:w="1701"/>
                </w:tcP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VIP</w:t>
                  </w:r>
                </w:p>
              </w:tc>
              <w:tc>
                <w:tcPr>
                  <w:tcW w:type="dxa" w:w="858"/>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1,031</w:t>
                  </w:r>
                </w:p>
              </w:tc>
              <w:tc>
                <w:tcPr>
                  <w:tcW w:type="dxa" w:w="858"/>
                  <w:vAlign w:val="center"/>
                  <w:shd w:val="clear" w:color="auto" w:fill="8395A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530</w:t>
                  </w:r>
                </w:p>
              </w:tc>
              <w:tc>
                <w:tcPr>
                  <w:tcW w:type="dxa" w:w="858"/>
                  <w:vAlign w:val="center"/>
                  <w:shd w:val="clear" w:color="auto" w:fill="CBD3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168</w:t>
                  </w:r>
                </w:p>
              </w:tc>
              <w:tc>
                <w:tcPr>
                  <w:tcW w:type="dxa" w:w="858"/>
                  <w:vAlign w:val="center"/>
                  <w:shd w:val="clear" w:color="auto" w:fill="DEE3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73</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BET</w:t>
                  </w:r>
                </w:p>
              </w:tc>
              <w:tc>
                <w:tcPr>
                  <w:tcW w:type="dxa" w:w="858"/>
                  <w:vAlign w:val="center"/>
                  <w:shd w:val="clear" w:color="auto" w:fill="9CAAB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408</w:t>
                  </w:r>
                </w:p>
              </w:tc>
              <w:tc>
                <w:tcPr>
                  <w:tcW w:type="dxa" w:w="858"/>
                  <w:vAlign w:val="center"/>
                  <w:shd w:val="clear" w:color="auto" w:fill="8A9AA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497</w:t>
                  </w:r>
                </w:p>
              </w:tc>
              <w:tc>
                <w:tcPr>
                  <w:tcW w:type="dxa" w:w="858"/>
                  <w:vAlign w:val="center"/>
                  <w:shd w:val="clear" w:color="auto" w:fill="CBD2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172</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7EB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29</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WIN</w:t>
                  </w:r>
                </w:p>
              </w:tc>
              <w:tc>
                <w:tcPr>
                  <w:tcW w:type="dxa" w:w="858"/>
                  <w:vAlign w:val="center"/>
                  <w:shd w:val="clear" w:color="auto" w:fill="A3B0B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371</w:t>
                  </w:r>
                </w:p>
              </w:tc>
              <w:tc>
                <w:tcPr>
                  <w:tcW w:type="dxa" w:w="858"/>
                  <w:vAlign w:val="center"/>
                  <w:shd w:val="clear" w:color="auto" w:fill="CED5D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44</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สมัครสมาชิก</w:t>
                  </w:r>
                </w:p>
              </w:tc>
              <w:tc>
                <w:tcPr>
                  <w:tcW w:type="dxa" w:w="858"/>
                  <w:vAlign w:val="center"/>
                  <w:shd w:val="clear" w:color="auto" w:fill="C5CDD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201</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w:t>
                  </w:r>
                </w:p>
              </w:tc>
              <w:tc>
                <w:tcPr>
                  <w:tcW w:type="dxa" w:w="858"/>
                  <w:vAlign w:val="center"/>
                  <w:shd w:val="clear" w:color="auto" w:fill="BDC7D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239</w:t>
                  </w:r>
                </w:p>
              </w:tc>
              <w:tc>
                <w:tcPr>
                  <w:tcW w:type="dxa" w:w="858"/>
                  <w:vAlign w:val="center"/>
                  <w:shd w:val="clear" w:color="auto" w:fill="DF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1F3F63"/>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PRAGMATIC</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สล็อตออนไลน์</w:t>
                  </w:r>
                </w:p>
              </w:tc>
              <w:tc>
                <w:tcPr>
                  <w:tcW w:type="dxa" w:w="858"/>
                  <w:vAlign w:val="center"/>
                  <w:shd w:val="clear" w:color="auto" w:fill="DBE0E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เกมสล็อต</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บาคาร่า</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4E8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7d3c98"/>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Affiliate</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JILI</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39</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เล่นสล็อต</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เดิมพัน</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RTP</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พนัน</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JDB</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AUTO</w:t>
                  </w:r>
                </w:p>
              </w:tc>
              <w:tc>
                <w:tcPr>
                  <w:tcW w:type="dxa" w:w="858"/>
                  <w:vAlign w:val="center"/>
                  <w:shd w:val="clear" w:color="auto" w:fill="E9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SEXY</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เครดิตฟรี</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1,031. Empty cells are zero.</w:t>
            </w:r>
          </w:p>
          <w:p>
            <w:pPr>
              <w:keepNext w:val="0"/>
              <w:keepLines w:val="0"/>
              <w:spacing w:before="40" w:after="0" w:line="300" w:lineRule="auto"/>
            </w:pPr>
            <w:r>
              <w:rPr>
                <w:rFonts w:ascii="Arial" w:hAnsi="Arial" w:eastAsia="Arial" w:cs="Tahoma"/>
                <w:color w:val="2F5C8F"/>
                <w:sz w:val="18"/>
                <w:szCs w:val="18"/>
              </w:rPr>
              <w:t xml:space="preserve">■ </w:t>
            </w:r>
            <w:r>
              <w:rPr>
                <w:rFonts w:ascii="Arial" w:hAnsi="Arial" w:eastAsia="Arial" w:cs="Tahoma"/>
                <w:color w:val="1B2733"/>
                <w:sz w:val="16"/>
                <w:szCs w:val="16"/>
              </w:rPr>
              <w:t xml:space="preserve">Abbreviations   </w:t>
            </w:r>
            <w:r>
              <w:rPr>
                <w:rFonts w:ascii="Arial" w:hAnsi="Arial" w:eastAsia="Arial" w:cs="Tahoma"/>
                <w:color w:val="27AE60"/>
                <w:sz w:val="18"/>
                <w:szCs w:val="18"/>
              </w:rPr>
              <w:t xml:space="preserve">■ </w:t>
            </w:r>
            <w:r>
              <w:rPr>
                <w:rFonts w:ascii="Arial" w:hAnsi="Arial" w:eastAsia="Arial" w:cs="Tahoma"/>
                <w:color w:val="1B2733"/>
                <w:sz w:val="16"/>
                <w:szCs w:val="16"/>
              </w:rPr>
              <w:t xml:space="preserve">Marketing &amp; Acquisition   </w:t>
            </w:r>
            <w:r>
              <w:rPr>
                <w:rFonts w:ascii="Arial" w:hAnsi="Arial" w:eastAsia="Arial" w:cs="Tahoma"/>
                <w:color w:val="C0392B"/>
                <w:sz w:val="18"/>
                <w:szCs w:val="18"/>
              </w:rPr>
              <w:t xml:space="preserve">■ </w:t>
            </w:r>
            <w:r>
              <w:rPr>
                <w:rFonts w:ascii="Arial" w:hAnsi="Arial" w:eastAsia="Arial" w:cs="Tahoma"/>
                <w:color w:val="1B2733"/>
                <w:sz w:val="16"/>
                <w:szCs w:val="16"/>
              </w:rPr>
              <w:t xml:space="preserve">Slots   </w:t>
            </w:r>
            <w:r>
              <w:rPr>
                <w:rFonts w:ascii="Arial" w:hAnsi="Arial" w:eastAsia="Arial" w:cs="Tahoma"/>
                <w:color w:val="1F3F63"/>
                <w:sz w:val="18"/>
                <w:szCs w:val="18"/>
              </w:rPr>
              <w:t xml:space="preserve">■ </w:t>
            </w:r>
            <w:r>
              <w:rPr>
                <w:rFonts w:ascii="Arial" w:hAnsi="Arial" w:eastAsia="Arial" w:cs="Tahoma"/>
                <w:color w:val="1B2733"/>
                <w:sz w:val="16"/>
                <w:szCs w:val="16"/>
              </w:rPr>
              <w:t xml:space="preserve">Deposit &amp; Withdrawal   </w:t>
            </w:r>
            <w:r>
              <w:rPr>
                <w:rFonts w:ascii="Arial" w:hAnsi="Arial" w:eastAsia="Arial" w:cs="Tahoma"/>
                <w:color w:val="27AE60"/>
                <w:sz w:val="18"/>
                <w:szCs w:val="18"/>
              </w:rPr>
              <w:t xml:space="preserve">■ </w:t>
            </w:r>
            <w:r>
              <w:rPr>
                <w:rFonts w:ascii="Arial" w:hAnsi="Arial" w:eastAsia="Arial" w:cs="Tahoma"/>
                <w:color w:val="1B2733"/>
                <w:sz w:val="16"/>
                <w:szCs w:val="16"/>
              </w:rPr>
              <w:t xml:space="preserve">Casino   </w:t>
            </w:r>
            <w:r>
              <w:rPr>
                <w:rFonts w:ascii="Arial" w:hAnsi="Arial" w:eastAsia="Arial" w:cs="Tahoma"/>
                <w:color w:val="E67E22"/>
                <w:sz w:val="18"/>
                <w:szCs w:val="18"/>
              </w:rPr>
              <w:t xml:space="preserve">■ </w:t>
            </w:r>
            <w:r>
              <w:rPr>
                <w:rFonts w:ascii="Arial" w:hAnsi="Arial" w:eastAsia="Arial" w:cs="Tahoma"/>
                <w:color w:val="1B2733"/>
                <w:sz w:val="16"/>
                <w:szCs w:val="16"/>
              </w:rPr>
              <w:t xml:space="preserve">General Gambling   </w:t>
            </w:r>
            <w:r>
              <w:rPr>
                <w:rFonts w:ascii="Arial" w:hAnsi="Arial" w:eastAsia="Arial" w:cs="Tahoma"/>
                <w:color w:val="2F5C8F"/>
                <w:sz w:val="18"/>
                <w:szCs w:val="18"/>
              </w:rPr>
              <w:t xml:space="preserve">■ </w:t>
            </w:r>
            <w:r>
              <w:rPr>
                <w:rFonts w:ascii="Arial" w:hAnsi="Arial" w:eastAsia="Arial" w:cs="Tahoma"/>
                <w:color w:val="1B2733"/>
                <w:sz w:val="16"/>
                <w:szCs w:val="16"/>
              </w:rPr>
              <w:t xml:space="preserve">Baccarat   </w:t>
            </w:r>
            <w:r>
              <w:rPr>
                <w:rFonts w:ascii="Arial" w:hAnsi="Arial" w:eastAsia="Arial" w:cs="Tahoma"/>
                <w:color w:val="7D3C98"/>
                <w:sz w:val="18"/>
                <w:szCs w:val="18"/>
              </w:rPr>
              <w:t xml:space="preserve">■ </w:t>
            </w:r>
            <w:r>
              <w:rPr>
                <w:rFonts w:ascii="Arial" w:hAnsi="Arial" w:eastAsia="Arial" w:cs="Tahoma"/>
                <w:color w:val="1B2733"/>
                <w:sz w:val="16"/>
                <w:szCs w:val="16"/>
              </w:rPr>
              <w:t xml:space="preserve">Affiliate &amp; Agent   </w:t>
            </w:r>
            <w:r>
              <w:rPr>
                <w:rFonts w:ascii="Arial" w:hAnsi="Arial" w:eastAsia="Arial" w:cs="Tahoma"/>
                <w:color w:val="C0392B"/>
                <w:sz w:val="18"/>
                <w:szCs w:val="18"/>
              </w:rPr>
              <w:t xml:space="preserve">■ </w:t>
            </w:r>
            <w:r>
              <w:rPr>
                <w:rFonts w:ascii="Arial" w:hAnsi="Arial" w:eastAsia="Arial" w:cs="Tahoma"/>
                <w:color w:val="1B2733"/>
                <w:sz w:val="16"/>
                <w:szCs w:val="16"/>
              </w:rPr>
              <w:t>Promotions</w:t>
            </w:r>
          </w:p>
          <w:p>
            <w:pPr>
              <w:keepNext w:val="0"/>
              <w:keepLines w:val="0"/>
              <w:spacing w:before="80" w:after="0" w:line="300" w:lineRule="auto"/>
            </w:pPr>
            <w:r>
              <w:rPr>
                <w:rFonts w:ascii="Arial" w:hAnsi="Arial" w:eastAsia="Arial" w:cs="Tahoma"/>
                <w:color w:val="5D6D7E"/>
                <w:sz w:val="17"/>
                <w:szCs w:val="17"/>
              </w:rPr>
              <w:t>The coloured strip beside each keyword shows the lexicon category the keyword belongs to. A keyword listed under two categories appears once for each. Rows are the 25 most matched keywords; columns show the seven product subcategories.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4" w:name="_toc24"/>
            <w:r>
              <w:rPr>
                <w:rFonts w:ascii="Arial" w:hAnsi="Arial" w:eastAsia="Arial" w:cs="Tahoma"/>
              </w:rPr>
              <w:t>Heat map: Signal tag × subcategory</w:t>
            </w:r>
            <w:bookmarkEnd w:id="24"/>
          </w:p>
          <w:p>
            <w:pPr>
              <w:keepNext/>
              <w:keepLines w:val="0"/>
              <w:spacing w:before="0" w:after="100" w:line="300" w:lineRule="auto"/>
            </w:pPr>
            <w:r>
              <w:rPr>
                <w:rFonts w:ascii="Arial" w:hAnsi="Arial" w:eastAsia="Arial" w:cs="Tahoma"/>
                <w:color w:val="1B2733"/>
                <w:sz w:val="19"/>
                <w:szCs w:val="19"/>
              </w:rPr>
              <w:t>Signal tags against product subcategory. Each cell is the number of gambling sites carrying that tag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Abbreviations</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1,863</w:t>
                  </w:r>
                </w:p>
              </w:tc>
              <w:tc>
                <w:tcPr>
                  <w:tcW w:type="dxa" w:w="875"/>
                  <w:vAlign w:val="center"/>
                  <w:shd w:val="clear" w:color="auto" w:fill="62799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1,254</w:t>
                  </w:r>
                </w:p>
              </w:tc>
              <w:tc>
                <w:tcPr>
                  <w:tcW w:type="dxa" w:w="875"/>
                  <w:vAlign w:val="center"/>
                  <w:shd w:val="clear" w:color="auto" w:fill="DCE1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75"/>
                  <w:vAlign w:val="center"/>
                  <w:shd w:val="clear" w:color="auto" w:fill="C2CBD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387</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68</w:t>
                  </w:r>
                </w:p>
              </w:tc>
              <w:tc>
                <w:tcPr>
                  <w:tcW w:type="dxa" w:w="875"/>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Affiliate &amp; Agent</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75"/>
                  <w:vAlign w:val="center"/>
                  <w:shd w:val="clear" w:color="auto" w:fill="A2AFB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678</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Marketing &amp; Acquisition</w:t>
                  </w:r>
                </w:p>
              </w:tc>
              <w:tc>
                <w:tcPr>
                  <w:tcW w:type="dxa" w:w="875"/>
                  <w:vAlign w:val="center"/>
                  <w:shd w:val="clear" w:color="auto" w:fill="D5DBE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217</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Deposit &amp; Withdrawal</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103</w:t>
                  </w:r>
                </w:p>
              </w:tc>
              <w:tc>
                <w:tcPr>
                  <w:tcW w:type="dxa" w:w="875"/>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59</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Promotions</w:t>
                  </w:r>
                </w:p>
              </w:tc>
              <w:tc>
                <w:tcPr>
                  <w:tcW w:type="dxa" w:w="875"/>
                  <w:vAlign w:val="center"/>
                  <w:shd w:val="clear" w:color="auto" w:fill="EC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Hashtags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Vague-Evasion Terms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1,863. Empty cells are zero.</w:t>
            </w:r>
          </w:p>
          <w:p>
            <w:pPr>
              <w:keepNext w:val="0"/>
              <w:keepLines w:val="0"/>
              <w:spacing w:before="80" w:after="0" w:line="300" w:lineRule="auto"/>
            </w:pPr>
            <w:r>
              <w:rPr>
                <w:rFonts w:ascii="Arial" w:hAnsi="Arial" w:eastAsia="Arial" w:cs="Tahoma"/>
                <w:color w:val="5D6D7E"/>
                <w:sz w:val="17"/>
                <w:szCs w:val="17"/>
              </w:rPr>
              <w:t>Rows are the seven signal categories of the lexicon. Gambling sites with no reasoning text and no product keyword are assigned Unspecified and are not drawn here.</w:t>
            </w:r>
          </w:p>
        </w:tc>
      </w:tr>
    </w:tbl>
    <w:p>
      <w:pPr>
        <w:keepNext w:val="0"/>
        <w:keepLines w:val="0"/>
        <w:spacing w:before="0" w:after="0" w:line="340" w:lineRule="exact"/>
        <w:rPr>
          <w:sz w:val="2"/>
        </w:rPr>
      </w:pPr>
    </w:p>
    <w:p>
      <w:pPr>
        <w:pStyle w:val="Heading2"/>
      </w:pPr>
      <w:bookmarkStart w:id="25" w:name="_toc25"/>
      <w:r>
        <w:rPr>
          <w:rFonts w:ascii="Arial" w:hAnsi="Arial" w:eastAsia="Arial" w:cs="Tahoma"/>
        </w:rPr>
        <w:t>Brands and clustering</w:t>
      </w:r>
      <w:bookmarkEnd w:id="25"/>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6" w:name="_toc26"/>
            <w:r>
              <w:rPr>
                <w:rFonts w:ascii="Arial" w:hAnsi="Arial" w:eastAsia="Arial" w:cs="Tahoma"/>
              </w:rPr>
              <w:t>What brand clusters are</w:t>
            </w:r>
            <w:bookmarkEnd w:id="26"/>
          </w:p>
          <w:p>
            <w:pPr>
              <w:keepNext/>
              <w:keepLines w:val="0"/>
              <w:spacing w:before="0" w:after="40" w:line="300" w:lineRule="auto"/>
            </w:pPr>
            <w:r>
              <w:rPr>
                <w:rFonts w:ascii="Arial" w:hAnsi="Arial" w:eastAsia="Arial" w:cs="Tahoma"/>
                <w:b/>
                <w:color w:val="1B2733"/>
                <w:sz w:val="19"/>
                <w:szCs w:val="19"/>
                <w:bCs w:val="1"/>
              </w:rPr>
              <w:t>What a cluster is</w:t>
            </w:r>
          </w:p>
          <w:p>
            <w:pPr>
              <w:keepNext w:val="0"/>
              <w:keepLines w:val="0"/>
              <w:spacing w:before="0" w:after="100" w:line="300" w:lineRule="auto"/>
            </w:pPr>
            <w:r>
              <w:rPr>
                <w:rFonts w:ascii="Arial" w:hAnsi="Arial" w:eastAsia="Arial" w:cs="Tahoma"/>
                <w:color w:val="1B2733"/>
                <w:sz w:val="19"/>
                <w:szCs w:val="19"/>
              </w:rPr>
              <w:t>A brand cluster is a group of URLs, and the domains they sit on, judged to belong to the same gambling brand or operator. Domains join a cluster in one of four ways. The crawler followed a redirect between them, or generated one as a variant of the other's name, which is seed linkage. One matches a brand in an external ranking of gambling domains for Thailand and is grouped under that brand's name, as listed in Annex 2. Their names reduce to the same stem once market tags, version numbers and suffixes are removed, so ufabet168th.com and ufabet-vip.net both reduce to ufabet. Their stems are near identical. A domain that matches nothing else is a singleton. Every hostname on a registered domain is in the same cluster.</w:t>
            </w:r>
          </w:p>
          <w:p>
            <w:pPr>
              <w:keepNext/>
              <w:keepLines w:val="0"/>
              <w:spacing w:before="0" w:after="40" w:line="300" w:lineRule="auto"/>
            </w:pPr>
            <w:r>
              <w:rPr>
                <w:rFonts w:ascii="Arial" w:hAnsi="Arial" w:eastAsia="Arial" w:cs="Tahoma"/>
                <w:b/>
                <w:color w:val="1B2733"/>
                <w:sz w:val="19"/>
                <w:szCs w:val="19"/>
                <w:bCs w:val="1"/>
              </w:rPr>
              <w:t>Why clusters matter</w:t>
            </w:r>
          </w:p>
          <w:p>
            <w:pPr>
              <w:keepNext w:val="0"/>
              <w:keepLines w:val="0"/>
              <w:spacing w:before="0" w:after="0" w:line="300" w:lineRule="auto"/>
            </w:pPr>
            <w:r>
              <w:rPr>
                <w:rFonts w:ascii="Arial" w:hAnsi="Arial" w:eastAsia="Arial" w:cs="Tahoma"/>
                <w:color w:val="1B2733"/>
                <w:sz w:val="19"/>
                <w:szCs w:val="19"/>
              </w:rPr>
              <w:t>Operators rarely run one site. They register many domains, rotate top level domains and move players between them through redirects, so when one address is blocked another takes its place. Counting URLs therefore overstates how many operators there are. Clustering shows how many distinct operations exist and which run several product types, so acting on a cluster reaches every domain in it. Clusters are an analytical grouping based on names, crawler links and an external domain ranking, not a legal finding about ownership, and the Possible operator linkage table is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2,719</w:t>
            </w:r>
          </w:p>
          <w:p>
            <w:pPr>
              <w:keepNext w:val="0"/>
              <w:keepLines w:val="0"/>
              <w:spacing w:before="0" w:after="0" w:line="264" w:lineRule="auto"/>
              <w:jc w:val="center"/>
            </w:pPr>
            <w:r>
              <w:rPr>
                <w:rFonts w:ascii="Arial" w:hAnsi="Arial" w:eastAsia="Arial" w:cs="Tahoma"/>
                <w:color w:val="1B2733"/>
                <w:sz w:val="17"/>
                <w:szCs w:val="17"/>
              </w:rPr>
              <w:t>Distinct clusters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995</w:t>
            </w:r>
          </w:p>
          <w:p>
            <w:pPr>
              <w:keepNext w:val="0"/>
              <w:keepLines w:val="0"/>
              <w:spacing w:before="0" w:after="0" w:line="264" w:lineRule="auto"/>
              <w:jc w:val="center"/>
            </w:pPr>
            <w:r>
              <w:rPr>
                <w:rFonts w:ascii="Arial" w:hAnsi="Arial" w:eastAsia="Arial" w:cs="Tahoma"/>
                <w:color w:val="1B2733"/>
                <w:sz w:val="17"/>
                <w:szCs w:val="17"/>
              </w:rPr>
              <w:t>Clusters with 2 or more domains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1,724</w:t>
            </w:r>
          </w:p>
          <w:p>
            <w:pPr>
              <w:keepNext w:val="0"/>
              <w:keepLines w:val="0"/>
              <w:spacing w:before="0" w:after="0" w:line="264" w:lineRule="auto"/>
              <w:jc w:val="center"/>
            </w:pPr>
            <w:r>
              <w:rPr>
                <w:rFonts w:ascii="Arial" w:hAnsi="Arial" w:eastAsia="Arial" w:cs="Tahoma"/>
                <w:color w:val="1B2733"/>
                <w:sz w:val="17"/>
                <w:szCs w:val="17"/>
              </w:rPr>
              <w:t>Singletons, one domain each</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43</w:t>
            </w:r>
          </w:p>
          <w:p>
            <w:pPr>
              <w:keepNext w:val="0"/>
              <w:keepLines w:val="0"/>
              <w:spacing w:before="0" w:after="0" w:line="264" w:lineRule="auto"/>
              <w:jc w:val="center"/>
            </w:pPr>
            <w:r>
              <w:rPr>
                <w:rFonts w:ascii="Arial" w:hAnsi="Arial" w:eastAsia="Arial" w:cs="Tahoma"/>
                <w:color w:val="1B2733"/>
                <w:sz w:val="17"/>
                <w:szCs w:val="17"/>
              </w:rPr>
              <w:t>Clusters covering half of gambling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7" w:name="_toc27"/>
            <w:r>
              <w:rPr>
                <w:rFonts w:ascii="Arial" w:hAnsi="Arial" w:eastAsia="Arial" w:cs="Tahoma"/>
              </w:rPr>
              <w:t>Domains with the most URLs</w:t>
            </w:r>
            <w:bookmarkEnd w:id="27"/>
          </w:p>
          <w:p>
            <w:pPr>
              <w:keepNext/>
              <w:keepLines w:val="0"/>
              <w:spacing w:before="0" w:after="100" w:line="300" w:lineRule="auto"/>
            </w:pPr>
            <w:r>
              <w:rPr>
                <w:rFonts w:ascii="Arial" w:hAnsi="Arial" w:eastAsia="Arial" w:cs="Tahoma"/>
                <w:color w:val="5D6D7E"/>
                <w:sz w:val="18"/>
                <w:szCs w:val="18"/>
              </w:rPr>
              <w:t>Largest domain holds 20.3% of gambling URLs</w:t>
            </w:r>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registered domains that carry the most gambling URLs in this sample. Each row gives the domain, its number of URLs, their share of all gambling URLs, the brand cluster it belongs to, the first and last day SICPADetect recorded it, and whether it is a host farm. A domain carrying 20 or more gambling URLs is marked as a host farm, meaning many hostnames under one registered name. Many hostnames under one domain usually come from a single setting that makes every name under the domain lead to the same site, so they may not be separate pages. Action against the domain itself reaches every one of its hostnames at once.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31"/>
              <w:gridCol w:w="794"/>
              <w:gridCol w:w="1134"/>
              <w:gridCol w:w="1474"/>
              <w:gridCol w:w="1134"/>
              <w:gridCol w:w="1134"/>
              <w:gridCol w:w="737"/>
            </w:tblGrid>
            <w:tr>
              <w:trPr>
                <w:tblHeader/>
                <w:cantSplit/>
              </w:trPr>
              <w:tc>
                <w:tcPr>
                  <w:tcW w:type="dxa" w:w="1531"/>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 of gambling URLs</w:t>
                  </w:r>
                </w:p>
              </w:tc>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First seen</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Last seen</w:t>
                  </w:r>
                </w:p>
              </w:tc>
              <w:tc>
                <w:tcPr>
                  <w:tcW w:type="dxa" w:w="737"/>
                  <w:shd w:val="clear" w:color="auto" w:fill="1F3F63"/>
                </w:tcPr>
                <w:p>
                  <w:pPr>
                    <w:keepNext w:val="0"/>
                    <w:keepLines w:val="0"/>
                    <w:spacing w:before="0" w:after="0" w:line="276" w:lineRule="auto"/>
                  </w:pPr>
                  <w:r>
                    <w:rPr>
                      <w:rFonts w:ascii="Arial" w:hAnsi="Arial" w:eastAsia="Arial" w:cs="Tahoma"/>
                      <w:b/>
                      <w:color w:val="FFFFFF"/>
                      <w:sz w:val="16"/>
                      <w:szCs w:val="16"/>
                      <w:bCs w:val="1"/>
                    </w:rPr>
                    <w:t>Host farm</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49m.co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20.3%</w:t>
                  </w:r>
                </w:p>
              </w:tc>
              <w:tc>
                <w:tcPr>
                  <w:tcW w:type="dxa" w:w="1474"/>
                </w:tcPr>
                <w:p>
                  <w:pPr>
                    <w:keepNext w:val="0"/>
                    <w:keepLines w:val="0"/>
                    <w:spacing w:before="0" w:after="0" w:line="276" w:lineRule="auto"/>
                  </w:pPr>
                  <w:r>
                    <w:rPr>
                      <w:rFonts w:ascii="Arial" w:hAnsi="Arial" w:eastAsia="Arial" w:cs="Tahoma"/>
                      <w:b w:val="0"/>
                      <w:color w:val="1B2733"/>
                      <w:sz w:val="16"/>
                      <w:szCs w:val="16"/>
                      <w:bCs w:val="0"/>
                    </w:rPr>
                    <w:t>49m</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2026-10-03</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2026-10-09</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a3game.vip</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502</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3.5%</w:t>
                  </w:r>
                </w:p>
              </w:tc>
              <w:tc>
                <w:tcPr>
                  <w:tcW w:type="dxa" w:w="1474"/>
                </w:tcPr>
                <w:p>
                  <w:pPr>
                    <w:keepNext w:val="0"/>
                    <w:keepLines w:val="0"/>
                    <w:spacing w:before="0" w:after="0" w:line="276" w:lineRule="auto"/>
                  </w:pPr>
                  <w:r>
                    <w:rPr>
                      <w:rFonts w:ascii="Arial" w:hAnsi="Arial" w:eastAsia="Arial" w:cs="Tahoma"/>
                      <w:b w:val="0"/>
                      <w:color w:val="1B2733"/>
                      <w:sz w:val="16"/>
                      <w:szCs w:val="16"/>
                      <w:bCs w:val="0"/>
                    </w:rPr>
                    <w:t>a3game</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2026-09-23</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hayy.net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407</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hay</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k03.cc</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272</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k03</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paes.dev</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269</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paes</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paegs.dev</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176</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paes</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o8.game</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73</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0.5%</w:t>
                  </w:r>
                </w:p>
              </w:tc>
              <w:tc>
                <w:tcPr>
                  <w:tcW w:type="dxa" w:w="1474"/>
                </w:tcPr>
                <w:p>
                  <w:pPr>
                    <w:keepNext w:val="0"/>
                    <w:keepLines w:val="0"/>
                    <w:spacing w:before="0" w:after="0" w:line="276" w:lineRule="auto"/>
                  </w:pPr>
                  <w:r>
                    <w:rPr>
                      <w:rFonts w:ascii="Arial" w:hAnsi="Arial" w:eastAsia="Arial" w:cs="Tahoma"/>
                      <w:b w:val="0"/>
                      <w:color w:val="1B2733"/>
                      <w:sz w:val="16"/>
                      <w:szCs w:val="16"/>
                      <w:bCs w:val="0"/>
                    </w:rPr>
                    <w:t>o8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abbet.xyz</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70</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0.5%</w:t>
                  </w:r>
                </w:p>
              </w:tc>
              <w:tc>
                <w:tcPr>
                  <w:tcW w:type="dxa" w:w="1474"/>
                </w:tcPr>
                <w:p>
                  <w:pPr>
                    <w:keepNext w:val="0"/>
                    <w:keepLines w:val="0"/>
                    <w:spacing w:before="0" w:after="0" w:line="276" w:lineRule="auto"/>
                  </w:pPr>
                  <w:r>
                    <w:rPr>
                      <w:rFonts w:ascii="Arial" w:hAnsi="Arial" w:eastAsia="Arial" w:cs="Tahoma"/>
                      <w:b w:val="0"/>
                      <w:color w:val="1B2733"/>
                      <w:sz w:val="16"/>
                      <w:szCs w:val="16"/>
                      <w:bCs w:val="0"/>
                    </w:rPr>
                    <w:t>abbet</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2026-10-18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2026-10-20</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jun888.top</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67</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0.5%</w:t>
                  </w:r>
                </w:p>
              </w:tc>
              <w:tc>
                <w:tcPr>
                  <w:tcW w:type="dxa" w:w="1474"/>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7ok.bet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66</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0.5%</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l8.game</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57</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0.4%</w:t>
                  </w:r>
                </w:p>
              </w:tc>
              <w:tc>
                <w:tcPr>
                  <w:tcW w:type="dxa" w:w="1474"/>
                </w:tcPr>
                <w:p>
                  <w:pPr>
                    <w:keepNext w:val="0"/>
                    <w:keepLines w:val="0"/>
                    <w:spacing w:before="0" w:after="0" w:line="276" w:lineRule="auto"/>
                  </w:pPr>
                  <w:r>
                    <w:rPr>
                      <w:rFonts w:ascii="Arial" w:hAnsi="Arial" w:eastAsia="Arial" w:cs="Tahoma"/>
                      <w:b w:val="0"/>
                      <w:color w:val="1B2733"/>
                      <w:sz w:val="16"/>
                      <w:szCs w:val="16"/>
                      <w:bCs w:val="0"/>
                    </w:rPr>
                    <w:t>l8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jn86.cc</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40</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0.3%</w:t>
                  </w:r>
                </w:p>
              </w:tc>
              <w:tc>
                <w:tcPr>
                  <w:tcW w:type="dxa" w:w="1474"/>
                </w:tcPr>
                <w:p>
                  <w:pPr>
                    <w:keepNext w:val="0"/>
                    <w:keepLines w:val="0"/>
                    <w:spacing w:before="0" w:after="0" w:line="276" w:lineRule="auto"/>
                  </w:pPr>
                  <w:r>
                    <w:rPr>
                      <w:rFonts w:ascii="Arial" w:hAnsi="Arial" w:eastAsia="Arial" w:cs="Tahoma"/>
                      <w:b w:val="0"/>
                      <w:color w:val="1B2733"/>
                      <w:sz w:val="16"/>
                      <w:szCs w:val="16"/>
                      <w:bCs w:val="0"/>
                    </w:rPr>
                    <w:t>jn86</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oo7.vip</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37</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0.3%</w:t>
                  </w:r>
                </w:p>
              </w:tc>
              <w:tc>
                <w:tcPr>
                  <w:tcW w:type="dxa" w:w="1474"/>
                </w:tcPr>
                <w:p>
                  <w:pPr>
                    <w:keepNext w:val="0"/>
                    <w:keepLines w:val="0"/>
                    <w:spacing w:before="0" w:after="0" w:line="276" w:lineRule="auto"/>
                  </w:pPr>
                  <w:r>
                    <w:rPr>
                      <w:rFonts w:ascii="Arial" w:hAnsi="Arial" w:eastAsia="Arial" w:cs="Tahoma"/>
                      <w:b w:val="0"/>
                      <w:color w:val="1B2733"/>
                      <w:sz w:val="16"/>
                      <w:szCs w:val="16"/>
                      <w:bCs w:val="0"/>
                    </w:rPr>
                    <w:t>oo7</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2026-09-04</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2026-09-07</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mwbet.info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27</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mwbet</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2026-10-18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2026-10-20</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r>
              <w:trPr>
                <w:cantSplit/>
              </w:trPr>
              <w:tc>
                <w:tcPr>
                  <w:tcW w:type="dxa" w:w="1531"/>
                </w:tcPr>
                <w:p>
                  <w:pPr>
                    <w:keepNext w:val="0"/>
                    <w:keepLines w:val="0"/>
                    <w:spacing w:before="0" w:after="0" w:line="276" w:lineRule="auto"/>
                  </w:pPr>
                  <w:r>
                    <w:rPr>
                      <w:rFonts w:ascii="Arial" w:hAnsi="Arial" w:eastAsia="Arial" w:cs="Tahoma"/>
                      <w:b w:val="0"/>
                      <w:color w:val="1B2733"/>
                      <w:sz w:val="16"/>
                      <w:szCs w:val="16"/>
                      <w:bCs w:val="0"/>
                    </w:rPr>
                    <w:t>ju088.com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23</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0.2%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ju088</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2026-09-25</w:t>
                  </w:r>
                </w:p>
              </w:tc>
              <w:tc>
                <w:tcPr>
                  <w:tcW w:type="dxa" w:w="1134"/>
                </w:tcPr>
                <w:p>
                  <w:pPr>
                    <w:keepNext w:val="0"/>
                    <w:keepLines w:val="0"/>
                    <w:spacing w:before="0" w:after="0" w:line="276" w:lineRule="auto"/>
                  </w:pPr>
                  <w:r>
                    <w:rPr>
                      <w:rFonts w:ascii="Arial" w:hAnsi="Arial" w:eastAsia="Arial" w:cs="Tahoma"/>
                      <w:b w:val="0"/>
                      <w:color w:val="1B2733"/>
                      <w:sz w:val="16"/>
                      <w:szCs w:val="16"/>
                      <w:bCs w:val="0"/>
                    </w:rPr>
                    <w:t>2026-09-28</w:t>
                  </w:r>
                </w:p>
              </w:tc>
              <w:tc>
                <w:tcPr>
                  <w:tcW w:type="dxa" w:w="737"/>
                </w:tcPr>
                <w:p>
                  <w:pPr>
                    <w:keepNext w:val="0"/>
                    <w:keepLines w:val="0"/>
                    <w:spacing w:before="0" w:after="0" w:line="276" w:lineRule="auto"/>
                  </w:pPr>
                  <w:r>
                    <w:rPr>
                      <w:rFonts w:ascii="Arial" w:hAnsi="Arial" w:eastAsia="Arial" w:cs="Tahoma"/>
                      <w:b w:val="0"/>
                      <w:color w:val="1B2733"/>
                      <w:sz w:val="16"/>
                      <w:szCs w:val="16"/>
                      <w:bCs w:val="0"/>
                    </w:rPr>
                    <w:t>Yes</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15 domains are host farms, carrying 4,971 gambling URLs (35.1% of gambling URLs). 722 domains cover half of the gambling URLs. The export records no HTTP status, so fetch evidence for the host farms is not recorded.</w:t>
            </w:r>
          </w:p>
          <w:p>
            <w:pPr>
              <w:keepNext w:val="0"/>
              <w:keepLines w:val="0"/>
              <w:spacing w:before="80" w:after="0" w:line="300" w:lineRule="auto"/>
            </w:pPr>
            <w:r>
              <w:rPr>
                <w:rFonts w:ascii="Arial" w:hAnsi="Arial" w:eastAsia="Arial" w:cs="Tahoma"/>
                <w:color w:val="5D6D7E"/>
                <w:sz w:val="17"/>
                <w:szCs w:val="17"/>
              </w:rPr>
              <w:t>The top 15 domains are shown; 6,812 domains are outside the table. The top 5 domains hold 30.6% of gambling URLs and the top 10 hold 33.8%.</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8" w:name="_toc28"/>
            <w:r>
              <w:rPr>
                <w:rFonts w:ascii="Arial" w:hAnsi="Arial" w:eastAsia="Arial" w:cs="Tahoma"/>
              </w:rPr>
              <w:t>Top 15 brand clusters by URL count</w:t>
            </w:r>
            <w:bookmarkEnd w:id="28"/>
          </w:p>
          <w:p>
            <w:pPr>
              <w:keepNext/>
              <w:keepLines w:val="0"/>
              <w:spacing w:before="0" w:after="100" w:line="300" w:lineRule="auto"/>
            </w:pPr>
            <w:r>
              <w:rPr>
                <w:rFonts w:ascii="Arial" w:hAnsi="Arial" w:eastAsia="Arial" w:cs="Tahoma"/>
                <w:color w:val="1B2733"/>
                <w:sz w:val="19"/>
                <w:szCs w:val="19"/>
              </w:rPr>
              <w:t>The fifteen largest brand clusters. Bar length is the number of URLs in the cluster and each label also gives its domains.</w:t>
            </w:r>
          </w:p>
          <w:p>
            <w:pPr>
              <w:keepNext w:val="0"/>
              <w:keepLines w:val="0"/>
              <w:spacing w:before="40" w:after="40" w:line="300" w:lineRule="auto"/>
              <w:jc w:val="center"/>
            </w:pPr>
            <w:r>
              <w:drawing>
                <wp:inline xmlns:a="http://schemas.openxmlformats.org/drawingml/2006/main" xmlns:pic="http://schemas.openxmlformats.org/drawingml/2006/picture">
                  <wp:extent cx="5040000" cy="4757228"/>
                  <wp:docPr id="8" name="Picture 8" descr="Horizontal bar chart of the fifteen largest brand clusters by URL count, labelled with URLs and domains" title="Horizontal bar chart of the fifteen largest brand clusters b"/>
                  <wp:cNvGraphicFramePr>
                    <a:graphicFrameLocks noChangeAspect="1"/>
                  </wp:cNvGraphicFramePr>
                  <a:graphic>
                    <a:graphicData uri="http://schemas.openxmlformats.org/drawingml/2006/picture">
                      <pic:pic>
                        <pic:nvPicPr>
                          <pic:cNvPr id="0" name="e2.png"/>
                          <pic:cNvPicPr/>
                        </pic:nvPicPr>
                        <pic:blipFill>
                          <a:blip r:embed="rId16"/>
                          <a:stretch>
                            <a:fillRect/>
                          </a:stretch>
                        </pic:blipFill>
                        <pic:spPr>
                          <a:xfrm>
                            <a:off x="0" y="0"/>
                            <a:ext cx="5040000" cy="4757228"/>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The top 5 clusters hold 35.1% of gambling URLs and the top 10 hold 40.5%.</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9" w:name="_toc29"/>
            <w:r>
              <w:rPr>
                <w:rFonts w:ascii="Arial" w:hAnsi="Arial" w:eastAsia="Arial" w:cs="Tahoma"/>
              </w:rPr>
              <w:t>Heat map: Brand cluster × subcategory</w:t>
            </w:r>
            <w:bookmarkEnd w:id="29"/>
          </w:p>
          <w:p>
            <w:pPr>
              <w:keepNext/>
              <w:keepLines w:val="0"/>
              <w:spacing w:before="0" w:after="100" w:line="300" w:lineRule="auto"/>
            </w:pPr>
            <w:r>
              <w:rPr>
                <w:rFonts w:ascii="Arial" w:hAnsi="Arial" w:eastAsia="Arial" w:cs="Tahoma"/>
                <w:color w:val="1B2733"/>
                <w:sz w:val="19"/>
                <w:szCs w:val="19"/>
              </w:rPr>
              <w:t>Brand clusters against product subcategory. Each cell is the number of URLs a cluster holds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49m</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1,860</w:t>
                  </w:r>
                </w:p>
              </w:tc>
              <w:tc>
                <w:tcPr>
                  <w:tcW w:type="dxa" w:w="875"/>
                  <w:vAlign w:val="center"/>
                  <w:shd w:val="clear" w:color="auto" w:fill="B7C1C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487</w:t>
                  </w:r>
                </w:p>
              </w:tc>
              <w:tc>
                <w:tcPr>
                  <w:tcW w:type="dxa" w:w="875"/>
                  <w:vAlign w:val="center"/>
                  <w:shd w:val="clear" w:color="auto" w:fill="BAC4C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460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4E8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jun8</w:t>
                  </w:r>
                </w:p>
              </w:tc>
              <w:tc>
                <w:tcPr>
                  <w:tcW w:type="dxa" w:w="875"/>
                  <w:vAlign w:val="center"/>
                  <w:shd w:val="clear" w:color="auto" w:fill="D8DDE4"/>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193</w:t>
                  </w:r>
                </w:p>
              </w:tc>
              <w:tc>
                <w:tcPr>
                  <w:tcW w:type="dxa" w:w="875"/>
                  <w:vAlign w:val="center"/>
                  <w:shd w:val="clear" w:color="auto" w:fill="CAD2D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315</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c>
                <w:tcPr>
                  <w:tcW w:type="dxa" w:w="875"/>
                  <w:vAlign w:val="center"/>
                  <w:shd w:val="clear" w:color="auto" w:fill="E3E7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68</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a3game</w:t>
                  </w:r>
                </w:p>
              </w:tc>
              <w:tc>
                <w:tcPr>
                  <w:tcW w:type="dxa" w:w="875"/>
                  <w:vAlign w:val="center"/>
                  <w:shd w:val="clear" w:color="auto" w:fill="B6C0C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497</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paes</w:t>
                  </w:r>
                </w:p>
              </w:tc>
              <w:tc>
                <w:tcPr>
                  <w:tcW w:type="dxa" w:w="875"/>
                  <w:vAlign w:val="center"/>
                  <w:shd w:val="clear" w:color="auto" w:fill="D4DAE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227</w:t>
                  </w:r>
                </w:p>
              </w:tc>
              <w:tc>
                <w:tcPr>
                  <w:tcW w:type="dxa" w:w="875"/>
                  <w:vAlign w:val="center"/>
                  <w:shd w:val="clear" w:color="auto" w:fill="DCE1E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156</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hay</w:t>
                  </w:r>
                </w:p>
              </w:tc>
              <w:tc>
                <w:tcPr>
                  <w:tcW w:type="dxa" w:w="875"/>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170</w:t>
                  </w:r>
                </w:p>
              </w:tc>
              <w:tc>
                <w:tcPr>
                  <w:tcW w:type="dxa" w:w="875"/>
                  <w:vAlign w:val="center"/>
                  <w:shd w:val="clear" w:color="auto" w:fill="D4DAE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223</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k03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CFD6D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270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gg88</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w:t>
                  </w:r>
                </w:p>
              </w:tc>
              <w:tc>
                <w:tcPr>
                  <w:tcW w:type="dxa" w:w="875"/>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146</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25</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58th0</w:t>
                  </w:r>
                </w:p>
              </w:tc>
              <w:tc>
                <w:tcPr>
                  <w:tcW w:type="dxa" w:w="875"/>
                  <w:vAlign w:val="center"/>
                  <w:shd w:val="clear" w:color="auto" w:fill="E3E7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7ok</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71</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o8</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71</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uu8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30</w:t>
                  </w:r>
                </w:p>
              </w:tc>
              <w:tc>
                <w:tcPr>
                  <w:tcW w:type="dxa" w:w="875"/>
                  <w:vAlign w:val="center"/>
                  <w:shd w:val="clear" w:color="auto" w:fill="E9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abbet</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63</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jin68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min68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loto432s</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l8</w:t>
                  </w:r>
                </w:p>
              </w:tc>
              <w:tc>
                <w:tcPr>
                  <w:tcW w:type="dxa" w:w="875"/>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56</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mwbet</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30</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bohocasino</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oo7</w:t>
                  </w:r>
                </w:p>
              </w:tc>
              <w:tc>
                <w:tcPr>
                  <w:tcW w:type="dxa" w:w="875"/>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jun09</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1,860. Empty cells are zero.</w:t>
            </w:r>
          </w:p>
          <w:p>
            <w:pPr>
              <w:keepNext w:val="0"/>
              <w:keepLines w:val="0"/>
              <w:spacing w:before="80" w:after="0" w:line="300" w:lineRule="auto"/>
            </w:pPr>
            <w:r>
              <w:rPr>
                <w:rFonts w:ascii="Arial" w:hAnsi="Arial" w:eastAsia="Arial" w:cs="Tahoma"/>
                <w:color w:val="5D6D7E"/>
                <w:sz w:val="17"/>
                <w:szCs w:val="17"/>
              </w:rPr>
              <w:t>Rows are the 20 largest clusters. Multi product operators appear as horizontal bands.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0" w:name="_toc30"/>
            <w:r>
              <w:rPr>
                <w:rFonts w:ascii="Arial" w:hAnsi="Arial" w:eastAsia="Arial" w:cs="Tahoma"/>
              </w:rPr>
              <w:t>Cluster expansion: jun8</w:t>
            </w:r>
            <w:bookmarkEnd w:id="30"/>
          </w:p>
          <w:p>
            <w:pPr>
              <w:keepNext/>
              <w:keepLines w:val="0"/>
              <w:spacing w:before="0" w:after="100" w:line="300" w:lineRule="auto"/>
            </w:pPr>
            <w:r>
              <w:rPr>
                <w:rFonts w:ascii="Arial" w:hAnsi="Arial" w:eastAsia="Arial" w:cs="Tahoma"/>
                <w:color w:val="1B2733"/>
                <w:sz w:val="19"/>
                <w:szCs w:val="19"/>
              </w:rPr>
              <w:t>A brand cluster and its member domains, each labelled with its URL count. Edge style records why each domain joined the cluster.</w:t>
            </w:r>
          </w:p>
          <w:p>
            <w:pPr>
              <w:keepNext w:val="0"/>
              <w:keepLines w:val="0"/>
              <w:spacing w:before="40" w:after="40" w:line="300" w:lineRule="auto"/>
              <w:jc w:val="center"/>
            </w:pPr>
            <w:r>
              <w:drawing>
                <wp:inline xmlns:a="http://schemas.openxmlformats.org/drawingml/2006/main" xmlns:pic="http://schemas.openxmlformats.org/drawingml/2006/picture">
                  <wp:extent cx="5040000" cy="4208317"/>
                  <wp:docPr id="9" name="Picture 9" descr="Node diagram of the jun8 cluster and its member domains" title="Node diagram of the jun8 cluster and its member domains"/>
                  <wp:cNvGraphicFramePr>
                    <a:graphicFrameLocks noChangeAspect="1"/>
                  </wp:cNvGraphicFramePr>
                  <a:graphic>
                    <a:graphicData uri="http://schemas.openxmlformats.org/drawingml/2006/picture">
                      <pic:pic>
                        <pic:nvPicPr>
                          <pic:cNvPr id="0" name="e4.png"/>
                          <pic:cNvPicPr/>
                        </pic:nvPicPr>
                        <pic:blipFill>
                          <a:blip r:embed="rId17"/>
                          <a:stretch>
                            <a:fillRect/>
                          </a:stretch>
                        </pic:blipFill>
                        <pic:spPr>
                          <a:xfrm>
                            <a:off x="0" y="0"/>
                            <a:ext cx="5040000" cy="4208317"/>
                          </a:xfrm>
                          <a:prstGeom prst="rect"/>
                        </pic:spPr>
                      </pic:pic>
                    </a:graphicData>
                  </a:graphic>
                </wp:inline>
              </w:drawing>
            </w:r>
          </w:p>
          <w:p>
            <w:pPr>
              <w:keepNext w:val="0"/>
              <w:keepLines w:val="0"/>
              <w:spacing w:before="0" w:after="0" w:line="300" w:lineRule="auto"/>
            </w:pPr>
            <w:r>
              <w:rPr>
                <w:rFonts w:ascii="Arial" w:hAnsi="Arial" w:eastAsia="Arial" w:cs="Tahoma"/>
                <w:color w:val="1B2733"/>
                <w:sz w:val="18"/>
                <w:szCs w:val="18"/>
              </w:rPr>
              <w:t>The largest cluster, 49m, holds 1 domain, so the diagram shows the largest cluster with at least 3 domains instead.</w:t>
            </w:r>
          </w:p>
          <w:p>
            <w:pPr>
              <w:keepNext w:val="0"/>
              <w:keepLines w:val="0"/>
              <w:spacing w:before="80" w:after="0" w:line="300" w:lineRule="auto"/>
            </w:pPr>
            <w:r>
              <w:rPr>
                <w:rFonts w:ascii="Arial" w:hAnsi="Arial" w:eastAsia="Arial" w:cs="Tahoma"/>
                <w:color w:val="5D6D7E"/>
                <w:sz w:val="17"/>
                <w:szCs w:val="17"/>
              </w:rPr>
              <w:t>20 of 396 member domains are shown.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1" w:name="_toc31"/>
            <w:r>
              <w:rPr>
                <w:rFonts w:ascii="Arial" w:hAnsi="Arial" w:eastAsia="Arial" w:cs="Tahoma"/>
              </w:rPr>
              <w:t>Inside the largest cluster</w:t>
            </w:r>
            <w:bookmarkEnd w:id="31"/>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member names that make up the largest brand cluster. Each row is one stem, the name left once market tags, numbers and suffixes are removed, with its URLs, its distinct domains, how those URLs joined the cluster and whether the crawler found them directly, through a redirect or as a generated variant. Every stem in the largest cluster is listed, largest first, with smaller stems grouped in a final row. The joining routes are those described in What brand clusters are. Acting on a cluster is only worth more than acting on single URLs if the cluster reflects one real operation, so this table lets the reader check the grouping before relying on it.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964"/>
              <w:gridCol w:w="1701"/>
              <w:gridCol w:w="1757"/>
              <w:gridCol w:w="1134"/>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Member stem</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How joined</w:t>
                  </w:r>
                </w:p>
              </w:tc>
              <w:tc>
                <w:tcPr>
                  <w:tcW w:type="dxa" w:w="1757"/>
                  <w:shd w:val="clear" w:color="auto" w:fill="1F3F63"/>
                </w:tcPr>
                <w:p>
                  <w:pPr>
                    <w:keepNext w:val="0"/>
                    <w:keepLines w:val="0"/>
                    <w:spacing w:before="0" w:after="0" w:line="276" w:lineRule="auto"/>
                  </w:pPr>
                  <w:r>
                    <w:rPr>
                      <w:rFonts w:ascii="Arial" w:hAnsi="Arial" w:eastAsia="Arial" w:cs="Tahoma"/>
                      <w:b/>
                      <w:color w:val="FFFFFF"/>
                      <w:sz w:val="16"/>
                      <w:szCs w:val="16"/>
                      <w:bCs w:val="1"/>
                    </w:rPr>
                    <w:t>Variant · redirect · direct</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Ranked brand</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stem 2,885</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2,885</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shd w:val="clear" w:color="auto" w:fill="EEF2F7"/>
                </w:tcPr>
                <w:p>
                  <w:pPr>
                    <w:keepNext w:val="0"/>
                    <w:keepLines w:val="0"/>
                    <w:spacing w:before="0" w:after="0" w:line="276" w:lineRule="auto"/>
                  </w:pPr>
                  <w:r>
                    <w:rPr>
                      <w:rFonts w:ascii="Arial" w:hAnsi="Arial" w:eastAsia="Arial" w:cs="Tahoma"/>
                      <w:b/>
                      <w:color w:val="1B2733"/>
                      <w:sz w:val="16"/>
                      <w:szCs w:val="16"/>
                      <w:bCs w:val="1"/>
                    </w:rPr>
                    <w:t>Total</w:t>
                  </w:r>
                </w:p>
              </w:tc>
              <w:tc>
                <w:tcPr>
                  <w:tcW w:type="dxa" w:w="79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2,885</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1</w:t>
                  </w:r>
                </w:p>
              </w:tc>
              <w:tc>
                <w:tcPr>
                  <w:tcW w:type="dxa" w:w="1701"/>
                  <w:shd w:val="clear" w:color="auto" w:fill="EEF2F7"/>
                </w:tcPr>
                <w:p>
                  <w:pPr>
                    <w:keepNext w:val="0"/>
                    <w:keepLines w:val="0"/>
                    <w:spacing w:before="0" w:after="0" w:line="276" w:lineRule="auto"/>
                  </w:pPr>
                  <w:r>
                    <w:rPr>
                      <w:rFonts w:ascii="Arial" w:hAnsi="Arial" w:eastAsia="Arial" w:cs="Tahoma"/>
                      <w:b/>
                      <w:color w:val="1B2733"/>
                      <w:sz w:val="16"/>
                      <w:szCs w:val="16"/>
                      <w:bCs w:val="1"/>
                    </w:rPr>
                    <w:t>stem 2,885</w:t>
                  </w:r>
                </w:p>
              </w:tc>
              <w:tc>
                <w:tcPr>
                  <w:tcW w:type="dxa" w:w="1757"/>
                  <w:shd w:val="clear" w:color="auto" w:fill="EEF2F7"/>
                </w:tcPr>
                <w:p>
                  <w:pPr>
                    <w:keepNext w:val="0"/>
                    <w:keepLines w:val="0"/>
                    <w:spacing w:before="0" w:after="0" w:line="276" w:lineRule="auto"/>
                  </w:pPr>
                  <w:r>
                    <w:rPr>
                      <w:rFonts w:ascii="Arial" w:hAnsi="Arial" w:eastAsia="Arial" w:cs="Tahoma"/>
                      <w:b/>
                      <w:color w:val="1B2733"/>
                      <w:sz w:val="16"/>
                      <w:szCs w:val="16"/>
                      <w:bCs w:val="1"/>
                    </w:rPr>
                    <w:t>0 · 0 · 2,885</w:t>
                  </w:r>
                </w:p>
              </w:tc>
              <w:tc>
                <w:tcPr>
                  <w:tcW w:type="dxa" w:w="1134"/>
                  <w:shd w:val="clear" w:color="auto" w:fill="EEF2F7"/>
                </w:tcPr>
                <w:p>
                  <w:pPr>
                    <w:keepNext w:val="0"/>
                    <w:keepLines w:val="0"/>
                    <w:spacing w:before="0" w:after="0" w:line="276" w:lineRule="auto"/>
                  </w:pPr>
                  <w:r>
                    <w:rPr>
                      <w:rFonts w:ascii="Arial" w:hAnsi="Arial" w:eastAsia="Arial" w:cs="Tahoma"/>
                      <w:b/>
                      <w:color w:val="1B2733"/>
                      <w:sz w:val="16"/>
                      <w:szCs w:val="16"/>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The largest cluster sits on one domain, 49m.co. See Domains with the most URLs.</w:t>
            </w:r>
          </w:p>
          <w:p>
            <w:pPr>
              <w:keepNext w:val="0"/>
              <w:keepLines w:val="0"/>
              <w:spacing w:before="80" w:after="0" w:line="300" w:lineRule="auto"/>
            </w:pPr>
            <w:r>
              <w:rPr>
                <w:rFonts w:ascii="Arial" w:hAnsi="Arial" w:eastAsia="Arial" w:cs="Tahoma"/>
                <w:color w:val="5D6D7E"/>
                <w:sz w:val="17"/>
                <w:szCs w:val="17"/>
              </w:rPr>
              <w:t>Variant links rejected by the compatibility test: 0. The export records no seed links, so none were tested.</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2" w:name="_toc32"/>
            <w:r>
              <w:rPr>
                <w:rFonts w:ascii="Arial" w:hAnsi="Arial" w:eastAsia="Arial" w:cs="Tahoma"/>
              </w:rPr>
              <w:t>Clusters spanning multiple subcategories</w:t>
            </w:r>
            <w:bookmarkEnd w:id="32"/>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sites fall into two or more product subcategories, for example one brand that runs both slots sites and football betting sites. Each row gives the cluster name, the number of its URLs in this sample, each subcategory present with its site count, and the domain suffixes the cluster uses. Subcategories are assigned to each site, not to the cluster, so a cluster qualifies when at least two of its sites carry different product subcategories. Where General Gambling appears beside a specific product, it means a product could not be evidenced for those sites, not necessarily that the brand offers a second product. Definitions of each subcategory are in Annex 1. These brands offer several gambling products under one name, so action against the brand reaches all of them at once.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3515"/>
              <w:gridCol w:w="2041"/>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3515"/>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Suffixes</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1,860 · Casino 487 · General Gambling 460 · Playing card 78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722</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315 · Slots 193 · Football Betting 93 · Lottery 68 · Playing card 22 · General Gambling 19 · Baccarat 12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.black, .buzz, .casino +29</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a3game</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507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497 · General Gambling 7 · Casino 3</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.click, .net, .vip</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paes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445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227 · Casino 156 · Football Betting 58 · General Gambling 4</w:t>
                  </w:r>
                </w:p>
              </w:tc>
              <w:tc>
                <w:tcPr>
                  <w:tcW w:type="dxa" w:w="2041"/>
                </w:tcPr>
                <w:p>
                  <w:pPr>
                    <w:keepNext w:val="0"/>
                    <w:keepLines w:val="0"/>
                    <w:spacing w:before="0" w:after="0" w:line="276" w:lineRule="auto"/>
                  </w:pPr>
                  <w:r>
                    <w:rPr>
                      <w:rFonts w:ascii="Arial" w:hAnsi="Arial" w:eastAsia="Arial" w:cs="Tahoma"/>
                      <w:b w:val="0"/>
                      <w:color w:val="1B2733"/>
                      <w:sz w:val="16"/>
                      <w:szCs w:val="16"/>
                      <w:bCs w:val="0"/>
                    </w:rPr>
                    <w:t>.dev</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hay</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414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223 · Slots 170 · Football Betting 15 · General Gambling 6</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.club, .co, .net +3</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k03</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272</w:t>
                  </w:r>
                </w:p>
              </w:tc>
              <w:tc>
                <w:tcPr>
                  <w:tcW w:type="dxa" w:w="3515"/>
                </w:tcPr>
                <w:p>
                  <w:pPr>
                    <w:keepNext w:val="0"/>
                    <w:keepLines w:val="0"/>
                    <w:spacing w:before="0" w:after="0" w:line="276" w:lineRule="auto"/>
                  </w:pPr>
                  <w:r>
                    <w:rPr>
                      <w:rFonts w:ascii="Arial" w:hAnsi="Arial" w:eastAsia="Arial" w:cs="Tahoma"/>
                      <w:b w:val="0"/>
                      <w:color w:val="1B2733"/>
                      <w:sz w:val="16"/>
                      <w:szCs w:val="16"/>
                      <w:bCs w:val="0"/>
                    </w:rPr>
                    <w:t>Football Betting 270 · General Gambling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.cc</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261</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146 · Slots 67 · Football Betting 25 · General Gambling 8 · Baccarat 7 · Playing card 7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.casino, .cc, .click +14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7ok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71 · Casino 2 · General Gambling 1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.club, .io, .live, .pro</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o8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71 · Casino 4</w:t>
                  </w:r>
                </w:p>
              </w:tc>
              <w:tc>
                <w:tcPr>
                  <w:tcW w:type="dxa" w:w="2041"/>
                </w:tcPr>
                <w:p>
                  <w:pPr>
                    <w:keepNext w:val="0"/>
                    <w:keepLines w:val="0"/>
                    <w:spacing w:before="0" w:after="0" w:line="276" w:lineRule="auto"/>
                  </w:pPr>
                  <w:r>
                    <w:rPr>
                      <w:rFonts w:ascii="Arial" w:hAnsi="Arial" w:eastAsia="Arial" w:cs="Tahoma"/>
                      <w:b w:val="0"/>
                      <w:color w:val="1B2733"/>
                      <w:sz w:val="16"/>
                      <w:szCs w:val="16"/>
                      <w:bCs w:val="0"/>
                    </w:rPr>
                    <w:t>.game, .live</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uu8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33 · Slots 30 · Football Betting 7 · Baccarat 2 · Lottery 1 · Playing card 1 · General Gambling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.buzz, .casino, .cc +17</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abbet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63 · Slots 6 · General Gambling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.xyz</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jin68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28 · Casino 28 · Playing card 5 · General Gambling 2 · Football Betting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.cash, .casino, .cc +12</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min68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61</w:t>
                  </w:r>
                </w:p>
              </w:tc>
              <w:tc>
                <w:tcPr>
                  <w:tcW w:type="dxa" w:w="3515"/>
                </w:tcPr>
                <w:p>
                  <w:pPr>
                    <w:keepNext w:val="0"/>
                    <w:keepLines w:val="0"/>
                    <w:spacing w:before="0" w:after="0" w:line="276" w:lineRule="auto"/>
                  </w:pPr>
                  <w:r>
                    <w:rPr>
                      <w:rFonts w:ascii="Arial" w:hAnsi="Arial" w:eastAsia="Arial" w:cs="Tahoma"/>
                      <w:b w:val="0"/>
                      <w:color w:val="1B2733"/>
                      <w:sz w:val="16"/>
                      <w:szCs w:val="16"/>
                      <w:bCs w:val="0"/>
                    </w:rPr>
                    <w:t>Football Betting 38 · General Gambling 9 · Casino 9 · Slots 5</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.academy, .actor, .app, .art, .auction +24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loto432s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58</w:t>
                  </w:r>
                </w:p>
              </w:tc>
              <w:tc>
                <w:tcPr>
                  <w:tcW w:type="dxa" w:w="3515"/>
                </w:tcPr>
                <w:p>
                  <w:pPr>
                    <w:keepNext w:val="0"/>
                    <w:keepLines w:val="0"/>
                    <w:spacing w:before="0" w:after="0" w:line="276" w:lineRule="auto"/>
                  </w:pPr>
                  <w:r>
                    <w:rPr>
                      <w:rFonts w:ascii="Arial" w:hAnsi="Arial" w:eastAsia="Arial" w:cs="Tahoma"/>
                      <w:b w:val="0"/>
                      <w:color w:val="1B2733"/>
                      <w:sz w:val="16"/>
                      <w:szCs w:val="16"/>
                      <w:bCs w:val="0"/>
                    </w:rPr>
                    <w:t>Lottery 49 · Casino 4 · Slots 3 · General Gambling 1 · Football Betting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.click, .com, .info, .live +2</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l8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56 · Casino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.game</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816 clusters qualify; the 15 largest are shown, so 801 rows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3" w:name="_toc33"/>
            <w:r>
              <w:rPr>
                <w:rFonts w:ascii="Arial" w:hAnsi="Arial" w:eastAsia="Arial" w:cs="Tahoma"/>
              </w:rPr>
              <w:t>Clusters rotating top-level domains</w:t>
            </w:r>
            <w:bookmarkEnd w:id="33"/>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domains use two or more top level domains, the ending of the address, for example the same brand name registered under .com, .net and .co. Each line gives the cluster, one suffix it uses, how many member domains use that suffix and the first and last day SICPADetect recorded them. The suffix is the public suffix removed when a name is reduced to its stem, so a two part ending such as .co.th counts as one suffix, and a cluster qualifies when its members use at least two different suffixes. Registering one brand name under several endings keeps the brand reachable when one domain is blocked, and the suffix list shows which endings to watch for the brand. Not every case is evasion, since some operators register several endings to protect their name or to serve different markets.</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268"/>
              <w:gridCol w:w="2041"/>
              <w:gridCol w:w="1134"/>
              <w:gridCol w:w="1247"/>
              <w:gridCol w:w="1247"/>
            </w:tblGrid>
            <w:tr>
              <w:trPr>
                <w:tblHeader/>
                <w:cantSplit/>
              </w:trPr>
              <w:tc>
                <w:tcPr>
                  <w:tcW w:type="dxa" w:w="2268"/>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First seen</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Last seen</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jun8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163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2026-10-19</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+29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a3game</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.click</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.vip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hay</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.club</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+3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gg88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+14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58th0</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2026-10-07</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46 clusters have domains first seen at least 7 days after the cluster was first seen, 124 domains in all.</w:t>
            </w:r>
          </w:p>
          <w:p>
            <w:pPr>
              <w:keepNext w:val="0"/>
              <w:keepLines w:val="0"/>
              <w:spacing w:before="80" w:after="0" w:line="300" w:lineRule="auto"/>
            </w:pPr>
            <w:r>
              <w:rPr>
                <w:rFonts w:ascii="Arial" w:hAnsi="Arial" w:eastAsia="Arial" w:cs="Tahoma"/>
                <w:color w:val="5D6D7E"/>
                <w:sz w:val="17"/>
                <w:szCs w:val="17"/>
              </w:rPr>
              <w:t>924 clusters qualify; the 5 largest that fit are shown, so 919 are outside the table, and each shows at most five suffixes. Dates are when SICPADetect recorded each domain, not when it was registered, blocked or replaced. The period is under 60 days, so it is too short to confirm rotation over time.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4" w:name="_toc34"/>
            <w:r>
              <w:rPr>
                <w:rFonts w:ascii="Arial" w:hAnsi="Arial" w:eastAsia="Arial" w:cs="Tahoma"/>
              </w:rPr>
              <w:t>Possible operator linkage</w:t>
            </w:r>
            <w:bookmarkEnd w:id="34"/>
          </w:p>
          <w:p>
            <w:pPr>
              <w:keepNext/>
              <w:keepLines w:val="0"/>
              <w:spacing w:before="0" w:after="100" w:line="300" w:lineRule="auto"/>
            </w:pPr>
            <w:r>
              <w:rPr>
                <w:rFonts w:ascii="Arial" w:hAnsi="Arial" w:eastAsia="Arial" w:cs="Tahoma"/>
                <w:color w:val="5D6D7E"/>
                <w:sz w:val="18"/>
                <w:szCs w:val="18"/>
              </w:rPr>
              <w:t>Indicative — not a clustering decision</w:t>
            </w:r>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pairs of brand clusters with different names that use an unusually similar set of signal keywords, the lexicon words describing how a site promotes itself, takes payment or avoids blocking. Each row gives the two clusters, the signal keywords they share and their Jaccard score. The score is the number of signal keywords the two clusters share, divided by the number of distinct signal keywords either of them uses, and it runs from 0, nothing in common, to 1, identical sets. Words used by a large share of the sample, and abbreviations known to match by accident, are left out before the score is calculated. Only pairs scoring 0.60 or more and sharing at least three of the remaining keywords are listed. A close match can point to one operator running two brands, but it can equally come from unrelated operators using the same affiliate website template, so the pairs are leads to verify and the clusters are never merged on this score.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474"/>
              <w:gridCol w:w="1474"/>
              <w:gridCol w:w="3969"/>
              <w:gridCol w:w="1020"/>
            </w:tblGrid>
            <w:tr>
              <w:trPr>
                <w:tblHeader/>
                <w:cantSplit/>
              </w:trPr>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A</w:t>
                  </w:r>
                </w:p>
              </w:tc>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B</w:t>
                  </w:r>
                </w:p>
              </w:tc>
              <w:tc>
                <w:tcPr>
                  <w:tcW w:type="dxa" w:w="3969"/>
                  <w:shd w:val="clear" w:color="auto" w:fill="1F3F63"/>
                </w:tcPr>
                <w:p>
                  <w:pPr>
                    <w:keepNext w:val="0"/>
                    <w:keepLines w:val="0"/>
                    <w:spacing w:before="0" w:after="0" w:line="276" w:lineRule="auto"/>
                  </w:pPr>
                  <w:r>
                    <w:rPr>
                      <w:rFonts w:ascii="Arial" w:hAnsi="Arial" w:eastAsia="Arial" w:cs="Tahoma"/>
                      <w:b/>
                      <w:color w:val="FFFFFF"/>
                      <w:sz w:val="16"/>
                      <w:szCs w:val="16"/>
                      <w:bCs w:val="1"/>
                    </w:rPr>
                    <w:t>Shared keywords</w:t>
                  </w:r>
                </w:p>
              </w:tc>
              <w:tc>
                <w:tcPr>
                  <w:tcW w:type="dxa" w:w="1020"/>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Jaccard</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mega167</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rtp, 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gu88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n78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kk2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n83</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kk2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nextspin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ko9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ln88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ko9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ub8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lott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jun77</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ms88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gu88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ms88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n78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mu8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hub88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win</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mun8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vrtex</w:t>
                  </w:r>
                </w:p>
              </w:tc>
              <w:tc>
                <w:tcPr>
                  <w:tcW w:type="dxa" w:w="3969"/>
                </w:tcPr>
                <w:p>
                  <w:pPr>
                    <w:keepNext w:val="0"/>
                    <w:keepLines w:val="0"/>
                    <w:spacing w:before="0" w:after="0" w:line="276" w:lineRule="auto"/>
                  </w:pPr>
                  <w:r>
                    <w:rPr>
                      <w:rFonts w:ascii="Arial" w:hAnsi="Arial" w:eastAsia="Arial" w:cs="Tahoma"/>
                      <w:b w:val="0"/>
                      <w:color w:val="1B2733"/>
                      <w:sz w:val="16"/>
                      <w:szCs w:val="16"/>
                      <w:bCs w:val="0"/>
                    </w:rPr>
                    <w:t>auto,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n83</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nextspin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ruay</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m98login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win, จ่ายจริง,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ub8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ln88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uu8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hub88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win</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118 pairs qualify. The 15 with the highest score are shown, so 103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5" w:name="_toc35"/>
            <w:r>
              <w:rPr>
                <w:rFonts w:ascii="Arial" w:hAnsi="Arial" w:eastAsia="Arial" w:cs="Tahoma"/>
              </w:rPr>
              <w:t>Naming conventions</w:t>
            </w:r>
            <w:bookmarkEnd w:id="35"/>
          </w:p>
          <w:p>
            <w:pPr>
              <w:pStyle w:val="ListBullet"/>
              <w:keepNext w:val="0"/>
              <w:keepLines w:val="0"/>
              <w:spacing w:before="0" w:after="60" w:line="300" w:lineRule="auto"/>
            </w:pPr>
            <w:r>
              <w:rPr>
                <w:rFonts w:ascii="Arial" w:hAnsi="Arial" w:eastAsia="Arial" w:cs="Tahoma"/>
                <w:sz w:val="19"/>
                <w:szCs w:val="19"/>
              </w:rPr>
              <w:t>Recurring tokens: "m." in 2,454 hostnames, "login" in 2,100 hostnames, "support" in 1,879 hostnames, among 5,747 hostnames in the ten largest clusters. This points to a templated naming scheme.</w:t>
            </w:r>
          </w:p>
          <w:p>
            <w:pPr>
              <w:pStyle w:val="ListBullet"/>
              <w:keepNext w:val="0"/>
              <w:keepLines w:val="0"/>
              <w:spacing w:before="0" w:after="60" w:line="300" w:lineRule="auto"/>
            </w:pPr>
            <w:r>
              <w:rPr>
                <w:rFonts w:ascii="Arial" w:hAnsi="Arial" w:eastAsia="Arial" w:cs="Tahoma"/>
                <w:sz w:val="19"/>
                <w:szCs w:val="19"/>
              </w:rPr>
              <w:t>TLD switching: .co 2,906, .vip 542, .net 504, .dev 445. The operators rotate top level domains.</w:t>
            </w:r>
          </w:p>
          <w:p>
            <w:pPr>
              <w:pStyle w:val="ListBullet"/>
              <w:keepNext w:val="0"/>
              <w:keepLines w:val="0"/>
              <w:spacing w:before="0" w:after="60" w:line="300" w:lineRule="auto"/>
            </w:pPr>
            <w:r>
              <w:rPr>
                <w:rFonts w:ascii="Arial" w:hAnsi="Arial" w:eastAsia="Arial" w:cs="Tahoma"/>
                <w:sz w:val="19"/>
                <w:szCs w:val="19"/>
              </w:rPr>
              <w:t>The gambling URLs sit on 6,827 domains across 2,719 brand clusters.</w:t>
            </w:r>
          </w:p>
          <w:p>
            <w:pPr>
              <w:pStyle w:val="ListBullet"/>
              <w:keepNext w:val="0"/>
              <w:keepLines w:val="0"/>
              <w:spacing w:before="0" w:after="60" w:line="300" w:lineRule="auto"/>
            </w:pPr>
            <w:r>
              <w:rPr>
                <w:rFonts w:ascii="Arial" w:hAnsi="Arial" w:eastAsia="Arial" w:cs="Tahoma"/>
                <w:sz w:val="19"/>
                <w:szCs w:val="19"/>
              </w:rPr>
              <w:t>1 gambling URLs have names made only of template words such as login, secure or verify; they are kept as singletons unless a crawler link or ranked brand ties them to a cluster.</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872"/>
        <w:gridCol w:w="227"/>
        <w:gridCol w:w="2872"/>
        <w:gridCol w:w="227"/>
        <w:gridCol w:w="2872"/>
      </w:tblGrid>
      <w:tr>
        <w:trPr>
          <w:cantSplit/>
        </w:trPr>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Redirect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Variant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6" w:name="_toc36"/>
            <w:r>
              <w:rPr>
                <w:rFonts w:ascii="Arial" w:hAnsi="Arial" w:eastAsia="Arial" w:cs="Tahoma"/>
              </w:rPr>
              <w:t>Structure: direct → redirect → variant</w:t>
            </w:r>
            <w:bookmarkEnd w:id="36"/>
          </w:p>
          <w:p>
            <w:pPr>
              <w:keepNext w:val="0"/>
              <w:keepLines w:val="0"/>
              <w:spacing w:before="0" w:after="0" w:line="300" w:lineRule="auto"/>
            </w:pPr>
            <w:r>
              <w:rPr>
                <w:rFonts w:ascii="Arial" w:hAnsi="Arial" w:eastAsia="Arial" w:cs="Tahoma"/>
                <w:color w:val="1B2733"/>
                <w:sz w:val="19"/>
                <w:szCs w:val="19"/>
              </w:rPr>
              <w:t>Direct, redirect and variant URLs sum to the 14,182 gambling URLs. The export records no variant or redirect source for any URL, so no variant verification figures can be given and every gambling URL is counted as direct.</w:t>
            </w:r>
          </w:p>
        </w:tc>
      </w:tr>
    </w:tbl>
    <w:p>
      <w:pPr>
        <w:keepNext w:val="0"/>
        <w:keepLines w:val="0"/>
        <w:spacing w:before="0" w:after="0" w:line="340" w:lineRule="exact"/>
        <w:rPr>
          <w:sz w:val="2"/>
        </w:rPr>
      </w:pPr>
    </w:p>
    <w:p>
      <w:pPr>
        <w:pStyle w:val="Heading2"/>
      </w:pPr>
      <w:bookmarkStart w:id="37" w:name="_toc37"/>
      <w:r>
        <w:rPr>
          <w:rFonts w:ascii="Arial" w:hAnsi="Arial" w:eastAsia="Arial" w:cs="Tahoma"/>
        </w:rPr>
        <w:t>Ranking</w:t>
      </w:r>
      <w:bookmarkEnd w:id="37"/>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8" w:name="_toc38"/>
            <w:r>
              <w:rPr>
                <w:rFonts w:ascii="Arial" w:hAnsi="Arial" w:eastAsia="Arial" w:cs="Tahoma"/>
              </w:rPr>
              <w:t>Gambling ranking</w:t>
            </w:r>
            <w:bookmarkEnd w:id="38"/>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gambling sites in this sample that carry a rank in the SICPADetect feed, best ranked first, up to fifteen. Each row gives the rank, the domain, its brand cluster, its subcategory and where SICPADetect found it. The rank is the position recorded for the site in the source feed and reflects its search visibility, where a lower number means a more visible site. It is not the external ranking used to anchor brand clusters in Annex 2, and unlike the ten most prominent gambling sites in Thailand table it is not filtered for a Thai audience or limited to one row per domain. The highest ranked sites are the ones users are most likely to reach. Rank measures visibility only, not harm, reach or revenue.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134"/>
              <w:gridCol w:w="2494"/>
              <w:gridCol w:w="1701"/>
              <w:gridCol w:w="1587"/>
              <w:gridCol w:w="1020"/>
            </w:tblGrid>
            <w:tr>
              <w:trPr>
                <w:tblHeader/>
                <w:cantSplit/>
              </w:trPr>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2494"/>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102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allslotwallet.online</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u11k.pro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1587"/>
                </w:tcPr>
                <w:p>
                  <w:pPr>
                    <w:keepNext w:val="0"/>
                    <w:keepLines w:val="0"/>
                    <w:spacing w:before="0" w:after="0" w:line="276" w:lineRule="auto"/>
                  </w:pPr>
                  <w:r>
                    <w:rPr>
                      <w:rFonts w:ascii="Arial" w:hAnsi="Arial" w:eastAsia="Arial" w:cs="Tahoma"/>
                      <w:b w:val="0"/>
                      <w:color w:val="1B2733"/>
                      <w:sz w:val="16"/>
                      <w:szCs w:val="16"/>
                      <w:bCs w:val="0"/>
                    </w:rPr>
                    <w:t>Football Betting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jun88wf.com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397330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jun88wa.com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466858</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jun88wc.com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587"/>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jun88.info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slavinaslot.top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99ok.vip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1587"/>
                </w:tcPr>
                <w:p>
                  <w:pPr>
                    <w:keepNext w:val="0"/>
                    <w:keepLines w:val="0"/>
                    <w:spacing w:before="0" w:after="0" w:line="276" w:lineRule="auto"/>
                  </w:pPr>
                  <w:r>
                    <w:rPr>
                      <w:rFonts w:ascii="Arial" w:hAnsi="Arial" w:eastAsia="Arial" w:cs="Tahoma"/>
                      <w:b w:val="0"/>
                      <w:color w:val="1B2733"/>
                      <w:sz w:val="16"/>
                      <w:szCs w:val="16"/>
                      <w:bCs w:val="0"/>
                    </w:rPr>
                    <w:t>Lottery</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310 gambling URLs carry a rank; the 15 best ranked are shown.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9" w:name="_toc39"/>
            <w:r>
              <w:rPr>
                <w:rFonts w:ascii="Arial" w:hAnsi="Arial" w:eastAsia="Arial" w:cs="Tahoma"/>
              </w:rPr>
              <w:t>Ranked brand clusters</w:t>
            </w:r>
            <w:bookmarkEnd w:id="39"/>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that contain at least one gambling site carrying a rank in the SICPADetect feed. Each row gives the cluster, its number of URLs, the best rank among its members, how many members are ranked and its subcategories. One ranked gambling member is enough for a cluster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794"/>
              <w:gridCol w:w="1247"/>
              <w:gridCol w:w="1247"/>
              <w:gridCol w:w="2948"/>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Best rank</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Ranked URLs</w:t>
                  </w:r>
                </w:p>
              </w:tc>
              <w:tc>
                <w:tcPr>
                  <w:tcW w:type="dxa" w:w="2948"/>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General Gambling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19 · Football Betting 12 · 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30</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315 · Slots 193 · Football Betting 93 · Lottery 68 · Playing card 22 · General Gambling 19 · Baccarat 12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Baccarat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11 · Casino 4 · Lottery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261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558790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146 · Slots 67 · Football Betting 25 · General Gambling 8 · Baccarat 7 · Playing card 7 · Lottery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betwgb</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582212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Football Betting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hh9</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632178</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12 · Football Betting 7 · General Gambling 7 · Slots 6</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219 clusters hold a ranked gambling URL; the 15 with the best rank are shown.</w:t>
            </w:r>
          </w:p>
        </w:tc>
      </w:tr>
    </w:tbl>
    <w:p>
      <w:pPr>
        <w:keepNext w:val="0"/>
        <w:keepLines w:val="0"/>
        <w:spacing w:before="0" w:after="0" w:line="340" w:lineRule="exact"/>
        <w:rPr>
          <w:sz w:val="2"/>
        </w:rPr>
      </w:pPr>
    </w:p>
    <w:p>
      <w:pPr>
        <w:pStyle w:val="Heading2"/>
      </w:pPr>
      <w:bookmarkStart w:id="40" w:name="_toc40"/>
      <w:r>
        <w:rPr>
          <w:rFonts w:ascii="Arial" w:hAnsi="Arial" w:eastAsia="Arial" w:cs="Tahoma"/>
        </w:rPr>
        <w:t>Key insights</w:t>
      </w:r>
      <w:bookmarkEnd w:id="40"/>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1" w:name="_toc41"/>
            <w:r>
              <w:rPr>
                <w:rFonts w:ascii="Arial" w:hAnsi="Arial" w:eastAsia="Arial" w:cs="Tahoma"/>
              </w:rPr>
              <w:t>Scale of the analysis</w:t>
            </w:r>
            <w:bookmarkEnd w:id="41"/>
          </w:p>
          <w:p>
            <w:pPr>
              <w:keepNext w:val="0"/>
              <w:keepLines w:val="0"/>
              <w:spacing w:before="0" w:after="120" w:line="300" w:lineRule="auto"/>
            </w:pPr>
            <w:r>
              <w:rPr>
                <w:rFonts w:ascii="Arial" w:hAnsi="Arial" w:eastAsia="Arial" w:cs="Tahoma"/>
                <w:color w:val="1B2733"/>
                <w:sz w:val="19"/>
                <w:szCs w:val="19"/>
              </w:rPr>
              <w:t>The analysis covers 29,864 distinct URLs over 47 days, from 2026-09-04 to 2026-10-20. Of these, 14,182 are gambling, 15,682 are not gambling and 0 are unreachable. A further 0 URLs were set aside as Needs more analysis. 3 gaps of three or more days fall below the gap threshold of 64 URLs a day, and the cause of each gap and peak is not recorded.</w:t>
            </w:r>
          </w:p>
          <w:p>
            <w:pPr>
              <w:keepNext w:val="0"/>
              <w:keepLines w:val="0"/>
              <w:spacing w:before="0" w:after="0" w:line="300" w:lineRule="auto"/>
            </w:pPr>
            <w:r>
              <w:rPr>
                <w:rFonts w:ascii="Arial" w:hAnsi="Arial" w:eastAsia="Arial" w:cs="Tahoma"/>
                <w:b/>
                <w:color w:val="1F3F63"/>
                <w:sz w:val="19"/>
                <w:szCs w:val="19"/>
                <w:bCs w:val="1"/>
              </w:rPr>
              <w:t>The sample is large enough to reason about patterns, not isolated cases.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2" w:name="_toc42"/>
            <w:r>
              <w:rPr>
                <w:rFonts w:ascii="Arial" w:hAnsi="Arial" w:eastAsia="Arial" w:cs="Tahoma"/>
              </w:rPr>
              <w:t>What is being offered</w:t>
            </w:r>
            <w:bookmarkEnd w:id="42"/>
          </w:p>
          <w:p>
            <w:pPr>
              <w:keepNext w:val="0"/>
              <w:keepLines w:val="0"/>
              <w:spacing w:before="0" w:after="120" w:line="300" w:lineRule="auto"/>
            </w:pPr>
            <w:r>
              <w:rPr>
                <w:rFonts w:ascii="Arial" w:hAnsi="Arial" w:eastAsia="Arial" w:cs="Tahoma"/>
                <w:color w:val="1B2733"/>
                <w:sz w:val="19"/>
                <w:szCs w:val="19"/>
              </w:rPr>
              <w:t>The three leading product subcategories are Slots (6,324, 44.6%), Casino (4,451, 31.4%), Football Betting (1,376, 9.7%). 5.9% of gambling sites are confirmed as gambling without an evidenced product type. 96.7% of subcategory assignments are inferred rather than matched to a lexicon keyword, and 207 of the 286 lexicon keywords never matched. The lexicon has poor coverage of this dataset, so subcategory figures are indicative only.</w:t>
            </w:r>
          </w:p>
          <w:p>
            <w:pPr>
              <w:keepNext w:val="0"/>
              <w:keepLines w:val="0"/>
              <w:spacing w:before="0" w:after="0" w:line="300" w:lineRule="auto"/>
            </w:pPr>
            <w:r>
              <w:rPr>
                <w:rFonts w:ascii="Arial" w:hAnsi="Arial" w:eastAsia="Arial" w:cs="Tahoma"/>
                <w:b/>
                <w:color w:val="1F3F63"/>
                <w:sz w:val="19"/>
                <w:szCs w:val="19"/>
                <w:bCs w:val="1"/>
              </w:rPr>
              <w:t>Slots is the dominant product type.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3" w:name="_toc43"/>
            <w:r>
              <w:rPr>
                <w:rFonts w:ascii="Arial" w:hAnsi="Arial" w:eastAsia="Arial" w:cs="Tahoma"/>
              </w:rPr>
              <w:t>Brand clustering</w:t>
            </w:r>
            <w:bookmarkEnd w:id="43"/>
          </w:p>
          <w:p>
            <w:pPr>
              <w:keepNext w:val="0"/>
              <w:keepLines w:val="0"/>
              <w:spacing w:before="0" w:after="120" w:line="300" w:lineRule="auto"/>
            </w:pPr>
            <w:r>
              <w:rPr>
                <w:rFonts w:ascii="Arial" w:hAnsi="Arial" w:eastAsia="Arial" w:cs="Tahoma"/>
                <w:color w:val="1B2733"/>
                <w:sz w:val="19"/>
                <w:szCs w:val="19"/>
              </w:rPr>
              <w:t>The 14,182 gambling URLs sit on 6,827 domains and form 2,719 brand clusters, and 995 of them hold more than one domain. 43 clusters and 722 domains cover half of the estate. The largest cluster, 49m, holds 2,885 URLs (20.3% of gambling URLs) on 1 domain under 1 member stem, across 4 subcategories. The largest domain, 49m.co, holds 2,885 URLs (20.3%). 15 host farms carry 35.1% of gambling URLs.</w:t>
            </w:r>
          </w:p>
          <w:p>
            <w:pPr>
              <w:keepNext w:val="0"/>
              <w:keepLines w:val="0"/>
              <w:spacing w:before="0" w:after="0" w:line="300" w:lineRule="auto"/>
            </w:pPr>
            <w:r>
              <w:rPr>
                <w:rFonts w:ascii="Arial" w:hAnsi="Arial" w:eastAsia="Arial" w:cs="Tahoma"/>
                <w:b/>
                <w:color w:val="1F3F63"/>
                <w:sz w:val="19"/>
                <w:szCs w:val="19"/>
                <w:bCs w:val="1"/>
              </w:rPr>
              <w:t>One registered domain carries 20.3% of the estate through many hostnames, so action at domain level reaches all of them at once, where URL by URL blocking would need one entry per hostname.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4" w:name="_toc44"/>
            <w:r>
              <w:rPr>
                <w:rFonts w:ascii="Arial" w:hAnsi="Arial" w:eastAsia="Arial" w:cs="Tahoma"/>
              </w:rPr>
              <w:t>How the estate is grown and marketed</w:t>
            </w:r>
            <w:bookmarkEnd w:id="44"/>
          </w:p>
          <w:p>
            <w:pPr>
              <w:keepNext w:val="0"/>
              <w:keepLines w:val="0"/>
              <w:spacing w:before="0" w:after="120" w:line="300" w:lineRule="auto"/>
            </w:pPr>
            <w:r>
              <w:rPr>
                <w:rFonts w:ascii="Arial" w:hAnsi="Arial" w:eastAsia="Arial" w:cs="Tahoma"/>
                <w:color w:val="1B2733"/>
                <w:sz w:val="19"/>
                <w:szCs w:val="19"/>
              </w:rPr>
              <w:t>The export records no variant or redirect links, so all 14,182 gambling URLs count as reached directly, with 0 variants and 0 behind redirect chains. 924 clusters rotate across more than one top level domain. The two most common signal tags are Abbreviations (27.1%) and Affiliate &amp; Agent (5.4%).</w:t>
            </w:r>
          </w:p>
          <w:p>
            <w:pPr>
              <w:keepNext w:val="0"/>
              <w:keepLines w:val="0"/>
              <w:spacing w:before="0" w:after="0" w:line="300" w:lineRule="auto"/>
            </w:pPr>
            <w:r>
              <w:rPr>
                <w:rFonts w:ascii="Arial" w:hAnsi="Arial" w:eastAsia="Arial" w:cs="Tahoma"/>
                <w:b/>
                <w:color w:val="1F3F63"/>
                <w:sz w:val="19"/>
                <w:szCs w:val="19"/>
                <w:bCs w:val="1"/>
              </w:rPr>
              <w:t>TLD rotation keeps a brand reachable when one domain is blocked.</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5" w:name="_toc45"/>
            <w:r>
              <w:rPr>
                <w:rFonts w:ascii="Arial" w:hAnsi="Arial" w:eastAsia="Arial" w:cs="Tahoma"/>
              </w:rPr>
              <w:t>Enforcement position</w:t>
            </w:r>
            <w:bookmarkEnd w:id="45"/>
          </w:p>
          <w:p>
            <w:pPr>
              <w:keepNext w:val="0"/>
              <w:keepLines w:val="0"/>
              <w:spacing w:before="0" w:after="120" w:line="300" w:lineRule="auto"/>
            </w:pPr>
            <w:r>
              <w:rPr>
                <w:rFonts w:ascii="Arial" w:hAnsi="Arial" w:eastAsia="Arial" w:cs="Tahoma"/>
                <w:color w:val="1B2733"/>
                <w:sz w:val="19"/>
                <w:szCs w:val="19"/>
              </w:rPr>
              <w:t>0 pages show Thai enforcement indicators, such as Thai court orders or MDES and Thai ISP block pages, and 7 contain a block page phrase that is not tied to a Thai authority. The collection network was not recorded, so the enforcement count may be understated.</w:t>
            </w:r>
          </w:p>
          <w:p>
            <w:pPr>
              <w:keepNext w:val="0"/>
              <w:keepLines w:val="0"/>
              <w:spacing w:before="0" w:after="0" w:line="300" w:lineRule="auto"/>
            </w:pPr>
            <w:r>
              <w:rPr>
                <w:rFonts w:ascii="Arial" w:hAnsi="Arial" w:eastAsia="Arial" w:cs="Tahoma"/>
                <w:b/>
                <w:color w:val="1F3F63"/>
                <w:sz w:val="19"/>
                <w:szCs w:val="19"/>
                <w:bCs w:val="1"/>
              </w:rPr>
              <w:t>This set is a candidate for a first enforcement pass, prioritised by domain and cluster rather than by URL.</w:t>
            </w:r>
          </w:p>
        </w:tc>
      </w:tr>
    </w:tbl>
    <w:p>
      <w:pPr>
        <w:keepNext w:val="0"/>
        <w:keepLines w:val="0"/>
        <w:spacing w:before="0" w:after="0" w:line="340" w:lineRule="exact"/>
        <w:rPr>
          <w:sz w:val="2"/>
        </w:rPr>
      </w:pPr>
    </w:p>
    <w:p>
      <w:pPr>
        <w:pStyle w:val="Heading1"/>
        <w:pageBreakBefore/>
      </w:pPr>
      <w:bookmarkStart w:id="46" w:name="_toc46"/>
      <w:r>
        <w:rPr>
          <w:rFonts w:ascii="Arial" w:hAnsi="Arial" w:eastAsia="Arial" w:cs="Tahoma"/>
        </w:rPr>
        <w:t>Annexes</w:t>
      </w:r>
      <w:bookmarkEnd w:id="46"/>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7" w:name="_toc47"/>
            <w:r>
              <w:rPr>
                <w:rFonts w:ascii="Arial" w:hAnsi="Arial" w:eastAsia="Arial" w:cs="Tahoma"/>
              </w:rPr>
              <w:t>Annex 1 — Subcategory definitions</w:t>
            </w:r>
            <w:bookmarkEnd w:id="47"/>
          </w:p>
          <w:p>
            <w:pPr>
              <w:keepNext w:val="0"/>
              <w:keepLines w:val="0"/>
              <w:spacing w:before="0" w:after="80" w:line="300" w:lineRule="auto"/>
            </w:pPr>
            <w:r>
              <w:rPr>
                <w:rFonts w:ascii="Arial" w:hAnsi="Arial" w:eastAsia="Arial" w:cs="Tahoma"/>
                <w:color w:val="1B2733"/>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keepLines/>
              <w:spacing w:before="120" w:after="40" w:line="300" w:lineRule="auto"/>
            </w:pPr>
            <w:r>
              <w:rPr>
                <w:rFonts w:ascii="Arial" w:hAnsi="Arial" w:eastAsia="Arial" w:cs="Tahoma"/>
                <w:b/>
                <w:color w:val="1F3F63"/>
                <w:sz w:val="21"/>
                <w:szCs w:val="21"/>
                <w:bCs w:val="1"/>
              </w:rPr>
              <w:t>Football Betting</w:t>
            </w:r>
            <w:r>
              <w:rPr>
                <w:rFonts w:ascii="Arial" w:hAnsi="Arial" w:eastAsia="Arial" w:cs="Tahoma"/>
                <w:color w:val="1B2733"/>
                <w:sz w:val="21"/>
                <w:szCs w:val="21"/>
              </w:rPr>
              <w:t xml:space="preserve"> · 21 keywords</w:t>
            </w:r>
          </w:p>
          <w:p>
            <w:pPr>
              <w:keepNext/>
              <w:keepLines w:val="0"/>
              <w:spacing w:before="0" w:after="60" w:line="300" w:lineRule="auto"/>
            </w:pPr>
            <w:r>
              <w:rPr>
                <w:rFonts w:ascii="Arial" w:hAnsi="Arial" w:eastAsia="Arial" w:cs="Tahoma"/>
                <w:color w:val="1B2733"/>
                <w:sz w:val="19"/>
                <w:szCs w:val="19"/>
              </w:rPr>
              <w:t>Betting on the outcome of football and other sports matches, including match odds, single match and accumulator ("step") bets, and tipping or match analysis offered to bettors.</w:t>
            </w:r>
          </w:p>
          <w:p>
            <w:pPr>
              <w:keepNext w:val="0"/>
              <w:keepLines/>
              <w:spacing w:before="0" w:after="80" w:line="408" w:lineRule="auto"/>
            </w:pPr>
            <w:r>
              <w:rPr>
                <w:rFonts w:ascii="Arial" w:hAnsi="Arial" w:eastAsia="Arial" w:cs="Tahoma"/>
                <w:color w:val="000000"/>
                <w:sz w:val="20"/>
                <w:szCs w:val="20"/>
              </w:rPr>
              <w:t>พนันบอล · พนันบอลออนไลน์ · แทงบอล · แทงบอลออนไลน์ · พนันฟุตบอล</w:t>
            </w:r>
            <w:r>
              <w:br/>
            </w:r>
            <w:r>
              <w:rPr>
                <w:rFonts w:ascii="Arial" w:hAnsi="Arial" w:eastAsia="Arial" w:cs="Tahoma"/>
                <w:color w:val="000000"/>
                <w:sz w:val="20"/>
                <w:szCs w:val="20"/>
              </w:rPr>
              <w:t>แทงฟุตบอล · สปอร์ตบุ๊ค · บอลออนไลน์ · ราคาบอล · บอลสเต็ป</w:t>
            </w:r>
            <w:r>
              <w:br/>
            </w:r>
            <w:r>
              <w:rPr>
                <w:rFonts w:ascii="Arial" w:hAnsi="Arial" w:eastAsia="Arial" w:cs="Tahoma"/>
                <w:color w:val="000000"/>
                <w:sz w:val="20"/>
                <w:szCs w:val="20"/>
              </w:rPr>
              <w:t>บอลเดี่ยว · สเต็ปบอล · แทงบอลชุด · ทีเด็ดบอล · วิเคราะห์บอล · โต๊ะบอล</w:t>
            </w:r>
            <w:r>
              <w:br/>
            </w:r>
            <w:r>
              <w:rPr>
                <w:rFonts w:ascii="Arial" w:hAnsi="Arial" w:eastAsia="Arial" w:cs="Tahoma"/>
                <w:color w:val="000000"/>
                <w:sz w:val="20"/>
                <w:szCs w:val="20"/>
              </w:rPr>
              <w:t>ล้มโต๊ะบอล · เดิมพันฟุตบอล · เว็บแทงบอล · บอลสเต็ปแม่น · พนันกีฬา</w:t>
            </w:r>
          </w:p>
          <w:p>
            <w:pPr>
              <w:keepNext/>
              <w:keepLines/>
              <w:spacing w:before="120" w:after="40" w:line="300" w:lineRule="auto"/>
            </w:pPr>
            <w:r>
              <w:rPr>
                <w:rFonts w:ascii="Arial" w:hAnsi="Arial" w:eastAsia="Arial" w:cs="Tahoma"/>
                <w:b/>
                <w:color w:val="1F3F63"/>
                <w:sz w:val="21"/>
                <w:szCs w:val="21"/>
                <w:bCs w:val="1"/>
              </w:rPr>
              <w:t>Slots</w:t>
            </w:r>
            <w:r>
              <w:rPr>
                <w:rFonts w:ascii="Arial" w:hAnsi="Arial" w:eastAsia="Arial" w:cs="Tahoma"/>
                <w:color w:val="1B2733"/>
                <w:sz w:val="21"/>
                <w:szCs w:val="21"/>
              </w:rPr>
              <w:t xml:space="preserve"> · 32 keywords</w:t>
            </w:r>
          </w:p>
          <w:p>
            <w:pPr>
              <w:keepNext/>
              <w:keepLines w:val="0"/>
              <w:spacing w:before="0" w:after="60" w:line="300" w:lineRule="auto"/>
            </w:pPr>
            <w:r>
              <w:rPr>
                <w:rFonts w:ascii="Arial" w:hAnsi="Arial" w:eastAsia="Arial" w:cs="Tahoma"/>
                <w:color w:val="1B2733"/>
                <w:sz w:val="19"/>
                <w:szCs w:val="19"/>
              </w:rPr>
              <w:t>Online slot machine games, including sites that promote particular slot providers, high payout rates or slots played directly without an agent.</w:t>
            </w:r>
          </w:p>
          <w:p>
            <w:pPr>
              <w:keepNext w:val="0"/>
              <w:keepLines/>
              <w:spacing w:before="0" w:after="80" w:line="408" w:lineRule="auto"/>
            </w:pPr>
            <w:r>
              <w:rPr>
                <w:rFonts w:ascii="Arial" w:hAnsi="Arial" w:eastAsia="Arial" w:cs="Tahoma"/>
                <w:color w:val="000000"/>
                <w:sz w:val="20"/>
                <w:szCs w:val="20"/>
              </w:rPr>
              <w:t>สล็อต · สล็อตออนไลน์ · เกมสล็อต · เกมสล็อตออนไลน์ · สล็อตแตกง่าย</w:t>
            </w:r>
            <w:r>
              <w:br/>
            </w:r>
            <w:r>
              <w:rPr>
                <w:rFonts w:ascii="Arial" w:hAnsi="Arial" w:eastAsia="Arial" w:cs="Tahoma"/>
                <w:color w:val="000000"/>
                <w:sz w:val="20"/>
                <w:szCs w:val="20"/>
              </w:rPr>
              <w:t>สล็อตแตกบ่อย · สล็อตแตกหนัก · สล็อตแตกจริง · สล็อตใหม่</w:t>
            </w:r>
            <w:r>
              <w:br/>
            </w:r>
            <w:r>
              <w:rPr>
                <w:rFonts w:ascii="Arial" w:hAnsi="Arial" w:eastAsia="Arial" w:cs="Tahoma"/>
                <w:color w:val="000000"/>
                <w:sz w:val="20"/>
                <w:szCs w:val="20"/>
              </w:rPr>
              <w:t>สล็อตเว็บตรง · สล็อตวอเลท · เล่นสล็อต · สล็อตเครดิตฟรี</w:t>
            </w:r>
            <w:r>
              <w:br/>
            </w:r>
            <w:r>
              <w:rPr>
                <w:rFonts w:ascii="Arial" w:hAnsi="Arial" w:eastAsia="Arial" w:cs="Tahoma"/>
                <w:color w:val="000000"/>
                <w:sz w:val="20"/>
                <w:szCs w:val="20"/>
              </w:rPr>
              <w:t>สล็อตแตกทุกวัน · สล็อตมาแรง · สล็อตยอดนิยม · สล็อตค่ายดัง</w:t>
            </w:r>
            <w:r>
              <w:br/>
            </w:r>
            <w:r>
              <w:rPr>
                <w:rFonts w:ascii="Arial" w:hAnsi="Arial" w:eastAsia="Arial" w:cs="Tahoma"/>
                <w:color w:val="000000"/>
                <w:sz w:val="20"/>
                <w:szCs w:val="20"/>
              </w:rPr>
              <w:t>สล็อตไม่ผ่านเอเย่นต์ · สล็อต pg · สล็อต joker · สล็อต jili</w:t>
            </w:r>
            <w:r>
              <w:br/>
            </w:r>
            <w:r>
              <w:rPr>
                <w:rFonts w:ascii="Arial" w:hAnsi="Arial" w:eastAsia="Arial" w:cs="Tahoma"/>
                <w:color w:val="000000"/>
                <w:sz w:val="20"/>
                <w:szCs w:val="20"/>
              </w:rPr>
              <w:t>สล็อต pragmatic · สล็อต xo · สล็อต auto · สล็อตแตกไว</w:t>
            </w:r>
            <w:r>
              <w:br/>
            </w:r>
            <w:r>
              <w:rPr>
                <w:rFonts w:ascii="Arial" w:hAnsi="Arial" w:eastAsia="Arial" w:cs="Tahoma"/>
                <w:color w:val="000000"/>
                <w:sz w:val="20"/>
                <w:szCs w:val="20"/>
              </w:rPr>
              <w:t>สล็อตฝากถอนออโต้ · สล็อตฝากไม่มีขั้นต่ำ · สล็อตโบนัสแตกหนัก</w:t>
            </w:r>
            <w:r>
              <w:br/>
            </w:r>
            <w:r>
              <w:rPr>
                <w:rFonts w:ascii="Arial" w:hAnsi="Arial" w:eastAsia="Arial" w:cs="Tahoma"/>
                <w:color w:val="000000"/>
                <w:sz w:val="20"/>
                <w:szCs w:val="20"/>
              </w:rPr>
              <w:t>สล็อตสายฟรี · สล็อตปั่นง่าย · สล็อต RTP สูง · สล็อตคืนกำไร</w:t>
            </w:r>
          </w:p>
          <w:p>
            <w:pPr>
              <w:keepNext/>
              <w:keepLines/>
              <w:spacing w:before="120" w:after="40" w:line="300" w:lineRule="auto"/>
            </w:pPr>
            <w:r>
              <w:rPr>
                <w:rFonts w:ascii="Arial" w:hAnsi="Arial" w:eastAsia="Arial" w:cs="Tahoma"/>
                <w:b/>
                <w:color w:val="1F3F63"/>
                <w:sz w:val="21"/>
                <w:szCs w:val="21"/>
                <w:bCs w:val="1"/>
              </w:rPr>
              <w:t>Casino</w:t>
            </w:r>
            <w:r>
              <w:rPr>
                <w:rFonts w:ascii="Arial" w:hAnsi="Arial" w:eastAsia="Arial" w:cs="Tahoma"/>
                <w:color w:val="1B2733"/>
                <w:sz w:val="21"/>
                <w:szCs w:val="21"/>
              </w:rPr>
              <w:t xml:space="preserve"> · 14 keywords</w:t>
            </w:r>
          </w:p>
          <w:p>
            <w:pPr>
              <w:keepNext/>
              <w:keepLines w:val="0"/>
              <w:spacing w:before="0" w:after="60" w:line="300" w:lineRule="auto"/>
            </w:pPr>
            <w:r>
              <w:rPr>
                <w:rFonts w:ascii="Arial" w:hAnsi="Arial" w:eastAsia="Arial" w:cs="Tahoma"/>
                <w:color w:val="1B2733"/>
                <w:sz w:val="19"/>
                <w:szCs w:val="19"/>
              </w:rPr>
              <w:t>Online and live casino table and wheel games other than baccarat and card games, such as roulette, dragon tiger, hi lo dice and wheel spin games.</w:t>
            </w:r>
          </w:p>
          <w:p>
            <w:pPr>
              <w:keepNext w:val="0"/>
              <w:keepLines/>
              <w:spacing w:before="0" w:after="80" w:line="408" w:lineRule="auto"/>
            </w:pPr>
            <w:r>
              <w:rPr>
                <w:rFonts w:ascii="Arial" w:hAnsi="Arial" w:eastAsia="Arial" w:cs="Tahoma"/>
                <w:color w:val="000000"/>
                <w:sz w:val="20"/>
                <w:szCs w:val="20"/>
              </w:rPr>
              <w:t>คาสิโน · คาสิโนออนไลน์ · คาสิโนสด · คาสิโนสดออนไลน์ · เสือมังกร</w:t>
            </w:r>
            <w:r>
              <w:br/>
            </w:r>
            <w:r>
              <w:rPr>
                <w:rFonts w:ascii="Arial" w:hAnsi="Arial" w:eastAsia="Arial" w:cs="Tahoma"/>
                <w:color w:val="000000"/>
                <w:sz w:val="20"/>
                <w:szCs w:val="20"/>
              </w:rPr>
              <w:t>รูเล็ต · รูเล็ตออนไลน์ · รูเล๊ต · ไฮโล · ไฮโลออนไลน์ · ไฮโลไทย</w:t>
            </w:r>
            <w:r>
              <w:br/>
            </w:r>
            <w:r>
              <w:rPr>
                <w:rFonts w:ascii="Arial" w:hAnsi="Arial" w:eastAsia="Arial" w:cs="Tahoma"/>
                <w:color w:val="000000"/>
                <w:sz w:val="20"/>
                <w:szCs w:val="20"/>
              </w:rPr>
              <w:t>หมุนวงล้อโบนันซ่ารายวัน · หมุนวงล้อโบนันซ่า · ปั่นแปะ</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1 — Subcategory definitions (continued)</w:t>
            </w:r>
          </w:p>
          <w:p>
            <w:pPr>
              <w:keepNext/>
              <w:keepLines/>
              <w:spacing w:before="120" w:after="40" w:line="300" w:lineRule="auto"/>
            </w:pPr>
            <w:r>
              <w:rPr>
                <w:rFonts w:ascii="Arial" w:hAnsi="Arial" w:eastAsia="Arial" w:cs="Tahoma"/>
                <w:b/>
                <w:color w:val="1F3F63"/>
                <w:sz w:val="21"/>
                <w:szCs w:val="21"/>
                <w:bCs w:val="1"/>
              </w:rPr>
              <w:t>Lottery</w:t>
            </w:r>
            <w:r>
              <w:rPr>
                <w:rFonts w:ascii="Arial" w:hAnsi="Arial" w:eastAsia="Arial" w:cs="Tahoma"/>
                <w:color w:val="1B2733"/>
                <w:sz w:val="21"/>
                <w:szCs w:val="21"/>
              </w:rPr>
              <w:t xml:space="preserve"> · 20 keywords</w:t>
            </w:r>
          </w:p>
          <w:p>
            <w:pPr>
              <w:keepNext/>
              <w:keepLines w:val="0"/>
              <w:spacing w:before="0" w:after="60" w:line="300" w:lineRule="auto"/>
            </w:pPr>
            <w:r>
              <w:rPr>
                <w:rFonts w:ascii="Arial" w:hAnsi="Arial" w:eastAsia="Arial" w:cs="Tahoma"/>
                <w:color w:val="1B2733"/>
                <w:sz w:val="19"/>
                <w:szCs w:val="19"/>
              </w:rPr>
              <w:t>Betting on lottery and number draws, including the Thai government and underground lotteries, Lao, Hanoi and Malaysian draws, fast draw yi ki lotteries and lotteries settled on stock index figures.</w:t>
            </w:r>
          </w:p>
          <w:p>
            <w:pPr>
              <w:keepNext w:val="0"/>
              <w:keepLines/>
              <w:spacing w:before="0" w:after="80" w:line="408" w:lineRule="auto"/>
            </w:pPr>
            <w:r>
              <w:rPr>
                <w:rFonts w:ascii="Arial" w:hAnsi="Arial" w:eastAsia="Arial" w:cs="Tahoma"/>
                <w:color w:val="000000"/>
                <w:sz w:val="20"/>
                <w:szCs w:val="20"/>
              </w:rPr>
              <w:t>หวยออนไลน์ · แทงหวย · ซื้อหวยออนไลน์ · หวยยี่กี · หวยฮานอย</w:t>
            </w:r>
            <w:r>
              <w:br/>
            </w:r>
            <w:r>
              <w:rPr>
                <w:rFonts w:ascii="Arial" w:hAnsi="Arial" w:eastAsia="Arial" w:cs="Tahoma"/>
                <w:color w:val="000000"/>
                <w:sz w:val="20"/>
                <w:szCs w:val="20"/>
              </w:rPr>
              <w:t>หวยลาว · หวยรัฐบาล · หวยมาเลย์ · หวยจับยี่กี · จับยี่กี VIP · หวยใต้ดิน</w:t>
            </w:r>
            <w:r>
              <w:br/>
            </w:r>
            <w:r>
              <w:rPr>
                <w:rFonts w:ascii="Arial" w:hAnsi="Arial" w:eastAsia="Arial" w:cs="Tahoma"/>
                <w:color w:val="000000"/>
                <w:sz w:val="20"/>
                <w:szCs w:val="20"/>
              </w:rPr>
              <w:t>หวยออนไลน์จ่ายจริง · เว็บหวย · เว็บแทงหวย · Huay · Huaylan · หวยหุ้น</w:t>
            </w:r>
            <w:r>
              <w:br/>
            </w:r>
            <w:r>
              <w:rPr>
                <w:rFonts w:ascii="Arial" w:hAnsi="Arial" w:eastAsia="Arial" w:cs="Tahoma"/>
                <w:color w:val="000000"/>
                <w:sz w:val="20"/>
                <w:szCs w:val="20"/>
              </w:rPr>
              <w:t>หวยหุ้นไทย · หวยหุ้นต่างประเทศ · หวยชุด</w:t>
            </w:r>
          </w:p>
          <w:p>
            <w:pPr>
              <w:keepNext/>
              <w:keepLines/>
              <w:spacing w:before="120" w:after="40" w:line="300" w:lineRule="auto"/>
            </w:pPr>
            <w:r>
              <w:rPr>
                <w:rFonts w:ascii="Arial" w:hAnsi="Arial" w:eastAsia="Arial" w:cs="Tahoma"/>
                <w:b/>
                <w:color w:val="1F3F63"/>
                <w:sz w:val="21"/>
                <w:szCs w:val="21"/>
                <w:bCs w:val="1"/>
              </w:rPr>
              <w:t>Playing card</w:t>
            </w:r>
            <w:r>
              <w:rPr>
                <w:rFonts w:ascii="Arial" w:hAnsi="Arial" w:eastAsia="Arial" w:cs="Tahoma"/>
                <w:color w:val="1B2733"/>
                <w:sz w:val="21"/>
                <w:szCs w:val="21"/>
              </w:rPr>
              <w:t xml:space="preserve"> · 12 keywords</w:t>
            </w:r>
          </w:p>
          <w:p>
            <w:pPr>
              <w:keepNext/>
              <w:keepLines w:val="0"/>
              <w:spacing w:before="0" w:after="60" w:line="300" w:lineRule="auto"/>
            </w:pPr>
            <w:r>
              <w:rPr>
                <w:rFonts w:ascii="Arial" w:hAnsi="Arial" w:eastAsia="Arial" w:cs="Tahoma"/>
                <w:color w:val="1B2733"/>
                <w:sz w:val="19"/>
                <w:szCs w:val="19"/>
              </w:rPr>
              <w:t>Card games other than baccarat, such as pok deng, blackjack, poker and Thai two card and three card games.</w:t>
            </w:r>
          </w:p>
          <w:p>
            <w:pPr>
              <w:keepNext w:val="0"/>
              <w:keepLines/>
              <w:spacing w:before="0" w:after="80" w:line="408" w:lineRule="auto"/>
            </w:pPr>
            <w:r>
              <w:rPr>
                <w:rFonts w:ascii="Arial" w:hAnsi="Arial" w:eastAsia="Arial" w:cs="Tahoma"/>
                <w:color w:val="000000"/>
                <w:sz w:val="20"/>
                <w:szCs w:val="20"/>
              </w:rPr>
              <w:t>ไพ่ · ไพ่ออนไลน์ · ไพ่ ออนไลน์ · ไพ่ป๊อก · ป๊อกเด้ง · ป๊อกเด้งออนไลน์</w:t>
            </w:r>
            <w:r>
              <w:br/>
            </w:r>
            <w:r>
              <w:rPr>
                <w:rFonts w:ascii="Arial" w:hAnsi="Arial" w:eastAsia="Arial" w:cs="Tahoma"/>
                <w:color w:val="000000"/>
                <w:sz w:val="20"/>
                <w:szCs w:val="20"/>
              </w:rPr>
              <w:t>แบล็คแจ็ค · แบล็คแจ็คออนไลน์ · โป๊กเกอร์ · โป๊กเกอร์ออนไลน์</w:t>
            </w:r>
            <w:r>
              <w:br/>
            </w:r>
            <w:r>
              <w:rPr>
                <w:rFonts w:ascii="Arial" w:hAnsi="Arial" w:eastAsia="Arial" w:cs="Tahoma"/>
                <w:color w:val="000000"/>
                <w:sz w:val="20"/>
                <w:szCs w:val="20"/>
              </w:rPr>
              <w:t>ตีไก่สองใบ · ตีไก่สามใบ</w:t>
            </w:r>
          </w:p>
          <w:p>
            <w:pPr>
              <w:keepNext/>
              <w:keepLines/>
              <w:spacing w:before="120" w:after="40" w:line="300" w:lineRule="auto"/>
            </w:pPr>
            <w:r>
              <w:rPr>
                <w:rFonts w:ascii="Arial" w:hAnsi="Arial" w:eastAsia="Arial" w:cs="Tahoma"/>
                <w:b/>
                <w:color w:val="1F3F63"/>
                <w:sz w:val="21"/>
                <w:szCs w:val="21"/>
                <w:bCs w:val="1"/>
              </w:rPr>
              <w:t>Baccarat</w:t>
            </w:r>
            <w:r>
              <w:rPr>
                <w:rFonts w:ascii="Arial" w:hAnsi="Arial" w:eastAsia="Arial" w:cs="Tahoma"/>
                <w:color w:val="1B2733"/>
                <w:sz w:val="21"/>
                <w:szCs w:val="21"/>
              </w:rPr>
              <w:t xml:space="preserve"> · 11 keywords</w:t>
            </w:r>
          </w:p>
          <w:p>
            <w:pPr>
              <w:keepNext/>
              <w:keepLines w:val="0"/>
              <w:spacing w:before="0" w:after="60" w:line="300" w:lineRule="auto"/>
            </w:pPr>
            <w:r>
              <w:rPr>
                <w:rFonts w:ascii="Arial" w:hAnsi="Arial" w:eastAsia="Arial" w:cs="Tahoma"/>
                <w:color w:val="1B2733"/>
                <w:sz w:val="19"/>
                <w:szCs w:val="19"/>
              </w:rPr>
              <w:t>Baccarat in any form, live or online, including demo tables and betting formula or prediction services sold for baccarat.</w:t>
            </w:r>
          </w:p>
          <w:p>
            <w:pPr>
              <w:keepNext w:val="0"/>
              <w:keepLines/>
              <w:spacing w:before="0" w:after="80" w:line="408" w:lineRule="auto"/>
            </w:pPr>
            <w:r>
              <w:rPr>
                <w:rFonts w:ascii="Arial" w:hAnsi="Arial" w:eastAsia="Arial" w:cs="Tahoma"/>
                <w:color w:val="000000"/>
                <w:sz w:val="20"/>
                <w:szCs w:val="20"/>
              </w:rPr>
              <w:t>บาคารา · บาคาร่า · บาคาร่าออนไลน์ · ไพ่บาคาร่า · บาคาร่าสด</w:t>
            </w:r>
            <w:r>
              <w:br/>
            </w:r>
            <w:r>
              <w:rPr>
                <w:rFonts w:ascii="Arial" w:hAnsi="Arial" w:eastAsia="Arial" w:cs="Tahoma"/>
                <w:color w:val="000000"/>
                <w:sz w:val="20"/>
                <w:szCs w:val="20"/>
              </w:rPr>
              <w:t>โต๊ะบาคาร่า · บาคาร่าทดลอง · บาคาร่าฟรี · บาคาร่าระบบ AI</w:t>
            </w:r>
            <w:r>
              <w:br/>
            </w:r>
            <w:r>
              <w:rPr>
                <w:rFonts w:ascii="Arial" w:hAnsi="Arial" w:eastAsia="Arial" w:cs="Tahoma"/>
                <w:color w:val="000000"/>
                <w:sz w:val="20"/>
                <w:szCs w:val="20"/>
              </w:rPr>
              <w:t>บาคาร่าขั้นเทพ · สูตรบาคาร่า</w:t>
            </w:r>
          </w:p>
          <w:p>
            <w:pPr>
              <w:keepNext/>
              <w:keepLines/>
              <w:spacing w:before="120" w:after="40" w:line="300" w:lineRule="auto"/>
            </w:pPr>
            <w:r>
              <w:rPr>
                <w:rFonts w:ascii="Arial" w:hAnsi="Arial" w:eastAsia="Arial" w:cs="Tahoma"/>
                <w:b/>
                <w:color w:val="1F3F63"/>
                <w:sz w:val="21"/>
                <w:szCs w:val="21"/>
                <w:bCs w:val="1"/>
              </w:rPr>
              <w:t>General Gambling</w:t>
            </w:r>
            <w:r>
              <w:rPr>
                <w:rFonts w:ascii="Arial" w:hAnsi="Arial" w:eastAsia="Arial" w:cs="Tahoma"/>
                <w:color w:val="1B2733"/>
                <w:sz w:val="21"/>
                <w:szCs w:val="21"/>
              </w:rPr>
              <w:t xml:space="preserve"> · 22 keywords</w:t>
            </w:r>
          </w:p>
          <w:p>
            <w:pPr>
              <w:keepNext/>
              <w:keepLines w:val="0"/>
              <w:spacing w:before="0" w:after="60" w:line="300" w:lineRule="auto"/>
            </w:pPr>
            <w:r>
              <w:rPr>
                <w:rFonts w:ascii="Arial" w:hAnsi="Arial" w:eastAsia="Arial" w:cs="Tahoma"/>
                <w:color w:val="1B2733"/>
                <w:sz w:val="19"/>
                <w:szCs w:val="19"/>
              </w:rPr>
              <w:t>Sites confirmed as gambling whose recorded content uses only generic gambling or betting vocabulary, so no specific product can be evidenced. Assigned only when no other subcategory applies.</w:t>
            </w:r>
          </w:p>
          <w:p>
            <w:pPr>
              <w:keepNext w:val="0"/>
              <w:keepLines/>
              <w:spacing w:before="0" w:after="80" w:line="408" w:lineRule="auto"/>
            </w:pPr>
            <w:r>
              <w:rPr>
                <w:rFonts w:ascii="Arial" w:hAnsi="Arial" w:eastAsia="Arial" w:cs="Tahoma"/>
                <w:color w:val="000000"/>
                <w:sz w:val="20"/>
                <w:szCs w:val="20"/>
              </w:rPr>
              <w:t>พนัน · การพนัน · พนันออนไลน์ · เว็บพนัน · เว็บเดิมพัน · เดิมพัน</w:t>
            </w:r>
            <w:r>
              <w:br/>
            </w:r>
            <w:r>
              <w:rPr>
                <w:rFonts w:ascii="Arial" w:hAnsi="Arial" w:eastAsia="Arial" w:cs="Tahoma"/>
                <w:color w:val="000000"/>
                <w:sz w:val="20"/>
                <w:szCs w:val="20"/>
              </w:rPr>
              <w:t>เดิมพันออนไลน์ · คาสิโน · คาสิโนออนไลน์ · บ่อน · บ่อนออนไลน์</w:t>
            </w:r>
            <w:r>
              <w:br/>
            </w:r>
            <w:r>
              <w:rPr>
                <w:rFonts w:ascii="Arial" w:hAnsi="Arial" w:eastAsia="Arial" w:cs="Tahoma"/>
                <w:color w:val="000000"/>
                <w:sz w:val="20"/>
                <w:szCs w:val="20"/>
              </w:rPr>
              <w:t>เว็บเกมพนัน · เกมพนัน · เว็บเสี่ยงโชค · เสี่ยงโชค · เว็บเกมเงิน</w:t>
            </w:r>
            <w:r>
              <w:br/>
            </w:r>
            <w:r>
              <w:rPr>
                <w:rFonts w:ascii="Arial" w:hAnsi="Arial" w:eastAsia="Arial" w:cs="Tahoma"/>
                <w:color w:val="000000"/>
                <w:sz w:val="20"/>
                <w:szCs w:val="20"/>
              </w:rPr>
              <w:t>เล่นเงินจริง · เกมได้เงินจริง · เดิมพันกีฬา · พนันกีฬา · พนันบอล</w:t>
            </w:r>
            <w:r>
              <w:br/>
            </w:r>
            <w:r>
              <w:rPr>
                <w:rFonts w:ascii="Arial" w:hAnsi="Arial" w:eastAsia="Arial" w:cs="Tahoma"/>
                <w:color w:val="000000"/>
                <w:sz w:val="20"/>
                <w:szCs w:val="20"/>
              </w:rPr>
              <w:t>แทงบอล</w:t>
            </w:r>
          </w:p>
          <w:p>
            <w:pPr>
              <w:keepNext w:val="0"/>
              <w:keepLines w:val="0"/>
              <w:spacing w:before="80" w:after="0" w:line="300" w:lineRule="auto"/>
            </w:pPr>
            <w:r>
              <w:rPr>
                <w:rFonts w:ascii="Arial" w:hAnsi="Arial" w:eastAsia="Arial" w:cs="Tahoma"/>
                <w:color w:val="5D6D7E"/>
                <w:sz w:val="17"/>
                <w:szCs w:val="17"/>
              </w:rPr>
              <w:t>The keyword lists are those of the SICPADetect lexicon at the version shown on the title page (V1).</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bookmarkStart w:id="48" w:name="_toc48"/>
            <w:r>
              <w:rPr>
                <w:rFonts w:ascii="Arial" w:hAnsi="Arial" w:eastAsia="Arial" w:cs="Tahoma"/>
              </w:rPr>
              <w:t>Annex 2 — Ranked domains used for clustering</w:t>
            </w:r>
            <w:bookmarkEnd w:id="48"/>
          </w:p>
          <w:p>
            <w:pPr>
              <w:keepNext/>
              <w:keepLines w:val="0"/>
              <w:spacing w:before="0" w:after="100" w:line="300" w:lineRule="auto"/>
            </w:pPr>
            <w:r>
              <w:rPr>
                <w:rFonts w:ascii="Arial" w:hAnsi="Arial" w:eastAsia="Arial" w:cs="Tahoma"/>
                <w:color w:val="5D6D7E"/>
                <w:sz w:val="18"/>
                <w:szCs w:val="18"/>
              </w:rPr>
              <w:t>Ranking of gambling domains for Thailand · external data provider · 159 of 200 ranked domains applied</w:t>
            </w:r>
          </w:p>
          <w:p>
            <w:pPr>
              <w:keepNext w:val="0"/>
              <w:keepLines w:val="0"/>
              <w:spacing w:before="0" w:after="120" w:line="300" w:lineRule="auto"/>
            </w:pPr>
            <w:r>
              <w:rPr>
                <w:rFonts w:ascii="Arial" w:hAnsi="Arial" w:eastAsia="Arial" w:cs="Tahoma"/>
                <w:color w:val="1B2733"/>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22onlinegames.com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22onlinegames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22onlinegames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debet.tv</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aiscore.com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aiscore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aiscore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ufabet.com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ufabet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ufabet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invl.me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invl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invl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lottoheng168.com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888scoreonline.net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888scoreonline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888scoreonline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hacksawgaming.com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hacksawgaming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hacksawgaming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playin.com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playin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playin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gosh.io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gosh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gosh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24live.com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24live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24live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326821905591.com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326821905591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326821905591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vlr.gg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vlr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vlr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7mkr.com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7mkr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7mkr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808ball15.com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808ball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808ball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mlnhngoc.net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mlnhngoc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mlnhngoc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m8geqpm2kpnf78dkfxp9ksg94ndx9weaoa39.com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13o.net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13o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13o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nolimitcity.com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nolimitcity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nolimitcity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betufa.com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betufa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betufa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d3my3ye7lo15uo.cloudfront.net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d3my3ye7lo15uo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d3my3ye7lo15uo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viieuvkf.com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viieuvkf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viieuvkf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anaidahog.com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anaidahog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anaidahog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m1rs.com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m1rs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m1rs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spinova-hub.com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spinovahub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spinovahub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beer777.com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painamour.com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painamour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painamour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bet365.ee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seriesdet.com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seriesdet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seriesdet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singaporepools.com.sg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singaporepools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singaporepools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rainbet.com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rainbet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rainbet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wsgamings.com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wsgamings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wsgamings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jackpots.ch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jackpots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jackpots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pic5678.com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sporticos.com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sporticos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sporticos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rsg-games.com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rsggames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rsggames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coktv1.com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games.kaga88.com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royal558.com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royal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5</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royal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dafabet.com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dafabet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glivesport.com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glivesport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glivesport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pragmaticplay.com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pragmaticplay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pragmaticplay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lottovip.bet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lottovip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lottovip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chatursply.com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chatursply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chatursply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afiyukent.one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afiyukent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afiyukent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8provider.com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8provider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8provider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iqoption.net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iqoption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iqoption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millipiyangoonline.com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millipiyangoonline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millipiyangoonline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stp4bet.net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stp4bet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stp4bet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corevibe-network.com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corevibenetwork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corevibenetwork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flashscore.com.ua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wuoza.com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wuoza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wuoza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papasqueens.com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papasqueens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ouraidream.com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ouraidream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ouraidream</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w88cric.com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w88cric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w88cric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askmebet.live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askmebet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askmebet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chainers.io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chainers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chainers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minhngoc.net.vn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crickfree.be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crickfree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crickfree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asianbookie.com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asianbookie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asianbookie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nova88.com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nova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nova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ekamsply.com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ekamsply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ekamsply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connect234.com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issuya.com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issuya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issuya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crex.com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crex</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crex</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97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1x-bet.mobi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29</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slotcatalog.com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slotcatalog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slotcatalog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thboxing</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gys5.com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gys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gys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m88</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m88</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stevenbridges.co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stevenbridges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stevenbridges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allbetasia.com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allbetasia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allbetasia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betway.com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betway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betway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bigwinboard.com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bigwinboard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bigwinboard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shuffle.com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shuffle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shuffle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ballthaitv.com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ballthaitv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ballthaitv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scoresinlive.com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scoresinlive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scoresinlive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fun88.com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fun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fun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622coffee.com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622coffee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622coffee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betfair.com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betfair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betfair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givamblog.com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givamblog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givamblog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fon.bet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120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njtv-01.com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njtv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njtv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footballpredictions.com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footballpredictions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footballpredictions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api-ugaming.com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apiugaming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apiugaming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stake.ceo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3rmwa7p.com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3rmwa7p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3rmwa7p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livescore.red</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livescore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livescore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ballhengheng.com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ballhengheng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ballhengheng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twoplustwo.com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twoplustwo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twoplustwo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manko.fun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manko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manko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bojel.com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bojel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bojel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chipy.com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chipy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chipy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xskt.com.vn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xskt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xskt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bch.games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bch</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dhlottery.co.kr</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dhlottery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dhlottery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hkjc.com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hkjc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hkjc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betika.com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betika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betika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backgammongalaxy.com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backgammongalaxy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backgammongalaxy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thehendonmob.com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thehendonmob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thehendonmob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melbetegypt.com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melbetegypt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melbetegypt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cyberscore.live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cyberscore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cyberscore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national-lottery.co.uk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nationallottery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nationallottery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oddschecker.com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oddschecker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lckts.com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lckts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lckts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sbfplay99.com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sbfplay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sbfplay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ohoboxing.com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ohoboxing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recharge.game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recharge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recharge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racenet.com.au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racenet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racenet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fatty777.xyz</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fatty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fatty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2ded.com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2ded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2ded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marathonbet.ru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marathonbet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marathonbet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bet911.com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bet911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bet911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cloudbet.com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cloudbet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cloudbet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duel.com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duel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duel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footystats.org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footystats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footystats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az24.vn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az24</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sbobet.com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sbobet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sbobet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d1q60f0kk3cf0.cloudfront.net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d1q60f0kk3cf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d1q60f0kk3cf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dordir.com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dordir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dordir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sunmacau.com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sunmacau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sunmacau</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dol-rtknetwork.com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dolrtknetwork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dolrtknetwork</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bebayankhs.com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bebayankhs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bebayankhs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mivasstore.com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mivasstore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mivasstore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sportsbet.com.au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sportsbet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sportsbet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tpi.li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tpi</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tpi</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grabyourluck.com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grabyourluck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grabyourluck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exma.io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exma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exma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pubg.plus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pubg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pubg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64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storehyson.com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storehyson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storehyson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brabet.com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brabet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brabet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mycasino.ch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mycasino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mycasino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crowncoinscasino.com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crowncoinscasino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crowncoinscasino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goal-th.com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goalth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goalth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ggbetconnect.com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ggbetconnect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ggbetconnect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paddypower.com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paddypower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paddypower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tadagaming.com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tadagaming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tadagaming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olbg.com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olbg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olbg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thscore.fun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slotstemple.com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slotstemple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slotstemple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777.ua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777</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777</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m-918kiss.com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m918kiss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m918kiss</w:t>
                  </w:r>
                </w:p>
              </w:tc>
            </w:tr>
          </w:tbl>
          <w:p>
            <w:pPr>
              <w:keepNext w:val="0"/>
              <w:keepLines w:val="0"/>
              <w:spacing w:before="0" w:after="0" w:line="40" w:lineRule="exact"/>
              <w:rPr>
                <w:sz w:val="2"/>
                <w:szCs w:val="2"/>
              </w:rPr>
            </w:pPr>
          </w:p>
          <w:p>
            <w:pPr>
              <w:keepNext w:val="0"/>
              <w:keepLines w:val="0"/>
              <w:spacing w:before="60" w:after="40" w:line="300" w:lineRule="auto"/>
            </w:pPr>
            <w:r>
              <w:rPr>
                <w:rFonts w:ascii="Arial" w:hAnsi="Arial" w:eastAsia="Arial" w:cs="Tahoma"/>
                <w:color w:val="1B2733"/>
                <w:sz w:val="18"/>
                <w:szCs w:val="18"/>
              </w:rPr>
              <w:t>142 of 159 ranked domains matched at least one URL in this sample, together covering 229 gambling URLs (1.6% of gambling URLs).</w:t>
            </w:r>
          </w:p>
          <w:p>
            <w:pPr>
              <w:keepNext w:val="0"/>
              <w:keepLines w:val="0"/>
              <w:spacing w:before="60" w:after="40" w:line="300" w:lineRule="auto"/>
            </w:pPr>
            <w:r>
              <w:rPr>
                <w:rFonts w:ascii="Arial" w:hAnsi="Arial" w:eastAsia="Arial" w:cs="Tahoma"/>
                <w:color w:val="1B2733"/>
                <w:sz w:val="18"/>
                <w:szCs w:val="18"/>
              </w:rPr>
              <w:t>41 ranked domains are awaiting analyst review, were not applied and are not listed.</w:t>
            </w:r>
          </w:p>
          <w:p>
            <w:pPr>
              <w:keepNext w:val="0"/>
              <w:keepLines w:val="0"/>
              <w:spacing w:before="80" w:after="0" w:line="300" w:lineRule="auto"/>
            </w:pPr>
            <w:r>
              <w:rPr>
                <w:rFonts w:ascii="Arial" w:hAnsi="Arial" w:eastAsia="Arial" w:cs="Tahoma"/>
                <w:color w:val="5D6D7E"/>
                <w:sz w:val="17"/>
                <w:szCs w:val="17"/>
              </w:rPr>
              <w:t>Rank is as supplied by the external data provider and is not a measure of harm, reach or revenue; it is separate from the rank shown in the Gambling ranking card. Grouping a URL under a ranked brand is an analytical grouping, not a legal finding about ownership.</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113" w:type="dxa"/>
          <w:left w:w="0" w:type="dxa"/>
          <w:bottom w:w="0" w:type="dxa"/>
          <w:right w:w="0" w:type="dxa"/>
        </w:tblCellMar>
      </w:tblPr>
      <w:tblGrid>
        <w:gridCol w:w="9071"/>
      </w:tblGrid>
      <w:tr>
        <w:trPr>
          <w:cantSplit/>
        </w:trPr>
        <w:tc>
          <w:tcPr>
            <w:tcW w:type="dxa" w:w="9071"/>
          </w:tcPr>
          <w:p>
            <w:pPr>
              <w:keepNext w:val="0"/>
              <w:keepLines/>
              <w:spacing w:before="0" w:after="0" w:line="276" w:lineRule="auto"/>
            </w:pPr>
            <w:r>
              <w:rPr>
                <w:rFonts w:ascii="Arial" w:hAnsi="Arial" w:eastAsia="Arial" w:cs="Tahoma"/>
                <w:color w:val="5D6D7E"/>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of gambling rows 96.7%; General Gambling share 5.9%. The lexicon has poor coverage of this dataset, so subcategory figures are indicative only. Rows arriving with a legacy status label that is normalised to Gambling: 0. Abbreviations flagged as a probable false positive source because each accounts for more than 20% of Abbreviations matches: VIP, BET. Clustering thresholds: near miss similarity 0.90, variant compatibility 0.90, cluster dominance 25% of gambling URLs, domain dominance 10% of gambling URLs, host farm threshold 20 URLs on one domain, late joiner interval 7 days. Operator linkage: abbreviations flagged above and keywords matched in more than 10% of gambling rows are excluded (BET, VIP), at least 3 shared keywords, and the table is withheld above 200 qualifying pairs or when one cluster appears in more than 20 pairs. Gap threshold: three or more consecutive days below 10% of the mean daily count (635 URLs a day, threshold 64); peak threshold: days above three times the mean. Collection network: not recorded.</w:t>
            </w:r>
          </w:p>
        </w:tc>
      </w:tr>
    </w:tbl>
    <w:sectPr w:rsidR="00FC693F" w:rsidRPr="0006063C" w:rsidSect="00034616">
      <w:footerReference w:type="default" r:id="rId18"/>
      <w:footerReference w:type="first" r:id="rId19"/>
      <w:headerReference w:type="default" r:id="rId20"/>
      <w:headerReference w:type="first" r:id="rId21"/>
      <w:pgSz w:w="11906" w:h="16838"/>
      <w:pgMar w:top="1361"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pPr>
    <w:r>
      <w:rPr>
        <w:rFonts w:ascii="Arial" w:hAnsi="Arial" w:eastAsia="Arial" w:cs="Tahoma"/>
        <w:color w:val="5D6D7E"/>
        <w:sz w:val="16"/>
        <w:szCs w:val="16"/>
      </w:rPr>
      <w:t>Data Insights &amp; Patterns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00" w:lineRule="auto"/>
    </w:pPr>
    <w:rPr>
      <w:rFonts w:ascii="Arial" w:hAnsi="Arial" w:eastAsia="Arial" w:cs="Tahoma"/>
      <w:sz w:val="19"/>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Theme="majorHAnsi" w:eastAsiaTheme="majorEastAsia" w:hAnsiTheme="majorHAnsi" w:cstheme="majorBidi" w:ascii="Arial" w:hAnsi="Arial" w:eastAsia="Arial" w:cs="Tahoma"/>
      <w:b/>
      <w:bCs/>
      <w:color w:val="1F3F63"/>
      <w:sz w:val="44"/>
      <w:szCs w:val="28"/>
      <w:szCs w:val="44"/>
    </w:rPr>
  </w:style>
  <w:style w:type="paragraph" w:styleId="Heading2">
    <w:name w:val="heading 2"/>
    <w:basedOn w:val="Normal"/>
    <w:next w:val="Normal"/>
    <w:link w:val="Heading2Char"/>
    <w:uiPriority w:val="9"/>
    <w:unhideWhenUsed/>
    <w:qFormat/>
    <w:rsid w:val="00FC693F"/>
    <w:pPr>
      <w:keepNext/>
      <w:keepLines/>
      <w:spacing w:before="40" w:after="120" w:line="264" w:lineRule="auto"/>
      <w:outlineLvl w:val="1"/>
    </w:pPr>
    <w:rPr>
      <w:rFonts w:asciiTheme="majorHAnsi" w:eastAsiaTheme="majorEastAsia" w:hAnsiTheme="majorHAnsi" w:cstheme="majorBidi" w:ascii="Arial" w:hAnsi="Arial" w:eastAsia="Arial" w:cs="Tahoma"/>
      <w:b/>
      <w:bCs/>
      <w:color w:val="1F3F63"/>
      <w:sz w:val="30"/>
      <w:szCs w:val="26"/>
      <w:szCs w:val="30"/>
    </w:rPr>
  </w:style>
  <w:style w:type="paragraph" w:styleId="Heading3">
    <w:name w:val="heading 3"/>
    <w:basedOn w:val="Normal"/>
    <w:next w:val="Normal"/>
    <w:link w:val="Heading3Char"/>
    <w:uiPriority w:val="9"/>
    <w:unhideWhenUsed/>
    <w:qFormat/>
    <w:rsid w:val="00FC693F"/>
    <w:pPr>
      <w:keepNext/>
      <w:keepLines/>
      <w:spacing w:before="0" w:after="80" w:line="264" w:lineRule="auto"/>
      <w:outlineLvl w:val="2"/>
    </w:pPr>
    <w:rPr>
      <w:rFonts w:asciiTheme="majorHAnsi" w:eastAsiaTheme="majorEastAsia" w:hAnsiTheme="majorHAnsi" w:cstheme="majorBidi" w:ascii="Arial" w:hAnsi="Arial" w:eastAsia="Arial" w:cs="Tahoma"/>
      <w:b/>
      <w:bCs/>
      <w:color w:val="1B2733"/>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4" w:lineRule="auto" w:before="0"/>
      <w:contextualSpacing/>
    </w:pPr>
    <w:rPr>
      <w:rFonts w:asciiTheme="majorHAnsi" w:eastAsiaTheme="majorEastAsia" w:hAnsiTheme="majorHAnsi" w:cstheme="majorBidi" w:ascii="Arial" w:hAnsi="Arial" w:eastAsia="Arial" w:cs="Tahoma"/>
      <w:b/>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header" Target="header1.xml"/><Relationship Id="rId2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MDES Analysis Report</dc:subject>
  <dc:creator>SICPA SA</dc:creator>
  <cp:keywords/>
  <dc:description/>
  <cp:lastModifiedBy>SICPA SA</cp:lastModifiedBy>
  <cp:revision>1</cp:revision>
  <dcterms:created xsi:type="dcterms:W3CDTF">2026-10-21T12:00:00Z</dcterms:created>
  <dcterms:modified xsi:type="dcterms:W3CDTF">2026-10-21T12:00:00Z</dcterms:modified>
  <cp:category/>
</cp:coreProperties>
</file>