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93" w:lineRule="auto"/>
      </w:pPr>
    </w:p>
    <w:p>
      <w:pPr>
        <w:spacing w:before="0" w:after="0" w:line="293" w:lineRule="auto"/>
      </w:pPr>
    </w:p>
    <w:p>
      <w:pPr>
        <w:spacing w:before="0" w:after="0" w:line="293" w:lineRule="auto"/>
      </w:pPr>
    </w:p>
    <w:p>
      <w:pPr>
        <w:spacing w:before="0" w:after="0" w:line="293" w:lineRule="auto"/>
        <w:jc w:val="right"/>
      </w:pPr>
      <w:r>
        <w:rPr>
          <w:rFonts w:ascii="Calibri" w:hAnsi="Calibri" w:cs="Tahoma"/>
          <w:b/>
          <w:color w:val="1F3F63"/>
          <w:sz w:val="20"/>
          <w:szCs w:val="20"/>
          <w:bCs w:val="1"/>
        </w:rPr>
        <w:t>Ministry of Digital Economy and Society</w:t>
      </w:r>
    </w:p>
    <w:p>
      <w:pPr>
        <w:spacing w:before="0" w:after="0" w:line="293" w:lineRule="auto"/>
        <w:jc w:val="right"/>
      </w:pPr>
      <w:r>
        <w:rPr>
          <w:rFonts w:ascii="Calibri" w:hAnsi="Calibri" w:cs="Tahoma"/>
          <w:b w:val="0"/>
          <w:color w:val="51606E"/>
          <w:sz w:val="18"/>
          <w:szCs w:val="18"/>
          <w:bCs w:val="0"/>
        </w:rPr>
        <w:t>Thailand</w:t>
      </w:r>
    </w:p>
    <w:p>
      <w:pPr>
        <w:spacing w:before="0" w:after="0" w:line="293" w:lineRule="auto"/>
      </w:pPr>
    </w:p>
    <w:p>
      <w:pPr>
        <w:spacing w:before="0" w:after="0" w:line="293" w:lineRule="auto"/>
      </w:pPr>
    </w:p>
    <w:p>
      <w:pPr>
        <w:spacing w:before="0" w:after="0" w:line="293" w:lineRule="auto"/>
      </w:pPr>
    </w:p>
    <w:p>
      <w:pPr>
        <w:spacing w:before="0" w:after="0" w:line="293" w:lineRule="auto"/>
      </w:pPr>
    </w:p>
    <w:p>
      <w:pPr>
        <w:spacing w:before="0" w:after="0" w:line="293" w:lineRule="auto"/>
      </w:pPr>
    </w:p>
    <w:p>
      <w:pPr>
        <w:spacing w:before="0" w:after="120" w:line="252" w:lineRule="auto"/>
      </w:pPr>
      <w:r>
        <w:rPr>
          <w:rFonts w:ascii="Calibri" w:hAnsi="Calibri" w:cs="Tahoma"/>
          <w:b/>
          <w:color w:val="1F3F63"/>
          <w:sz w:val="60"/>
          <w:szCs w:val="60"/>
          <w:bCs w:val="1"/>
        </w:rPr>
        <w:t>Data Insights &amp; Patterns</w:t>
      </w:r>
    </w:p>
    <w:p>
      <w:pPr>
        <w:spacing w:before="0" w:after="400" w:line="293" w:lineRule="auto"/>
      </w:pPr>
      <w:r>
        <w:rPr>
          <w:rFonts w:ascii="Calibri" w:hAnsi="Calibri" w:cs="Tahoma"/>
          <w:b w:val="0"/>
          <w:color w:val="51606E"/>
          <w:sz w:val="24"/>
          <w:szCs w:val="24"/>
          <w:bCs w:val="0"/>
        </w:rPr>
        <w:t>Pilot reporting period · 4 Sep 2026 to 7 Oct 2026</w:t>
      </w:r>
    </w:p>
    <w:p>
      <w:pPr>
        <w:pBdr>
          <w:bottom w:val="single" w:sz="12" w:space="6" w:color="1F3F63"/>
        </w:pBdr>
      </w:pPr>
    </w:p>
    <w:p>
      <w:pPr>
        <w:spacing w:before="0" w:after="0" w:line="293" w:lineRule="auto"/>
      </w:pPr>
    </w:p>
    <w:p>
      <w:pPr>
        <w:spacing w:before="0" w:after="0" w:line="293" w:lineRule="auto"/>
      </w:pP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51"/>
        <w:gridCol w:w="6520"/>
      </w:tblGrid>
      <w:tr>
        <w:tc>
          <w:tcPr>
            <w:tcW w:type="dxa" w:w="2551"/>
            <w:tcMar>
              <w:top w:w="0" w:type="dxa"/>
              <w:left w:w="0" w:type="dxa"/>
              <w:bottom w:w="0" w:type="dxa"/>
              <w:right w:w="113" w:type="dxa"/>
            </w:tcMar>
          </w:tcPr>
          <w:p>
            <w:pPr>
              <w:spacing w:before="60" w:after="60" w:line="293" w:lineRule="auto"/>
            </w:pPr>
            <w:r>
              <w:rPr>
                <w:rFonts w:ascii="Calibri" w:hAnsi="Calibri" w:cs="Tahoma"/>
                <w:b w:val="0"/>
                <w:color w:val="51606E"/>
                <w:sz w:val="21"/>
                <w:szCs w:val="21"/>
                <w:bCs w:val="0"/>
              </w:rPr>
              <w:t>Issued to</w:t>
            </w:r>
          </w:p>
        </w:tc>
        <w:tc>
          <w:tcPr>
            <w:tcW w:type="dxa" w:w="6520"/>
            <w:tcMar>
              <w:top w:w="0" w:type="dxa"/>
              <w:left w:w="0" w:type="dxa"/>
              <w:bottom w:w="0" w:type="dxa"/>
              <w:right w:w="113" w:type="dxa"/>
            </w:tcMar>
          </w:tcPr>
          <w:p>
            <w:pPr>
              <w:spacing w:before="60" w:after="60" w:line="293" w:lineRule="auto"/>
            </w:pPr>
            <w:r>
              <w:rPr>
                <w:rFonts w:ascii="Calibri" w:hAnsi="Calibri" w:cs="Tahoma"/>
                <w:b/>
                <w:color w:val="1B2733"/>
                <w:sz w:val="21"/>
                <w:szCs w:val="21"/>
                <w:bCs w:val="1"/>
              </w:rPr>
              <w:t>Ministry of Digital Economy and Society, Thailand</w:t>
            </w:r>
          </w:p>
        </w:tc>
      </w:tr>
      <w:tr>
        <w:tc>
          <w:tcPr>
            <w:tcW w:type="dxa" w:w="2551"/>
            <w:tcMar>
              <w:top w:w="0" w:type="dxa"/>
              <w:left w:w="0" w:type="dxa"/>
              <w:bottom w:w="0" w:type="dxa"/>
              <w:right w:w="113" w:type="dxa"/>
            </w:tcMar>
          </w:tcPr>
          <w:p>
            <w:pPr>
              <w:spacing w:before="60" w:after="60" w:line="293" w:lineRule="auto"/>
            </w:pPr>
            <w:r>
              <w:rPr>
                <w:rFonts w:ascii="Calibri" w:hAnsi="Calibri" w:cs="Tahoma"/>
                <w:b w:val="0"/>
                <w:color w:val="51606E"/>
                <w:sz w:val="21"/>
                <w:szCs w:val="21"/>
                <w:bCs w:val="0"/>
              </w:rPr>
              <w:t>Prepared by</w:t>
            </w:r>
          </w:p>
        </w:tc>
        <w:tc>
          <w:tcPr>
            <w:tcW w:type="dxa" w:w="6520"/>
            <w:tcMar>
              <w:top w:w="0" w:type="dxa"/>
              <w:left w:w="0" w:type="dxa"/>
              <w:bottom w:w="0" w:type="dxa"/>
              <w:right w:w="113" w:type="dxa"/>
            </w:tcMar>
          </w:tcPr>
          <w:p>
            <w:pPr>
              <w:spacing w:before="60" w:after="60" w:line="293" w:lineRule="auto"/>
            </w:pPr>
            <w:r>
              <w:rPr>
                <w:rFonts w:ascii="Calibri" w:hAnsi="Calibri" w:cs="Tahoma"/>
                <w:b/>
                <w:color w:val="1B2733"/>
                <w:sz w:val="21"/>
                <w:szCs w:val="21"/>
                <w:bCs w:val="1"/>
              </w:rPr>
              <w:t>SICPA SA</w:t>
            </w:r>
          </w:p>
        </w:tc>
      </w:tr>
      <w:tr>
        <w:tc>
          <w:tcPr>
            <w:tcW w:type="dxa" w:w="2551"/>
            <w:tcMar>
              <w:top w:w="0" w:type="dxa"/>
              <w:left w:w="0" w:type="dxa"/>
              <w:bottom w:w="0" w:type="dxa"/>
              <w:right w:w="113" w:type="dxa"/>
            </w:tcMar>
          </w:tcPr>
          <w:p>
            <w:pPr>
              <w:spacing w:before="60" w:after="60" w:line="293" w:lineRule="auto"/>
            </w:pPr>
            <w:r>
              <w:rPr>
                <w:rFonts w:ascii="Calibri" w:hAnsi="Calibri" w:cs="Tahoma"/>
                <w:b w:val="0"/>
                <w:color w:val="51606E"/>
                <w:sz w:val="21"/>
                <w:szCs w:val="21"/>
                <w:bCs w:val="0"/>
              </w:rPr>
              <w:t>Date of issue</w:t>
            </w:r>
          </w:p>
        </w:tc>
        <w:tc>
          <w:tcPr>
            <w:tcW w:type="dxa" w:w="6520"/>
            <w:tcMar>
              <w:top w:w="0" w:type="dxa"/>
              <w:left w:w="0" w:type="dxa"/>
              <w:bottom w:w="0" w:type="dxa"/>
              <w:right w:w="113" w:type="dxa"/>
            </w:tcMar>
          </w:tcPr>
          <w:p>
            <w:pPr>
              <w:spacing w:before="60" w:after="60" w:line="293" w:lineRule="auto"/>
            </w:pPr>
            <w:r>
              <w:rPr>
                <w:rFonts w:ascii="Calibri" w:hAnsi="Calibri" w:cs="Tahoma"/>
                <w:b/>
                <w:color w:val="1B2733"/>
                <w:sz w:val="21"/>
                <w:szCs w:val="21"/>
                <w:bCs w:val="1"/>
              </w:rPr>
              <w:t>07/10/2026</w:t>
            </w:r>
          </w:p>
        </w:tc>
      </w:tr>
      <w:tr>
        <w:tc>
          <w:tcPr>
            <w:tcW w:type="dxa" w:w="2551"/>
            <w:tcMar>
              <w:top w:w="0" w:type="dxa"/>
              <w:left w:w="0" w:type="dxa"/>
              <w:bottom w:w="0" w:type="dxa"/>
              <w:right w:w="113" w:type="dxa"/>
            </w:tcMar>
          </w:tcPr>
          <w:p>
            <w:pPr>
              <w:spacing w:before="60" w:after="60" w:line="293" w:lineRule="auto"/>
            </w:pPr>
            <w:r>
              <w:rPr>
                <w:rFonts w:ascii="Calibri" w:hAnsi="Calibri" w:cs="Tahoma"/>
                <w:b w:val="0"/>
                <w:color w:val="51606E"/>
                <w:sz w:val="21"/>
                <w:szCs w:val="21"/>
                <w:bCs w:val="0"/>
              </w:rPr>
              <w:t>Source system</w:t>
            </w:r>
          </w:p>
        </w:tc>
        <w:tc>
          <w:tcPr>
            <w:tcW w:type="dxa" w:w="6520"/>
            <w:tcMar>
              <w:top w:w="0" w:type="dxa"/>
              <w:left w:w="0" w:type="dxa"/>
              <w:bottom w:w="0" w:type="dxa"/>
              <w:right w:w="113" w:type="dxa"/>
            </w:tcMar>
          </w:tcPr>
          <w:p>
            <w:pPr>
              <w:spacing w:before="60" w:after="60" w:line="293" w:lineRule="auto"/>
            </w:pPr>
            <w:r>
              <w:rPr>
                <w:rFonts w:ascii="Calibri" w:hAnsi="Calibri" w:cs="Tahoma"/>
                <w:b/>
                <w:color w:val="1B2733"/>
                <w:sz w:val="21"/>
                <w:szCs w:val="21"/>
                <w:bCs w:val="1"/>
              </w:rPr>
              <w:t>SICPADetect</w:t>
            </w:r>
          </w:p>
        </w:tc>
      </w:tr>
    </w:tbl>
    <w:p>
      <w:r>
        <w:br w:type="page"/>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pPr>
              <w:pStyle w:val="Heading2"/>
            </w:pPr>
            <w:r>
              <w:rPr>
                <w:rFonts w:ascii="Calibri" w:hAnsi="Calibri" w:cs="Tahoma"/>
                <w:b/>
                <w:color w:val="1F3F63"/>
                <w:sz w:val="23"/>
                <w:szCs w:val="23"/>
                <w:bCs w:val="1"/>
              </w:rPr>
              <w:t>Contents</w:t>
            </w:r>
          </w:p>
          <w:p>
            <w:pPr>
              <w:spacing w:after="0"/>
            </w:pPr>
            <w:r>
              <w:fldChar w:fldCharType="begin" w:dirty="true"/>
            </w:r>
            <w:r>
              <w:instrText xml:space="preserve"> TOC \o "1-2" \h \z \u </w:instrText>
            </w:r>
            <w:r>
              <w:fldChar w:fldCharType="separate"/>
            </w:r>
          </w:p>
          <w:p>
            <w:pPr>
              <w:spacing w:before="20" w:after="20"/>
              <w:ind w:left="397"/>
            </w:pPr>
            <w:hyperlink w:anchor="a_exec">
              <w:r>
                <w:rPr>
                  <w:rFonts w:ascii="Calibri" w:hAnsi="Calibri" w:cs="Tahoma"/>
                  <w:b w:val="0"/>
                  <w:color w:val="1B2733"/>
                  <w:sz w:val="19"/>
                  <w:szCs w:val="19"/>
                  <w:bCs w:val="0"/>
                </w:rPr>
                <w:t>Executive summary</w:t>
              </w:r>
            </w:hyperlink>
          </w:p>
          <w:p>
            <w:pPr>
              <w:spacing w:before="20" w:after="20"/>
              <w:ind w:left="0"/>
            </w:pPr>
            <w:hyperlink w:anchor="s_model">
              <w:r>
                <w:rPr>
                  <w:rFonts w:ascii="Calibri" w:hAnsi="Calibri" w:cs="Tahoma"/>
                  <w:b/>
                  <w:color w:val="1F3F63"/>
                  <w:sz w:val="20"/>
                  <w:szCs w:val="20"/>
                  <w:bCs w:val="1"/>
                </w:rPr>
                <w:t>Model Insights</w:t>
              </w:r>
            </w:hyperlink>
          </w:p>
          <w:p>
            <w:pPr>
              <w:spacing w:before="20" w:after="20"/>
              <w:ind w:left="397"/>
            </w:pPr>
            <w:hyperlink w:anchor="mi_intro">
              <w:r>
                <w:rPr>
                  <w:rFonts w:ascii="Calibri" w:hAnsi="Calibri" w:cs="Tahoma"/>
                  <w:b w:val="0"/>
                  <w:color w:val="1B2733"/>
                  <w:sz w:val="19"/>
                  <w:szCs w:val="19"/>
                  <w:bCs w:val="0"/>
                </w:rPr>
                <w:t>Introduction</w:t>
              </w:r>
            </w:hyperlink>
          </w:p>
          <w:p>
            <w:pPr>
              <w:spacing w:before="20" w:after="20"/>
              <w:ind w:left="397"/>
            </w:pPr>
            <w:hyperlink w:anchor="mi_ins">
              <w:r>
                <w:rPr>
                  <w:rFonts w:ascii="Calibri" w:hAnsi="Calibri" w:cs="Tahoma"/>
                  <w:b w:val="0"/>
                  <w:color w:val="1B2733"/>
                  <w:sz w:val="19"/>
                  <w:szCs w:val="19"/>
                  <w:bCs w:val="0"/>
                </w:rPr>
                <w:t>Insights</w:t>
              </w:r>
            </w:hyperlink>
          </w:p>
          <w:p>
            <w:pPr>
              <w:spacing w:before="20" w:after="20"/>
              <w:ind w:left="397"/>
            </w:pPr>
            <w:hyperlink w:anchor="mi_perf">
              <w:r>
                <w:rPr>
                  <w:rFonts w:ascii="Calibri" w:hAnsi="Calibri" w:cs="Tahoma"/>
                  <w:b w:val="0"/>
                  <w:color w:val="1B2733"/>
                  <w:sz w:val="19"/>
                  <w:szCs w:val="19"/>
                  <w:bCs w:val="0"/>
                </w:rPr>
                <w:t>Performance</w:t>
              </w:r>
            </w:hyperlink>
          </w:p>
          <w:p>
            <w:pPr>
              <w:spacing w:before="20" w:after="20"/>
              <w:ind w:left="0"/>
            </w:pPr>
            <w:hyperlink w:anchor="s_prom">
              <w:r>
                <w:rPr>
                  <w:rFonts w:ascii="Calibri" w:hAnsi="Calibri" w:cs="Tahoma"/>
                  <w:b/>
                  <w:color w:val="1F3F63"/>
                  <w:sz w:val="20"/>
                  <w:szCs w:val="20"/>
                  <w:bCs w:val="1"/>
                </w:rPr>
                <w:t>10 most prominent gambling sites in Thailand</w:t>
              </w:r>
            </w:hyperlink>
          </w:p>
          <w:p>
            <w:pPr>
              <w:spacing w:before="20" w:after="20"/>
              <w:ind w:left="397"/>
            </w:pPr>
            <w:hyperlink w:anchor="b1">
              <w:r>
                <w:rPr>
                  <w:rFonts w:ascii="Calibri" w:hAnsi="Calibri" w:cs="Tahoma"/>
                  <w:b w:val="0"/>
                  <w:color w:val="1B2733"/>
                  <w:sz w:val="19"/>
                  <w:szCs w:val="19"/>
                  <w:bCs w:val="0"/>
                </w:rPr>
                <w:t>10 most prominent gambling sites in Thailand</w:t>
              </w:r>
            </w:hyperlink>
          </w:p>
          <w:p>
            <w:pPr>
              <w:spacing w:before="20" w:after="20"/>
              <w:ind w:left="0"/>
            </w:pPr>
            <w:hyperlink w:anchor="s_numbers">
              <w:r>
                <w:rPr>
                  <w:rFonts w:ascii="Calibri" w:hAnsi="Calibri" w:cs="Tahoma"/>
                  <w:b/>
                  <w:color w:val="1F3F63"/>
                  <w:sz w:val="20"/>
                  <w:szCs w:val="20"/>
                  <w:bCs w:val="1"/>
                </w:rPr>
                <w:t>The numbers</w:t>
              </w:r>
            </w:hyperlink>
          </w:p>
          <w:p>
            <w:pPr>
              <w:spacing w:before="20" w:after="20"/>
              <w:ind w:left="397"/>
            </w:pPr>
            <w:hyperlink w:anchor="c1">
              <w:r>
                <w:rPr>
                  <w:rFonts w:ascii="Calibri" w:hAnsi="Calibri" w:cs="Tahoma"/>
                  <w:b w:val="0"/>
                  <w:color w:val="1B2733"/>
                  <w:sz w:val="19"/>
                  <w:szCs w:val="19"/>
                  <w:bCs w:val="0"/>
                </w:rPr>
                <w:t>Key counts for the pilot reporting period</w:t>
              </w:r>
            </w:hyperlink>
          </w:p>
          <w:p>
            <w:pPr>
              <w:spacing w:before="20" w:after="20"/>
              <w:ind w:left="397"/>
            </w:pPr>
            <w:hyperlink w:anchor="c2">
              <w:r>
                <w:rPr>
                  <w:rFonts w:ascii="Calibri" w:hAnsi="Calibri" w:cs="Tahoma"/>
                  <w:b w:val="0"/>
                  <w:color w:val="1B2733"/>
                  <w:sz w:val="19"/>
                  <w:szCs w:val="19"/>
                  <w:bCs w:val="0"/>
                </w:rPr>
                <w:t>URLs analysed per day</w:t>
              </w:r>
            </w:hyperlink>
          </w:p>
          <w:p>
            <w:pPr>
              <w:spacing w:before="20" w:after="20"/>
              <w:ind w:left="397"/>
            </w:pPr>
            <w:hyperlink w:anchor="c3">
              <w:r>
                <w:rPr>
                  <w:rFonts w:ascii="Calibri" w:hAnsi="Calibri" w:cs="Tahoma"/>
                  <w:b w:val="0"/>
                  <w:color w:val="1B2733"/>
                  <w:sz w:val="19"/>
                  <w:szCs w:val="19"/>
                  <w:bCs w:val="0"/>
                </w:rPr>
                <w:t>Status distribution</w:t>
              </w:r>
            </w:hyperlink>
          </w:p>
          <w:p>
            <w:pPr>
              <w:spacing w:before="20" w:after="20"/>
              <w:ind w:left="397"/>
            </w:pPr>
            <w:hyperlink w:anchor="c4">
              <w:r>
                <w:rPr>
                  <w:rFonts w:ascii="Calibri" w:hAnsi="Calibri" w:cs="Tahoma"/>
                  <w:b w:val="0"/>
                  <w:color w:val="1B2733"/>
                  <w:sz w:val="19"/>
                  <w:szCs w:val="19"/>
                  <w:bCs w:val="0"/>
                </w:rPr>
                <w:t>Top 10 URL suffixes</w:t>
              </w:r>
            </w:hyperlink>
          </w:p>
          <w:p>
            <w:pPr>
              <w:spacing w:before="20" w:after="20"/>
              <w:ind w:left="0"/>
            </w:pPr>
            <w:hyperlink w:anchor="s_sub">
              <w:r>
                <w:rPr>
                  <w:rFonts w:ascii="Calibri" w:hAnsi="Calibri" w:cs="Tahoma"/>
                  <w:b/>
                  <w:color w:val="1F3F63"/>
                  <w:sz w:val="20"/>
                  <w:szCs w:val="20"/>
                  <w:bCs w:val="1"/>
                </w:rPr>
                <w:t>Subcategories</w:t>
              </w:r>
            </w:hyperlink>
          </w:p>
          <w:p>
            <w:pPr>
              <w:spacing w:before="20" w:after="20"/>
              <w:ind w:left="397"/>
            </w:pPr>
            <w:hyperlink w:anchor="d1">
              <w:r>
                <w:rPr>
                  <w:rFonts w:ascii="Calibri" w:hAnsi="Calibri" w:cs="Tahoma"/>
                  <w:b w:val="0"/>
                  <w:color w:val="1B2733"/>
                  <w:sz w:val="19"/>
                  <w:szCs w:val="19"/>
                  <w:bCs w:val="0"/>
                </w:rPr>
                <w:t>Gambling sites by product subcategory</w:t>
              </w:r>
            </w:hyperlink>
          </w:p>
          <w:p>
            <w:pPr>
              <w:spacing w:before="20" w:after="20"/>
              <w:ind w:left="397"/>
            </w:pPr>
            <w:hyperlink w:anchor="d2">
              <w:r>
                <w:rPr>
                  <w:rFonts w:ascii="Calibri" w:hAnsi="Calibri" w:cs="Tahoma"/>
                  <w:b w:val="0"/>
                  <w:color w:val="1B2733"/>
                  <w:sz w:val="19"/>
                  <w:szCs w:val="19"/>
                  <w:bCs w:val="0"/>
                </w:rPr>
                <w:t>Assignment method by subcategory</w:t>
              </w:r>
            </w:hyperlink>
          </w:p>
          <w:p>
            <w:pPr>
              <w:spacing w:before="20" w:after="20"/>
              <w:ind w:left="397"/>
            </w:pPr>
            <w:hyperlink w:anchor="d3">
              <w:r>
                <w:rPr>
                  <w:rFonts w:ascii="Calibri" w:hAnsi="Calibri" w:cs="Tahoma"/>
                  <w:b w:val="0"/>
                  <w:color w:val="1B2733"/>
                  <w:sz w:val="19"/>
                  <w:szCs w:val="19"/>
                  <w:bCs w:val="0"/>
                </w:rPr>
                <w:t>Subcategory table</w:t>
              </w:r>
            </w:hyperlink>
          </w:p>
          <w:p>
            <w:pPr>
              <w:spacing w:before="20" w:after="20"/>
              <w:ind w:left="397"/>
            </w:pPr>
            <w:hyperlink w:anchor="d4">
              <w:r>
                <w:rPr>
                  <w:rFonts w:ascii="Calibri" w:hAnsi="Calibri" w:cs="Tahoma"/>
                  <w:b w:val="0"/>
                  <w:color w:val="1B2733"/>
                  <w:sz w:val="19"/>
                  <w:szCs w:val="19"/>
                  <w:bCs w:val="0"/>
                </w:rPr>
                <w:t>Heat map: keyword by subcategory</w:t>
              </w:r>
            </w:hyperlink>
          </w:p>
          <w:p>
            <w:pPr>
              <w:spacing w:before="20" w:after="20"/>
              <w:ind w:left="397"/>
            </w:pPr>
            <w:hyperlink w:anchor="d5">
              <w:r>
                <w:rPr>
                  <w:rFonts w:ascii="Calibri" w:hAnsi="Calibri" w:cs="Tahoma"/>
                  <w:b w:val="0"/>
                  <w:color w:val="1B2733"/>
                  <w:sz w:val="19"/>
                  <w:szCs w:val="19"/>
                  <w:bCs w:val="0"/>
                </w:rPr>
                <w:t>Heat map: signal tag by subcategory</w:t>
              </w:r>
            </w:hyperlink>
          </w:p>
          <w:p>
            <w:pPr>
              <w:spacing w:before="20" w:after="20"/>
              <w:ind w:left="0"/>
            </w:pPr>
            <w:hyperlink w:anchor="s_brands">
              <w:r>
                <w:rPr>
                  <w:rFonts w:ascii="Calibri" w:hAnsi="Calibri" w:cs="Tahoma"/>
                  <w:b/>
                  <w:color w:val="1F3F63"/>
                  <w:sz w:val="20"/>
                  <w:szCs w:val="20"/>
                  <w:bCs w:val="1"/>
                </w:rPr>
                <w:t>Brands and clustering</w:t>
              </w:r>
            </w:hyperlink>
          </w:p>
          <w:p>
            <w:pPr>
              <w:spacing w:before="20" w:after="20"/>
              <w:ind w:left="397"/>
            </w:pPr>
            <w:hyperlink w:anchor="e0">
              <w:r>
                <w:rPr>
                  <w:rFonts w:ascii="Calibri" w:hAnsi="Calibri" w:cs="Tahoma"/>
                  <w:b w:val="0"/>
                  <w:color w:val="1B2733"/>
                  <w:sz w:val="19"/>
                  <w:szCs w:val="19"/>
                  <w:bCs w:val="0"/>
                </w:rPr>
                <w:t>What brand clusters are</w:t>
              </w:r>
            </w:hyperlink>
          </w:p>
          <w:p>
            <w:pPr>
              <w:spacing w:before="20" w:after="20"/>
              <w:ind w:left="397"/>
            </w:pPr>
            <w:hyperlink w:anchor="e1">
              <w:r>
                <w:rPr>
                  <w:rFonts w:ascii="Calibri" w:hAnsi="Calibri" w:cs="Tahoma"/>
                  <w:b w:val="0"/>
                  <w:color w:val="1B2733"/>
                  <w:sz w:val="19"/>
                  <w:szCs w:val="19"/>
                  <w:bCs w:val="0"/>
                </w:rPr>
                <w:t>Cluster counts</w:t>
              </w:r>
            </w:hyperlink>
          </w:p>
          <w:p>
            <w:pPr>
              <w:spacing w:before="20" w:after="20"/>
              <w:ind w:left="397"/>
            </w:pPr>
            <w:hyperlink w:anchor="e2">
              <w:r>
                <w:rPr>
                  <w:rFonts w:ascii="Calibri" w:hAnsi="Calibri" w:cs="Tahoma"/>
                  <w:b w:val="0"/>
                  <w:color w:val="1B2733"/>
                  <w:sz w:val="19"/>
                  <w:szCs w:val="19"/>
                  <w:bCs w:val="0"/>
                </w:rPr>
                <w:t>Top 15 brand clusters by URL count</w:t>
              </w:r>
            </w:hyperlink>
          </w:p>
          <w:p>
            <w:pPr>
              <w:spacing w:before="20" w:after="20"/>
              <w:ind w:left="397"/>
            </w:pPr>
            <w:hyperlink w:anchor="e3">
              <w:r>
                <w:rPr>
                  <w:rFonts w:ascii="Calibri" w:hAnsi="Calibri" w:cs="Tahoma"/>
                  <w:b w:val="0"/>
                  <w:color w:val="1B2733"/>
                  <w:sz w:val="19"/>
                  <w:szCs w:val="19"/>
                  <w:bCs w:val="0"/>
                </w:rPr>
                <w:t>Heat map: brand cluster by subcategory</w:t>
              </w:r>
            </w:hyperlink>
          </w:p>
          <w:p>
            <w:pPr>
              <w:spacing w:before="20" w:after="20"/>
              <w:ind w:left="397"/>
            </w:pPr>
            <w:hyperlink w:anchor="e4">
              <w:r>
                <w:rPr>
                  <w:rFonts w:ascii="Calibri" w:hAnsi="Calibri" w:cs="Tahoma"/>
                  <w:b w:val="0"/>
                  <w:color w:val="1B2733"/>
                  <w:sz w:val="19"/>
                  <w:szCs w:val="19"/>
                  <w:bCs w:val="0"/>
                </w:rPr>
                <w:t>Cluster expansion: 49m</w:t>
              </w:r>
            </w:hyperlink>
          </w:p>
          <w:p>
            <w:pPr>
              <w:spacing w:before="20" w:after="20"/>
              <w:ind w:left="397"/>
            </w:pPr>
            <w:hyperlink w:anchor="e5">
              <w:r>
                <w:rPr>
                  <w:rFonts w:ascii="Calibri" w:hAnsi="Calibri" w:cs="Tahoma"/>
                  <w:b w:val="0"/>
                  <w:color w:val="1B2733"/>
                  <w:sz w:val="19"/>
                  <w:szCs w:val="19"/>
                  <w:bCs w:val="0"/>
                </w:rPr>
                <w:t>Clusters spanning multiple subcategories</w:t>
              </w:r>
            </w:hyperlink>
          </w:p>
          <w:p>
            <w:pPr>
              <w:spacing w:before="20" w:after="20"/>
              <w:ind w:left="397"/>
            </w:pPr>
            <w:hyperlink w:anchor="e6">
              <w:r>
                <w:rPr>
                  <w:rFonts w:ascii="Calibri" w:hAnsi="Calibri" w:cs="Tahoma"/>
                  <w:b w:val="0"/>
                  <w:color w:val="1B2733"/>
                  <w:sz w:val="19"/>
                  <w:szCs w:val="19"/>
                  <w:bCs w:val="0"/>
                </w:rPr>
                <w:t>Clusters rotating top-level domains</w:t>
              </w:r>
            </w:hyperlink>
          </w:p>
          <w:p>
            <w:pPr>
              <w:spacing w:before="20" w:after="20"/>
              <w:ind w:left="397"/>
            </w:pPr>
            <w:hyperlink w:anchor="e7">
              <w:r>
                <w:rPr>
                  <w:rFonts w:ascii="Calibri" w:hAnsi="Calibri" w:cs="Tahoma"/>
                  <w:b w:val="0"/>
                  <w:color w:val="1B2733"/>
                  <w:sz w:val="19"/>
                  <w:szCs w:val="19"/>
                  <w:bCs w:val="0"/>
                </w:rPr>
                <w:t>Possible operator linkage</w:t>
              </w:r>
            </w:hyperlink>
          </w:p>
          <w:p>
            <w:pPr>
              <w:spacing w:before="20" w:after="20"/>
              <w:ind w:left="397"/>
            </w:pPr>
            <w:hyperlink w:anchor="e8">
              <w:r>
                <w:rPr>
                  <w:rFonts w:ascii="Calibri" w:hAnsi="Calibri" w:cs="Tahoma"/>
                  <w:b w:val="0"/>
                  <w:color w:val="1B2733"/>
                  <w:sz w:val="19"/>
                  <w:szCs w:val="19"/>
                  <w:bCs w:val="0"/>
                </w:rPr>
                <w:t>Naming conventions</w:t>
              </w:r>
            </w:hyperlink>
          </w:p>
          <w:p>
            <w:pPr>
              <w:spacing w:before="20" w:after="20"/>
              <w:ind w:left="397"/>
            </w:pPr>
            <w:hyperlink w:anchor="e9">
              <w:r>
                <w:rPr>
                  <w:rFonts w:ascii="Calibri" w:hAnsi="Calibri" w:cs="Tahoma"/>
                  <w:b w:val="0"/>
                  <w:color w:val="1B2733"/>
                  <w:sz w:val="19"/>
                  <w:szCs w:val="19"/>
                  <w:bCs w:val="0"/>
                </w:rPr>
                <w:t>Structure: direct, redirect and variant</w:t>
              </w:r>
            </w:hyperlink>
          </w:p>
          <w:p>
            <w:pPr>
              <w:spacing w:before="20" w:after="20"/>
              <w:ind w:left="397"/>
            </w:pPr>
            <w:hyperlink w:anchor="e10">
              <w:r>
                <w:rPr>
                  <w:rFonts w:ascii="Calibri" w:hAnsi="Calibri" w:cs="Tahoma"/>
                  <w:b w:val="0"/>
                  <w:color w:val="1B2733"/>
                  <w:sz w:val="19"/>
                  <w:szCs w:val="19"/>
                  <w:bCs w:val="0"/>
                </w:rPr>
                <w:t>Redirect propagation: www.min88.top</w:t>
              </w:r>
            </w:hyperlink>
          </w:p>
          <w:p>
            <w:pPr>
              <w:spacing w:before="20" w:after="20"/>
              <w:ind w:left="0"/>
            </w:pPr>
            <w:hyperlink w:anchor="s_rank">
              <w:r>
                <w:rPr>
                  <w:rFonts w:ascii="Calibri" w:hAnsi="Calibri" w:cs="Tahoma"/>
                  <w:b/>
                  <w:color w:val="1F3F63"/>
                  <w:sz w:val="20"/>
                  <w:szCs w:val="20"/>
                  <w:bCs w:val="1"/>
                </w:rPr>
                <w:t>Ranking</w:t>
              </w:r>
            </w:hyperlink>
          </w:p>
          <w:p>
            <w:pPr>
              <w:spacing w:before="20" w:after="20"/>
              <w:ind w:left="397"/>
            </w:pPr>
            <w:hyperlink w:anchor="f1">
              <w:r>
                <w:rPr>
                  <w:rFonts w:ascii="Calibri" w:hAnsi="Calibri" w:cs="Tahoma"/>
                  <w:b w:val="0"/>
                  <w:color w:val="1B2733"/>
                  <w:sz w:val="19"/>
                  <w:szCs w:val="19"/>
                  <w:bCs w:val="0"/>
                </w:rPr>
                <w:t>Gambling ranking</w:t>
              </w:r>
            </w:hyperlink>
          </w:p>
          <w:p>
            <w:pPr>
              <w:spacing w:before="20" w:after="20"/>
              <w:ind w:left="0"/>
            </w:pPr>
            <w:hyperlink w:anchor="s_ins">
              <w:r>
                <w:rPr>
                  <w:rFonts w:ascii="Calibri" w:hAnsi="Calibri" w:cs="Tahoma"/>
                  <w:b/>
                  <w:color w:val="1F3F63"/>
                  <w:sz w:val="20"/>
                  <w:szCs w:val="20"/>
                  <w:bCs w:val="1"/>
                </w:rPr>
                <w:t>Key insights</w:t>
              </w:r>
            </w:hyperlink>
          </w:p>
          <w:p>
            <w:pPr>
              <w:spacing w:before="20" w:after="20"/>
              <w:ind w:left="397"/>
            </w:pPr>
            <w:hyperlink w:anchor="g1">
              <w:r>
                <w:rPr>
                  <w:rFonts w:ascii="Calibri" w:hAnsi="Calibri" w:cs="Tahoma"/>
                  <w:b w:val="0"/>
                  <w:color w:val="1B2733"/>
                  <w:sz w:val="19"/>
                  <w:szCs w:val="19"/>
                  <w:bCs w:val="0"/>
                </w:rPr>
                <w:t>Scale of the analysis</w:t>
              </w:r>
            </w:hyperlink>
          </w:p>
          <w:p>
            <w:pPr>
              <w:spacing w:before="20" w:after="20"/>
              <w:ind w:left="397"/>
            </w:pPr>
            <w:hyperlink w:anchor="g2">
              <w:r>
                <w:rPr>
                  <w:rFonts w:ascii="Calibri" w:hAnsi="Calibri" w:cs="Tahoma"/>
                  <w:b w:val="0"/>
                  <w:color w:val="1B2733"/>
                  <w:sz w:val="19"/>
                  <w:szCs w:val="19"/>
                  <w:bCs w:val="0"/>
                </w:rPr>
                <w:t>What is being offered</w:t>
              </w:r>
            </w:hyperlink>
          </w:p>
          <w:p>
            <w:pPr>
              <w:spacing w:before="20" w:after="20"/>
              <w:ind w:left="397"/>
            </w:pPr>
            <w:hyperlink w:anchor="g3">
              <w:r>
                <w:rPr>
                  <w:rFonts w:ascii="Calibri" w:hAnsi="Calibri" w:cs="Tahoma"/>
                  <w:b w:val="0"/>
                  <w:color w:val="1B2733"/>
                  <w:sz w:val="19"/>
                  <w:szCs w:val="19"/>
                  <w:bCs w:val="0"/>
                </w:rPr>
                <w:t>Brand clustering</w:t>
              </w:r>
            </w:hyperlink>
          </w:p>
          <w:p>
            <w:pPr>
              <w:spacing w:before="20" w:after="20"/>
              <w:ind w:left="397"/>
            </w:pPr>
            <w:hyperlink w:anchor="g4">
              <w:r>
                <w:rPr>
                  <w:rFonts w:ascii="Calibri" w:hAnsi="Calibri" w:cs="Tahoma"/>
                  <w:b w:val="0"/>
                  <w:color w:val="1B2733"/>
                  <w:sz w:val="19"/>
                  <w:szCs w:val="19"/>
                  <w:bCs w:val="0"/>
                </w:rPr>
                <w:t>How operators expand and promote their domains</w:t>
              </w:r>
            </w:hyperlink>
          </w:p>
          <w:p>
            <w:pPr>
              <w:spacing w:before="20" w:after="20"/>
              <w:ind w:left="397"/>
            </w:pPr>
            <w:hyperlink w:anchor="g5">
              <w:r>
                <w:rPr>
                  <w:rFonts w:ascii="Calibri" w:hAnsi="Calibri" w:cs="Tahoma"/>
                  <w:b w:val="0"/>
                  <w:color w:val="1B2733"/>
                  <w:sz w:val="19"/>
                  <w:szCs w:val="19"/>
                  <w:bCs w:val="0"/>
                </w:rPr>
                <w:t>Enforcement position</w:t>
              </w:r>
            </w:hyperlink>
          </w:p>
          <w:p>
            <w:pPr>
              <w:spacing w:after="0"/>
            </w:pPr>
            <w:r>
              <w:fldChar w:fldCharType="end"/>
            </w:r>
          </w:p>
        </w:tc>
      </w:tr>
    </w:tbl>
    <w:sectPr w:rsidR="00FC693F" w:rsidRPr="0006063C" w:rsidSect="00034616">
      <w:footerReference w:type="first" r:id="rId9"/>
      <w:headerReference w:type="default" r:id="rId10"/>
      <w:footerReference w:type="default" r:id="rId11"/>
      <w:pgSz w:w="11906" w:h="16838"/>
      <w:pgMar w:top="1134" w:right="1417" w:bottom="1020" w:left="1417" w:header="567" w:footer="567" w:gutter="0"/>
      <w:cols w:space="720"/>
      <w:titlePg/>
      <w:docGrid w:linePitch="360"/>
    </w:sectPr>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00" w:name="a_exec"/>
            <w:pPr>
              <w:pStyle w:val="Heading2"/>
            </w:pPr>
            <w:r>
              <w:rPr>
                <w:rFonts w:ascii="Calibri" w:hAnsi="Calibri" w:cs="Tahoma"/>
                <w:b/>
                <w:color w:val="1F3F63"/>
                <w:sz w:val="23"/>
                <w:szCs w:val="23"/>
                <w:bCs w:val="1"/>
              </w:rPr>
              <w:t>Executive summary</w:t>
            </w:r>
            <w:bookmarkEnd w:id="1000"/>
          </w:p>
          <w:p>
            <w:pPr>
              <w:spacing w:before="40" w:after="60" w:line="293" w:lineRule="auto"/>
            </w:pPr>
            <w:r>
              <w:rPr>
                <w:rFonts w:ascii="Calibri" w:hAnsi="Calibri" w:cs="Tahoma"/>
                <w:b/>
                <w:color w:val="1F3F63"/>
                <w:sz w:val="20"/>
                <w:szCs w:val="20"/>
                <w:bCs w:val="1"/>
              </w:rPr>
              <w:t>Insights and trends</w:t>
            </w:r>
          </w:p>
          <w:p>
            <w:pPr>
              <w:spacing w:before="0" w:after="100" w:line="293" w:lineRule="auto"/>
            </w:pPr>
            <w:r>
              <w:rPr>
                <w:rFonts w:ascii="Calibri" w:hAnsi="Calibri" w:cs="Tahoma"/>
                <w:b w:val="0"/>
                <w:color w:val="1B2733"/>
                <w:sz w:val="20"/>
                <w:szCs w:val="20"/>
                <w:bCs w:val="0"/>
              </w:rPr>
              <w:t>SICPADetect analysed 24,605 distinct URLs during the pilot reporting period, 4 Sep 2026 to 7 Oct 2026, and classified 11,648 of them, 47.3%, as gambling. The remaining URLs were classified as not gambling.</w:t>
            </w:r>
          </w:p>
          <w:p>
            <w:pPr>
              <w:spacing w:before="0" w:after="100" w:line="293" w:lineRule="auto"/>
            </w:pPr>
            <w:r>
              <w:rPr>
                <w:rFonts w:ascii="Calibri" w:hAnsi="Calibri" w:cs="Tahoma"/>
                <w:b w:val="0"/>
                <w:color w:val="1B2733"/>
                <w:sz w:val="20"/>
                <w:szCs w:val="20"/>
                <w:bCs w:val="0"/>
              </w:rPr>
              <w:t>The two largest product subcategories are General Gambling at 25.5% of gambling rows and Slots at 25.1%. No single category accounts for a majority of the gambling set. Subcategory figures based on model inference are indicative.</w:t>
            </w:r>
          </w:p>
          <w:p>
            <w:pPr>
              <w:spacing w:before="0" w:after="100" w:line="293" w:lineRule="auto"/>
            </w:pPr>
            <w:r>
              <w:rPr>
                <w:rFonts w:ascii="Calibri" w:hAnsi="Calibri" w:cs="Tahoma"/>
                <w:b w:val="0"/>
                <w:color w:val="1B2733"/>
                <w:sz w:val="20"/>
                <w:szCs w:val="20"/>
                <w:bCs w:val="0"/>
              </w:rPr>
              <w:t>A brand cluster is a group of domains that appear linked by naming pattern, redirect behaviour, crawler relationship or shared brand stem. SICPADetect identified 1,102 clusters, of which 757 hold more than one domain, and the largest holds 1,586 domains. Acting on one cluster can cover many related domains. The links are indicative and do not establish common ownership.</w:t>
            </w:r>
          </w:p>
          <w:p>
            <w:pPr>
              <w:spacing w:before="0" w:after="100" w:line="293" w:lineRule="auto"/>
            </w:pPr>
            <w:r>
              <w:rPr>
                <w:rFonts w:ascii="Calibri" w:hAnsi="Calibri" w:cs="Tahoma"/>
                <w:b w:val="0"/>
                <w:color w:val="1B2733"/>
                <w:sz w:val="20"/>
                <w:szCs w:val="20"/>
                <w:bCs w:val="0"/>
              </w:rPr>
              <w:t>The identified gambling URLs show related domains registered under one brand stem, rotation across top-level domains and redirects between domains. Prioritising by cluster covers more of this activity than acting on one URL at a time.</w:t>
            </w:r>
          </w:p>
          <w:p>
            <w:pPr>
              <w:spacing w:before="0" w:after="100" w:line="293" w:lineRule="auto"/>
            </w:pPr>
            <w:r>
              <w:rPr>
                <w:rFonts w:ascii="Calibri" w:hAnsi="Calibri" w:cs="Tahoma"/>
                <w:b w:val="0"/>
                <w:color w:val="1B2733"/>
                <w:sz w:val="20"/>
                <w:szCs w:val="20"/>
                <w:bCs w:val="0"/>
              </w:rPr>
              <w:t>Only 7 URLs in the analysed set already carried blocking or enforcement indicators. MDES can therefore include most identified gambling URLs in a first prioritised enforcement pass.</w:t>
            </w:r>
          </w:p>
          <w:p>
            <w:pPr>
              <w:spacing w:before="0" w:after="100" w:line="293" w:lineRule="auto"/>
            </w:pPr>
            <w:r>
              <w:rPr>
                <w:rFonts w:ascii="Calibri" w:hAnsi="Calibri" w:cs="Tahoma"/>
                <w:b w:val="0"/>
                <w:color w:val="1B2733"/>
                <w:sz w:val="20"/>
                <w:szCs w:val="20"/>
                <w:bCs w:val="0"/>
              </w:rPr>
              <w:t>The pilot reporting period covers 34 days of operational processing, so this report states no direction of travel for the volume of gambling activity.</w:t>
            </w:r>
          </w:p>
          <w:p>
            <w:pPr>
              <w:spacing w:before="160" w:after="80" w:line="293" w:lineRule="auto"/>
            </w:pPr>
            <w:r>
              <w:rPr>
                <w:rFonts w:ascii="Calibri" w:hAnsi="Calibri" w:cs="Tahoma"/>
                <w:b/>
                <w:color w:val="1F3F63"/>
                <w:sz w:val="20"/>
                <w:szCs w:val="20"/>
                <w:bCs w:val="1"/>
              </w:rPr>
              <w:t>Key figures</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3730"/>
              <w:gridCol w:w="4207"/>
            </w:tblGrid>
            <w:tr>
              <w:trPr>
                <w:cantSplit/>
                <w:tblHeader/>
              </w:trPr>
              <w:tc>
                <w:tcPr>
                  <w:tcW w:type="dxa" w:w="3730"/>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Reporting figure</w:t>
                  </w:r>
                </w:p>
              </w:tc>
              <w:tc>
                <w:tcPr>
                  <w:tcW w:type="dxa" w:w="4207"/>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Value</w:t>
                  </w:r>
                </w:p>
              </w:tc>
            </w:tr>
            <w:tr>
              <w:trPr>
                <w:cantSplit/>
              </w:trPr>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URLs analysed</w:t>
                  </w:r>
                </w:p>
              </w:tc>
              <w:tc>
                <w:tcPr>
                  <w:tcW w:type="dxa" w:w="4207"/>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24,605</w:t>
                  </w:r>
                </w:p>
              </w:tc>
            </w:tr>
            <w:tr>
              <w:trPr>
                <w:cantSplit/>
              </w:trPr>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Gambling sites and share</w:t>
                  </w:r>
                </w:p>
              </w:tc>
              <w:tc>
                <w:tcPr>
                  <w:tcW w:type="dxa" w:w="420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11,648  (47.3%)</w:t>
                  </w:r>
                </w:p>
              </w:tc>
            </w:tr>
            <w:tr>
              <w:trPr>
                <w:cantSplit/>
              </w:trPr>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Not gambling and unreachable</w:t>
                  </w:r>
                </w:p>
              </w:tc>
              <w:tc>
                <w:tcPr>
                  <w:tcW w:type="dxa" w:w="4207"/>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12,957 not gambling</w:t>
                  </w:r>
                </w:p>
              </w:tc>
            </w:tr>
            <w:tr>
              <w:trPr>
                <w:cantSplit/>
              </w:trPr>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Brand clusters identified</w:t>
                  </w:r>
                </w:p>
              </w:tc>
              <w:tc>
                <w:tcPr>
                  <w:tcW w:type="dxa" w:w="420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1,102, of which 757 hold more than one domain</w:t>
                  </w:r>
                </w:p>
              </w:tc>
            </w:tr>
            <w:tr>
              <w:trPr>
                <w:cantSplit/>
              </w:trPr>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Clusters covering half of the identified gambling URLs</w:t>
                  </w:r>
                </w:p>
              </w:tc>
              <w:tc>
                <w:tcPr>
                  <w:tcW w:type="dxa" w:w="4207"/>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30</w:t>
                  </w:r>
                </w:p>
              </w:tc>
            </w:tr>
            <w:tr>
              <w:trPr>
                <w:cantSplit/>
              </w:trPr>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Largest cluster and its size</w:t>
                  </w:r>
                </w:p>
              </w:tc>
              <w:tc>
                <w:tcPr>
                  <w:tcW w:type="dxa" w:w="420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49m, 1,586 domains</w:t>
                  </w:r>
                </w:p>
              </w:tc>
            </w:tr>
            <w:tr>
              <w:trPr>
                <w:cantSplit/>
              </w:trPr>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Largest product subcategory and share</w:t>
                  </w:r>
                </w:p>
              </w:tc>
              <w:tc>
                <w:tcPr>
                  <w:tcW w:type="dxa" w:w="4207"/>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General Gambling  (25.5%)</w:t>
                  </w:r>
                </w:p>
              </w:tc>
            </w:tr>
            <w:tr>
              <w:trPr>
                <w:cantSplit/>
              </w:trPr>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Most common signal tag and share</w:t>
                  </w:r>
                </w:p>
              </w:tc>
              <w:tc>
                <w:tcPr>
                  <w:tcW w:type="dxa" w:w="420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Abbreviations  (37.1%)</w:t>
                  </w:r>
                </w:p>
              </w:tc>
            </w:tr>
            <w:tr>
              <w:trPr>
                <w:cantSplit/>
              </w:trPr>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URLs already showing blocking indicators</w:t>
                  </w:r>
                </w:p>
              </w:tc>
              <w:tc>
                <w:tcPr>
                  <w:tcW w:type="dxa" w:w="4207"/>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7</w:t>
                  </w:r>
                </w:p>
              </w:tc>
            </w:tr>
            <w:tr>
              <w:trPr>
                <w:cantSplit/>
              </w:trPr>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Lexicon match and model inference split</w:t>
                  </w:r>
                </w:p>
              </w:tc>
              <w:tc>
                <w:tcPr>
                  <w:tcW w:type="dxa" w:w="420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428 by lexicon match, 11,220 by model inference</w:t>
                  </w:r>
                </w:p>
              </w:tc>
            </w:tr>
          </w:tbl>
          <w:p/>
          <w:p>
            <w:pPr>
              <w:spacing w:before="80" w:after="0"/>
            </w:pPr>
            <w:r>
              <w:rPr>
                <w:rFonts w:ascii="Calibri" w:hAnsi="Calibri" w:cs="Tahoma"/>
                <w:b/>
                <w:color w:val="51606E"/>
                <w:sz w:val="17"/>
                <w:szCs w:val="17"/>
                <w:bCs w:val="1"/>
              </w:rPr>
              <w:t xml:space="preserve">Table 1. </w:t>
            </w:r>
            <w:r>
              <w:rPr>
                <w:rFonts w:ascii="Calibri" w:hAnsi="Calibri" w:cs="Tahoma"/>
                <w:color w:val="51606E"/>
                <w:sz w:val="17"/>
                <w:szCs w:val="17"/>
              </w:rPr>
              <w:t>Headline figures for the pilot reporting period.</w:t>
            </w:r>
          </w:p>
          <w:p>
            <w:pPr>
              <w:spacing w:before="80" w:after="0"/>
            </w:pPr>
            <w:r>
              <w:rPr>
                <w:rFonts w:ascii="Calibri" w:hAnsi="Calibri" w:cs="Tahoma"/>
                <w:color w:val="51606E"/>
                <w:sz w:val="17"/>
                <w:szCs w:val="17"/>
              </w:rPr>
              <w:t>“URLs analysed” counts distinct URLs kept in the dataset after collection, filtering, deduplication and analysis. It does not count raw crawl attempts.</w:t>
            </w:r>
          </w:p>
        </w:tc>
      </w:tr>
    </w:tbl>
    <w:p>
      <w:pPr>
        <w:spacing w:after="120"/>
      </w:pPr>
    </w:p>
    <w:p>
      <w:bookmarkStart w:id="1001" w:name="s_model"/>
      <w:pPr>
        <w:pStyle w:val="Heading1"/>
        <w:pBdr>
          <w:bottom w:val="single" w:sz="6" w:space="4" w:color="1F3F63"/>
        </w:pBdr>
      </w:pPr>
      <w:r>
        <w:rPr>
          <w:rFonts w:ascii="Calibri" w:hAnsi="Calibri" w:cs="Tahoma"/>
          <w:b/>
          <w:color w:val="1F3F63"/>
          <w:sz w:val="30"/>
          <w:szCs w:val="30"/>
          <w:bCs w:val="1"/>
        </w:rPr>
        <w:t>Model Insights</w:t>
      </w:r>
      <w:bookmarkEnd w:id="1001"/>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02" w:name="mi_intro"/>
            <w:pPr>
              <w:pStyle w:val="Heading2"/>
            </w:pPr>
            <w:r>
              <w:rPr>
                <w:rFonts w:ascii="Calibri" w:hAnsi="Calibri" w:cs="Tahoma"/>
                <w:b/>
                <w:color w:val="1F3F63"/>
                <w:sz w:val="23"/>
                <w:szCs w:val="23"/>
                <w:bCs w:val="1"/>
              </w:rPr>
              <w:t>Introduction</w:t>
            </w:r>
            <w:bookmarkEnd w:id="1002"/>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03" w:name="mi_ins"/>
            <w:pPr>
              <w:pStyle w:val="Heading2"/>
            </w:pPr>
            <w:r>
              <w:rPr>
                <w:rFonts w:ascii="Calibri" w:hAnsi="Calibri" w:cs="Tahoma"/>
                <w:b/>
                <w:color w:val="1F3F63"/>
                <w:sz w:val="23"/>
                <w:szCs w:val="23"/>
                <w:bCs w:val="1"/>
              </w:rPr>
              <w:t>Insights</w:t>
            </w:r>
            <w:bookmarkEnd w:id="1003"/>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04" w:name="mi_perf"/>
            <w:pPr>
              <w:pStyle w:val="Heading2"/>
            </w:pPr>
            <w:r>
              <w:rPr>
                <w:rFonts w:ascii="Calibri" w:hAnsi="Calibri" w:cs="Tahoma"/>
                <w:b/>
                <w:color w:val="1F3F63"/>
                <w:sz w:val="23"/>
                <w:szCs w:val="23"/>
                <w:bCs w:val="1"/>
              </w:rPr>
              <w:t>Performance</w:t>
            </w:r>
            <w:bookmarkEnd w:id="1004"/>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p>
            <w:pPr>
              <w:spacing w:before="0" w:after="40" w:line="293" w:lineRule="auto"/>
            </w:pPr>
          </w:p>
        </w:tc>
      </w:tr>
    </w:tbl>
    <w:p>
      <w:pPr>
        <w:spacing w:after="120"/>
      </w:pPr>
    </w:p>
    <w:p>
      <w:bookmarkStart w:id="1005" w:name="s_prom"/>
      <w:pPr>
        <w:pStyle w:val="Heading1"/>
        <w:pBdr>
          <w:bottom w:val="single" w:sz="6" w:space="4" w:color="1F3F63"/>
        </w:pBdr>
      </w:pPr>
      <w:r>
        <w:rPr>
          <w:rFonts w:ascii="Calibri" w:hAnsi="Calibri" w:cs="Tahoma"/>
          <w:b/>
          <w:color w:val="1F3F63"/>
          <w:sz w:val="30"/>
          <w:szCs w:val="30"/>
          <w:bCs w:val="1"/>
        </w:rPr>
        <w:t>10 most prominent gambling sites in Thailand</w:t>
      </w:r>
      <w:bookmarkEnd w:id="1005"/>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06" w:name="b1"/>
            <w:pPr>
              <w:pStyle w:val="Heading2"/>
            </w:pPr>
            <w:r>
              <w:rPr>
                <w:rFonts w:ascii="Calibri" w:hAnsi="Calibri" w:cs="Tahoma"/>
                <w:b/>
                <w:color w:val="1F3F63"/>
                <w:sz w:val="23"/>
                <w:szCs w:val="23"/>
                <w:bCs w:val="1"/>
              </w:rPr>
              <w:t>10 most prominent gambling sites in Thailand</w:t>
            </w:r>
            <w:bookmarkEnd w:id="1006"/>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675"/>
              <w:gridCol w:w="1587"/>
              <w:gridCol w:w="1151"/>
              <w:gridCol w:w="794"/>
              <w:gridCol w:w="913"/>
              <w:gridCol w:w="1945"/>
              <w:gridCol w:w="873"/>
            </w:tblGrid>
            <w:tr>
              <w:trPr>
                <w:cantSplit/>
                <w:tblHeader/>
              </w:trPr>
              <w:tc>
                <w:tcPr>
                  <w:tcW w:type="dxa" w:w="675"/>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5"/>
                      <w:szCs w:val="15"/>
                      <w:bCs w:val="1"/>
                    </w:rPr>
                    <w:t>Rank</w:t>
                  </w:r>
                </w:p>
              </w:tc>
              <w:tc>
                <w:tcPr>
                  <w:tcW w:type="dxa" w:w="1587"/>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5"/>
                      <w:szCs w:val="15"/>
                      <w:bCs w:val="1"/>
                    </w:rPr>
                    <w:t>URL</w:t>
                  </w:r>
                </w:p>
              </w:tc>
              <w:tc>
                <w:tcPr>
                  <w:tcW w:type="dxa" w:w="1151"/>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5"/>
                      <w:szCs w:val="15"/>
                      <w:bCs w:val="1"/>
                    </w:rPr>
                    <w:t>Domain</w:t>
                  </w:r>
                </w:p>
              </w:tc>
              <w:tc>
                <w:tcPr>
                  <w:tcW w:type="dxa" w:w="794"/>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5"/>
                      <w:szCs w:val="15"/>
                      <w:bCs w:val="1"/>
                    </w:rPr>
                    <w:t>Brand cluster</w:t>
                  </w:r>
                </w:p>
              </w:tc>
              <w:tc>
                <w:tcPr>
                  <w:tcW w:type="dxa" w:w="913"/>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5"/>
                      <w:szCs w:val="15"/>
                      <w:bCs w:val="1"/>
                    </w:rPr>
                    <w:t>Subcategory</w:t>
                  </w:r>
                </w:p>
              </w:tc>
              <w:tc>
                <w:tcPr>
                  <w:tcW w:type="dxa" w:w="1945"/>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5"/>
                      <w:szCs w:val="15"/>
                      <w:bCs w:val="1"/>
                    </w:rPr>
                    <w:t>Thai-targeting evidence</w:t>
                  </w:r>
                </w:p>
              </w:tc>
              <w:tc>
                <w:tcPr>
                  <w:tcW w:type="dxa" w:w="873"/>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5"/>
                      <w:szCs w:val="15"/>
                      <w:bCs w:val="1"/>
                    </w:rPr>
                    <w:t>Source</w:t>
                  </w:r>
                </w:p>
              </w:tc>
            </w:tr>
            <w:tr>
              <w:trPr>
                <w:cantSplit/>
              </w:trPr>
              <w:tc>
                <w:tcPr>
                  <w:tcW w:type="dxa" w:w="67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221,001</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https://suriyathai.net/</w:t>
                  </w:r>
                </w:p>
              </w:tc>
              <w:tc>
                <w:tcPr>
                  <w:tcW w:type="dxa" w:w="1151"/>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suriyathai.net</w:t>
                  </w:r>
                </w:p>
              </w:tc>
              <w:tc>
                <w:tcPr>
                  <w:tcW w:type="dxa" w:w="794"/>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suriya</w:t>
                  </w:r>
                </w:p>
              </w:tc>
              <w:tc>
                <w:tcPr>
                  <w:tcW w:type="dxa" w:w="91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General Gambling</w:t>
                  </w:r>
                </w:p>
              </w:tc>
              <w:tc>
                <w:tcPr>
                  <w:tcW w:type="dxa" w:w="194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Thai script: สมัครสมาชิก</w:t>
                  </w:r>
                </w:p>
              </w:tc>
              <w:tc>
                <w:tcPr>
                  <w:tcW w:type="dxa" w:w="87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Analyst-enriched</w:t>
                  </w:r>
                </w:p>
              </w:tc>
            </w:tr>
            <w:tr>
              <w:trPr>
                <w:cantSplit/>
              </w:trPr>
              <w:tc>
                <w:tcPr>
                  <w:tcW w:type="dxa" w:w="6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733,816</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https://707jili.com/</w:t>
                  </w:r>
                </w:p>
              </w:tc>
              <w:tc>
                <w:tcPr>
                  <w:tcW w:type="dxa" w:w="115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707jili.com</w:t>
                  </w:r>
                </w:p>
              </w:tc>
              <w:tc>
                <w:tcPr>
                  <w:tcW w:type="dxa" w:w="79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707jili</w:t>
                  </w:r>
                </w:p>
              </w:tc>
              <w:tc>
                <w:tcPr>
                  <w:tcW w:type="dxa" w:w="91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Slots</w:t>
                  </w:r>
                </w:p>
              </w:tc>
              <w:tc>
                <w:tcPr>
                  <w:tcW w:type="dxa" w:w="194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Thai script: สล็อตออนไลน์ สล็อตเว็บตรง</w:t>
                  </w:r>
                </w:p>
              </w:tc>
              <w:tc>
                <w:tcPr>
                  <w:tcW w:type="dxa" w:w="87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Crawler variant</w:t>
                  </w:r>
                </w:p>
              </w:tc>
            </w:tr>
            <w:tr>
              <w:trPr>
                <w:cantSplit/>
              </w:trPr>
              <w:tc>
                <w:tcPr>
                  <w:tcW w:type="dxa" w:w="67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739,727</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https://play-tga.net/</w:t>
                  </w:r>
                </w:p>
              </w:tc>
              <w:tc>
                <w:tcPr>
                  <w:tcW w:type="dxa" w:w="1151"/>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play-tga.net</w:t>
                  </w:r>
                </w:p>
              </w:tc>
              <w:tc>
                <w:tcPr>
                  <w:tcW w:type="dxa" w:w="794"/>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playtba</w:t>
                  </w:r>
                </w:p>
              </w:tc>
              <w:tc>
                <w:tcPr>
                  <w:tcW w:type="dxa" w:w="91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Baccarat</w:t>
                  </w:r>
                </w:p>
              </w:tc>
              <w:tc>
                <w:tcPr>
                  <w:tcW w:type="dxa" w:w="194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Thai script: รับโบนัสทุกวัน</w:t>
                  </w:r>
                </w:p>
              </w:tc>
              <w:tc>
                <w:tcPr>
                  <w:tcW w:type="dxa" w:w="87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Analyst-enriched</w:t>
                  </w:r>
                </w:p>
              </w:tc>
            </w:tr>
            <w:tr>
              <w:trPr>
                <w:cantSplit/>
              </w:trPr>
              <w:tc>
                <w:tcPr>
                  <w:tcW w:type="dxa" w:w="6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756,681</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https://www.9ufa.vip/</w:t>
                  </w:r>
                </w:p>
              </w:tc>
              <w:tc>
                <w:tcPr>
                  <w:tcW w:type="dxa" w:w="115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9ufa.vip</w:t>
                  </w:r>
                </w:p>
              </w:tc>
              <w:tc>
                <w:tcPr>
                  <w:tcW w:type="dxa" w:w="79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9ufa</w:t>
                  </w:r>
                </w:p>
              </w:tc>
              <w:tc>
                <w:tcPr>
                  <w:tcW w:type="dxa" w:w="91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General Gambling</w:t>
                  </w:r>
                </w:p>
              </w:tc>
              <w:tc>
                <w:tcPr>
                  <w:tcW w:type="dxa" w:w="194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Thai script: สมาชิกใหม่ เครดิตฟรี</w:t>
                  </w:r>
                </w:p>
              </w:tc>
              <w:tc>
                <w:tcPr>
                  <w:tcW w:type="dxa" w:w="87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Analyst-enriched</w:t>
                  </w:r>
                </w:p>
              </w:tc>
            </w:tr>
            <w:tr>
              <w:trPr>
                <w:cantSplit/>
              </w:trPr>
              <w:tc>
                <w:tcPr>
                  <w:tcW w:type="dxa" w:w="67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779,002</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https://dreamworld777.buzz/</w:t>
                  </w:r>
                </w:p>
              </w:tc>
              <w:tc>
                <w:tcPr>
                  <w:tcW w:type="dxa" w:w="1151"/>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dreamworld777.buzz</w:t>
                  </w:r>
                </w:p>
              </w:tc>
              <w:tc>
                <w:tcPr>
                  <w:tcW w:type="dxa" w:w="794"/>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dreamworld</w:t>
                  </w:r>
                </w:p>
              </w:tc>
              <w:tc>
                <w:tcPr>
                  <w:tcW w:type="dxa" w:w="91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Playing card</w:t>
                  </w:r>
                </w:p>
              </w:tc>
              <w:tc>
                <w:tcPr>
                  <w:tcW w:type="dxa" w:w="194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Thai script: ป๊อกเด้ง</w:t>
                  </w:r>
                </w:p>
              </w:tc>
              <w:tc>
                <w:tcPr>
                  <w:tcW w:type="dxa" w:w="87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Analyst-enriched</w:t>
                  </w:r>
                </w:p>
              </w:tc>
            </w:tr>
            <w:tr>
              <w:trPr>
                <w:cantSplit/>
              </w:trPr>
              <w:tc>
                <w:tcPr>
                  <w:tcW w:type="dxa" w:w="6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779,601</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https://e699zz.com/</w:t>
                  </w:r>
                </w:p>
              </w:tc>
              <w:tc>
                <w:tcPr>
                  <w:tcW w:type="dxa" w:w="115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e699zz.com</w:t>
                  </w:r>
                </w:p>
              </w:tc>
              <w:tc>
                <w:tcPr>
                  <w:tcW w:type="dxa" w:w="79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e699zz</w:t>
                  </w:r>
                </w:p>
              </w:tc>
              <w:tc>
                <w:tcPr>
                  <w:tcW w:type="dxa" w:w="91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General Gambling</w:t>
                  </w:r>
                </w:p>
              </w:tc>
              <w:tc>
                <w:tcPr>
                  <w:tcW w:type="dxa" w:w="194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Thai script: ฝากจันท์</w:t>
                  </w:r>
                </w:p>
              </w:tc>
              <w:tc>
                <w:tcPr>
                  <w:tcW w:type="dxa" w:w="87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Analyst-enriched</w:t>
                  </w:r>
                </w:p>
              </w:tc>
            </w:tr>
            <w:tr>
              <w:trPr>
                <w:cantSplit/>
              </w:trPr>
              <w:tc>
                <w:tcPr>
                  <w:tcW w:type="dxa" w:w="67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797,918</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https://jun8891.com/</w:t>
                  </w:r>
                </w:p>
              </w:tc>
              <w:tc>
                <w:tcPr>
                  <w:tcW w:type="dxa" w:w="1151"/>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jun8891.com</w:t>
                  </w:r>
                </w:p>
              </w:tc>
              <w:tc>
                <w:tcPr>
                  <w:tcW w:type="dxa" w:w="794"/>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jun</w:t>
                  </w:r>
                </w:p>
              </w:tc>
              <w:tc>
                <w:tcPr>
                  <w:tcW w:type="dxa" w:w="91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Playing card</w:t>
                  </w:r>
                </w:p>
              </w:tc>
              <w:tc>
                <w:tcPr>
                  <w:tcW w:type="dxa" w:w="194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Thai script: สมัครเล่นรับ</w:t>
                  </w:r>
                </w:p>
              </w:tc>
              <w:tc>
                <w:tcPr>
                  <w:tcW w:type="dxa" w:w="87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Crawler variant</w:t>
                  </w:r>
                </w:p>
              </w:tc>
            </w:tr>
            <w:tr>
              <w:trPr>
                <w:cantSplit/>
              </w:trPr>
              <w:tc>
                <w:tcPr>
                  <w:tcW w:type="dxa" w:w="6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808,172</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https://meetang.cc/</w:t>
                  </w:r>
                </w:p>
              </w:tc>
              <w:tc>
                <w:tcPr>
                  <w:tcW w:type="dxa" w:w="115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meetang.cc</w:t>
                  </w:r>
                </w:p>
              </w:tc>
              <w:tc>
                <w:tcPr>
                  <w:tcW w:type="dxa" w:w="79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meetang</w:t>
                  </w:r>
                </w:p>
              </w:tc>
              <w:tc>
                <w:tcPr>
                  <w:tcW w:type="dxa" w:w="91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Slots</w:t>
                  </w:r>
                </w:p>
              </w:tc>
              <w:tc>
                <w:tcPr>
                  <w:tcW w:type="dxa" w:w="194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Thai script: เกมสล็อตสนุกสุดฟิ๊ก</w:t>
                  </w:r>
                </w:p>
              </w:tc>
              <w:tc>
                <w:tcPr>
                  <w:tcW w:type="dxa" w:w="87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Analyst-enriched</w:t>
                  </w:r>
                </w:p>
              </w:tc>
            </w:tr>
            <w:tr>
              <w:trPr>
                <w:cantSplit/>
              </w:trPr>
              <w:tc>
                <w:tcPr>
                  <w:tcW w:type="dxa" w:w="67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811,629</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https://mun8.com/</w:t>
                  </w:r>
                </w:p>
              </w:tc>
              <w:tc>
                <w:tcPr>
                  <w:tcW w:type="dxa" w:w="1151"/>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mun8.com</w:t>
                  </w:r>
                </w:p>
              </w:tc>
              <w:tc>
                <w:tcPr>
                  <w:tcW w:type="dxa" w:w="794"/>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mun</w:t>
                  </w:r>
                </w:p>
              </w:tc>
              <w:tc>
                <w:tcPr>
                  <w:tcW w:type="dxa" w:w="91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Slots</w:t>
                  </w:r>
                </w:p>
              </w:tc>
              <w:tc>
                <w:tcPr>
                  <w:tcW w:type="dxa" w:w="1945"/>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Thai currency: THB</w:t>
                  </w:r>
                </w:p>
              </w:tc>
              <w:tc>
                <w:tcPr>
                  <w:tcW w:type="dxa" w:w="873"/>
                  <w:tcMar>
                    <w:top w:w="40" w:type="dxa"/>
                    <w:left w:w="68" w:type="dxa"/>
                    <w:bottom w:w="40" w:type="dxa"/>
                    <w:right w:w="68" w:type="dxa"/>
                  </w:tcMar>
                </w:tcPr>
                <w:p>
                  <w:pPr>
                    <w:spacing w:before="20" w:after="20" w:line="264" w:lineRule="auto"/>
                  </w:pPr>
                  <w:r>
                    <w:rPr>
                      <w:rFonts w:ascii="Calibri" w:hAnsi="Calibri" w:cs="Tahoma"/>
                      <w:b w:val="0"/>
                      <w:color w:val="1B2733"/>
                      <w:sz w:val="15"/>
                      <w:szCs w:val="15"/>
                      <w:bCs w:val="0"/>
                    </w:rPr>
                    <w:t>Crawler variant</w:t>
                  </w:r>
                </w:p>
              </w:tc>
            </w:tr>
            <w:tr>
              <w:trPr>
                <w:cantSplit/>
              </w:trPr>
              <w:tc>
                <w:tcPr>
                  <w:tcW w:type="dxa" w:w="6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811,871</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https://mst88.work/</w:t>
                  </w:r>
                </w:p>
              </w:tc>
              <w:tc>
                <w:tcPr>
                  <w:tcW w:type="dxa" w:w="115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mst88.work</w:t>
                  </w:r>
                </w:p>
              </w:tc>
              <w:tc>
                <w:tcPr>
                  <w:tcW w:type="dxa" w:w="79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mst</w:t>
                  </w:r>
                </w:p>
              </w:tc>
              <w:tc>
                <w:tcPr>
                  <w:tcW w:type="dxa" w:w="91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Playing card</w:t>
                  </w:r>
                </w:p>
              </w:tc>
              <w:tc>
                <w:tcPr>
                  <w:tcW w:type="dxa" w:w="194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Thai script: แจกเครดิต</w:t>
                  </w:r>
                </w:p>
              </w:tc>
              <w:tc>
                <w:tcPr>
                  <w:tcW w:type="dxa" w:w="873"/>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5"/>
                      <w:szCs w:val="15"/>
                      <w:bCs w:val="0"/>
                    </w:rPr>
                    <w:t>Redirect-derived</w:t>
                  </w:r>
                </w:p>
              </w:tc>
            </w:tr>
          </w:tbl>
          <w:p/>
          <w:p>
            <w:pPr>
              <w:spacing w:before="80" w:after="0"/>
            </w:pPr>
            <w:r>
              <w:rPr>
                <w:rFonts w:ascii="Calibri" w:hAnsi="Calibri" w:cs="Tahoma"/>
                <w:b/>
                <w:color w:val="51606E"/>
                <w:sz w:val="17"/>
                <w:szCs w:val="17"/>
                <w:bCs w:val="1"/>
              </w:rPr>
              <w:t xml:space="preserve">Table 2. </w:t>
            </w:r>
            <w:r>
              <w:rPr>
                <w:rFonts w:ascii="Calibri" w:hAnsi="Calibri" w:cs="Tahoma"/>
                <w:color w:val="51606E"/>
                <w:sz w:val="17"/>
                <w:szCs w:val="17"/>
              </w:rPr>
              <w:t>The highest ranked gambling sites carrying Thai audience evidence in their description text.</w:t>
            </w:r>
          </w:p>
          <w:p>
            <w:pPr>
              <w:spacing w:before="80" w:after="0"/>
            </w:pPr>
            <w:r>
              <w:rPr>
                <w:rFonts w:ascii="Calibri" w:hAnsi="Calibri" w:cs="Tahoma"/>
                <w:color w:val="51606E"/>
                <w:sz w:val="17"/>
                <w:szCs w:val="17"/>
              </w:rPr>
              <w:t>Rank reflects search visibility or source-feed position. It does not measure harm, revenue, user volume or enforcement priority.</w:t>
            </w:r>
          </w:p>
          <w:p>
            <w:pPr>
              <w:spacing w:before="80" w:after="0"/>
            </w:pPr>
            <w:r>
              <w:rPr>
                <w:rFonts w:ascii="Calibri" w:hAnsi="Calibri" w:cs="Tahoma"/>
                <w:color w:val="51606E"/>
                <w:sz w:val="17"/>
                <w:szCs w:val="17"/>
              </w:rPr>
              <w:t>"Analyst-enriched" means an analyst verified or added details after SICPADetect’s automated detection. SICPADetect’s detection process is automated.</w:t>
            </w:r>
          </w:p>
        </w:tc>
      </w:tr>
    </w:tbl>
    <w:p>
      <w:pPr>
        <w:spacing w:after="120"/>
      </w:pPr>
    </w:p>
    <w:p>
      <w:bookmarkStart w:id="1007" w:name="s_numbers"/>
      <w:pPr>
        <w:pStyle w:val="Heading1"/>
        <w:pBdr>
          <w:bottom w:val="single" w:sz="6" w:space="4" w:color="1F3F63"/>
        </w:pBdr>
      </w:pPr>
      <w:r>
        <w:rPr>
          <w:rFonts w:ascii="Calibri" w:hAnsi="Calibri" w:cs="Tahoma"/>
          <w:b/>
          <w:color w:val="1F3F63"/>
          <w:sz w:val="30"/>
          <w:szCs w:val="30"/>
          <w:bCs w:val="1"/>
        </w:rPr>
        <w:t>The numbers</w:t>
      </w:r>
      <w:bookmarkEnd w:id="1007"/>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13"/>
        <w:gridCol w:w="340"/>
        <w:gridCol w:w="2013"/>
        <w:gridCol w:w="340"/>
        <w:gridCol w:w="2013"/>
        <w:gridCol w:w="340"/>
        <w:gridCol w:w="2013"/>
      </w:tblGrid>
      <w:tr>
        <w:trPr>
          <w:cantSplit/>
        </w:trPr>
        <w:tc>
          <w:tcPr>
            <w:tcW w:type="dxa" w:w="2013"/>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24,605</w:t>
            </w:r>
          </w:p>
          <w:p>
            <w:pPr>
              <w:spacing w:before="0" w:after="0" w:line="264" w:lineRule="auto"/>
              <w:jc w:val="center"/>
            </w:pPr>
            <w:r>
              <w:rPr>
                <w:rFonts w:ascii="Calibri" w:hAnsi="Calibri" w:cs="Tahoma"/>
                <w:b w:val="0"/>
                <w:color w:val="51606E"/>
                <w:sz w:val="17"/>
                <w:szCs w:val="17"/>
                <w:bCs w:val="0"/>
              </w:rPr>
              <w:t>URLs analysed</w:t>
            </w:r>
          </w:p>
        </w:tc>
        <w:tc>
          <w:tcPr>
            <w:tcW w:type="dxa" w:w="340"/>
            <w:tcMar>
              <w:top w:w="0" w:type="dxa"/>
              <w:left w:w="0" w:type="dxa"/>
              <w:bottom w:w="0" w:type="dxa"/>
              <w:right w:w="0" w:type="dxa"/>
            </w:tcMar>
          </w:tcPr>
        </w:tc>
        <w:tc>
          <w:tcPr>
            <w:tcW w:type="dxa" w:w="2013"/>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11,648</w:t>
            </w:r>
          </w:p>
          <w:p>
            <w:pPr>
              <w:spacing w:before="0" w:after="0" w:line="264" w:lineRule="auto"/>
              <w:jc w:val="center"/>
            </w:pPr>
            <w:r>
              <w:rPr>
                <w:rFonts w:ascii="Calibri" w:hAnsi="Calibri" w:cs="Tahoma"/>
                <w:b w:val="0"/>
                <w:color w:val="51606E"/>
                <w:sz w:val="17"/>
                <w:szCs w:val="17"/>
                <w:bCs w:val="0"/>
              </w:rPr>
              <w:t>Gambling sites</w:t>
            </w:r>
          </w:p>
        </w:tc>
        <w:tc>
          <w:tcPr>
            <w:tcW w:type="dxa" w:w="340"/>
            <w:tcMar>
              <w:top w:w="0" w:type="dxa"/>
              <w:left w:w="0" w:type="dxa"/>
              <w:bottom w:w="0" w:type="dxa"/>
              <w:right w:w="0" w:type="dxa"/>
            </w:tcMar>
          </w:tcPr>
        </w:tc>
        <w:tc>
          <w:tcPr>
            <w:tcW w:type="dxa" w:w="2013"/>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1,102</w:t>
            </w:r>
          </w:p>
          <w:p>
            <w:pPr>
              <w:spacing w:before="0" w:after="0" w:line="264" w:lineRule="auto"/>
              <w:jc w:val="center"/>
            </w:pPr>
            <w:r>
              <w:rPr>
                <w:rFonts w:ascii="Calibri" w:hAnsi="Calibri" w:cs="Tahoma"/>
                <w:b w:val="0"/>
                <w:color w:val="51606E"/>
                <w:sz w:val="17"/>
                <w:szCs w:val="17"/>
                <w:bCs w:val="0"/>
              </w:rPr>
              <w:t>Brand clusters identified</w:t>
            </w:r>
          </w:p>
        </w:tc>
        <w:tc>
          <w:tcPr>
            <w:tcW w:type="dxa" w:w="340"/>
            <w:tcMar>
              <w:top w:w="0" w:type="dxa"/>
              <w:left w:w="0" w:type="dxa"/>
              <w:bottom w:w="0" w:type="dxa"/>
              <w:right w:w="0" w:type="dxa"/>
            </w:tcMar>
          </w:tcPr>
        </w:tc>
        <w:tc>
          <w:tcPr>
            <w:tcW w:type="dxa" w:w="2013"/>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34 days</w:t>
            </w:r>
          </w:p>
          <w:p>
            <w:pPr>
              <w:spacing w:before="0" w:after="0" w:line="264" w:lineRule="auto"/>
              <w:jc w:val="center"/>
            </w:pPr>
            <w:r>
              <w:rPr>
                <w:rFonts w:ascii="Calibri" w:hAnsi="Calibri" w:cs="Tahoma"/>
                <w:b w:val="0"/>
                <w:color w:val="51606E"/>
                <w:sz w:val="17"/>
                <w:szCs w:val="17"/>
                <w:bCs w:val="0"/>
              </w:rPr>
              <w:t>Pilot reporting period</w:t>
              <w:br/>
              <w:t>4 Sep 2026 to 7 Oct 2026</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08" w:name="c2"/>
            <w:pPr>
              <w:pStyle w:val="Heading2"/>
            </w:pPr>
            <w:r>
              <w:rPr>
                <w:rFonts w:ascii="Calibri" w:hAnsi="Calibri" w:cs="Tahoma"/>
                <w:b/>
                <w:color w:val="1F3F63"/>
                <w:sz w:val="23"/>
                <w:szCs w:val="23"/>
                <w:bCs w:val="1"/>
              </w:rPr>
              <w:t>URLs analysed per day</w:t>
            </w:r>
            <w:bookmarkEnd w:id="1008"/>
          </w:p>
          <w:p>
            <w:pPr>
              <w:keepNext/>
              <w:spacing w:before="0" w:after="120" w:line="293" w:lineRule="auto"/>
            </w:pPr>
            <w:r>
              <w:rPr>
                <w:rFonts w:ascii="Calibri" w:hAnsi="Calibri" w:cs="Tahoma"/>
                <w:b w:val="0"/>
                <w:color w:val="51606E"/>
                <w:sz w:val="19"/>
                <w:szCs w:val="19"/>
                <w:bCs w:val="0"/>
              </w:rPr>
              <w:t>Daily count of URLs analysed across the pilot reporting period. Each point is one calendar day.</w:t>
            </w:r>
          </w:p>
          <w:p>
            <w:pPr>
              <w:spacing w:before="40" w:after="0"/>
              <w:jc w:val="center"/>
            </w:pPr>
            <w:r>
              <w:drawing>
                <wp:inline xmlns:a="http://schemas.openxmlformats.org/drawingml/2006/main" xmlns:pic="http://schemas.openxmlformats.org/drawingml/2006/picture">
                  <wp:extent cx="5040000" cy="2250629"/>
                  <wp:docPr id="1" name="Picture 1"/>
                  <wp:cNvGraphicFramePr>
                    <a:graphicFrameLocks noChangeAspect="1"/>
                  </wp:cNvGraphicFramePr>
                  <a:graphic>
                    <a:graphicData uri="http://schemas.openxmlformats.org/drawingml/2006/picture">
                      <pic:pic>
                        <pic:nvPicPr>
                          <pic:cNvPr id="0" name="c2_daily.png"/>
                          <pic:cNvPicPr/>
                        </pic:nvPicPr>
                        <pic:blipFill>
                          <a:blip r:embed="rId12"/>
                          <a:stretch>
                            <a:fillRect/>
                          </a:stretch>
                        </pic:blipFill>
                        <pic:spPr>
                          <a:xfrm>
                            <a:off x="0" y="0"/>
                            <a:ext cx="5040000" cy="2250629"/>
                          </a:xfrm>
                          <a:prstGeom prst="rect"/>
                        </pic:spPr>
                      </pic:pic>
                    </a:graphicData>
                  </a:graphic>
                </wp:inline>
              </w:drawing>
            </w:r>
          </w:p>
          <w:p>
            <w:pPr>
              <w:spacing w:before="80" w:after="0"/>
            </w:pPr>
            <w:r>
              <w:rPr>
                <w:rFonts w:ascii="Calibri" w:hAnsi="Calibri" w:cs="Tahoma"/>
                <w:b/>
                <w:color w:val="51606E"/>
                <w:sz w:val="17"/>
                <w:szCs w:val="17"/>
                <w:bCs w:val="1"/>
              </w:rPr>
              <w:t xml:space="preserve">Figure 1. </w:t>
            </w:r>
            <w:r>
              <w:rPr>
                <w:rFonts w:ascii="Calibri" w:hAnsi="Calibri" w:cs="Tahoma"/>
                <w:color w:val="51606E"/>
                <w:sz w:val="17"/>
                <w:szCs w:val="17"/>
              </w:rPr>
              <w:t>Daily count of URLs analysed, 4 Sep 2026 to 7 Oct 2026.</w:t>
            </w:r>
          </w:p>
          <w:p>
            <w:pPr>
              <w:spacing w:before="80" w:after="0"/>
            </w:pPr>
            <w:r>
              <w:rPr>
                <w:rFonts w:ascii="Calibri" w:hAnsi="Calibri" w:cs="Tahoma"/>
                <w:color w:val="51606E"/>
                <w:sz w:val="17"/>
                <w:szCs w:val="17"/>
              </w:rPr>
              <w:t>Daily volumes range from 0 to 3,664 URLs a day. The variation follows crawler queue timing, source ingestion batches, deduplication, site availability, validation delays and crawl strategy changes made during the pilot, which are the normal causes of variation in a pilot of this kind. Read daily volumes as operational processing volumes. They do not measure fixed daily crawl capacity.</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09" w:name="c3"/>
            <w:pPr>
              <w:pStyle w:val="Heading2"/>
            </w:pPr>
            <w:r>
              <w:rPr>
                <w:rFonts w:ascii="Calibri" w:hAnsi="Calibri" w:cs="Tahoma"/>
                <w:b/>
                <w:color w:val="1F3F63"/>
                <w:sz w:val="23"/>
                <w:szCs w:val="23"/>
                <w:bCs w:val="1"/>
              </w:rPr>
              <w:t>Status distribution</w:t>
            </w:r>
            <w:bookmarkEnd w:id="1009"/>
          </w:p>
          <w:p>
            <w:pPr>
              <w:keepNext/>
              <w:spacing w:before="0" w:after="120" w:line="293" w:lineRule="auto"/>
            </w:pPr>
            <w:r>
              <w:rPr>
                <w:rFonts w:ascii="Calibri" w:hAnsi="Calibri" w:cs="Tahoma"/>
                <w:b w:val="0"/>
                <w:color w:val="51606E"/>
                <w:sz w:val="19"/>
                <w:szCs w:val="19"/>
                <w:bCs w:val="0"/>
              </w:rPr>
              <w:t>Share of URLs analysed by classification status. Each segment is one status and the table beneath it carries the counts.</w:t>
            </w:r>
          </w:p>
          <w:p>
            <w:pPr>
              <w:spacing w:before="40" w:after="0"/>
              <w:jc w:val="center"/>
            </w:pPr>
            <w:r>
              <w:drawing>
                <wp:inline xmlns:a="http://schemas.openxmlformats.org/drawingml/2006/main" xmlns:pic="http://schemas.openxmlformats.org/drawingml/2006/picture">
                  <wp:extent cx="5040000" cy="2516732"/>
                  <wp:docPr id="2" name="Picture 2"/>
                  <wp:cNvGraphicFramePr>
                    <a:graphicFrameLocks noChangeAspect="1"/>
                  </wp:cNvGraphicFramePr>
                  <a:graphic>
                    <a:graphicData uri="http://schemas.openxmlformats.org/drawingml/2006/picture">
                      <pic:pic>
                        <pic:nvPicPr>
                          <pic:cNvPr id="0" name="c3_status.png"/>
                          <pic:cNvPicPr/>
                        </pic:nvPicPr>
                        <pic:blipFill>
                          <a:blip r:embed="rId13"/>
                          <a:stretch>
                            <a:fillRect/>
                          </a:stretch>
                        </pic:blipFill>
                        <pic:spPr>
                          <a:xfrm>
                            <a:off x="0" y="0"/>
                            <a:ext cx="5040000" cy="2516732"/>
                          </a:xfrm>
                          <a:prstGeom prst="rect"/>
                        </pic:spPr>
                      </pic:pic>
                    </a:graphicData>
                  </a:graphic>
                </wp:inline>
              </w:drawing>
            </w:r>
          </w:p>
          <w:p>
            <w:pPr>
              <w:spacing w:before="80" w:after="0"/>
            </w:pPr>
            <w:r>
              <w:rPr>
                <w:rFonts w:ascii="Calibri" w:hAnsi="Calibri" w:cs="Tahoma"/>
                <w:b/>
                <w:color w:val="51606E"/>
                <w:sz w:val="17"/>
                <w:szCs w:val="17"/>
                <w:bCs w:val="1"/>
              </w:rPr>
              <w:t xml:space="preserve">Figure 2. </w:t>
            </w:r>
            <w:r>
              <w:rPr>
                <w:rFonts w:ascii="Calibri" w:hAnsi="Calibri" w:cs="Tahoma"/>
                <w:color w:val="51606E"/>
                <w:sz w:val="17"/>
                <w:szCs w:val="17"/>
              </w:rPr>
              <w:t>Share of URLs analysed by classification status.</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3969"/>
              <w:gridCol w:w="1984"/>
              <w:gridCol w:w="1984"/>
            </w:tblGrid>
            <w:tr>
              <w:trPr>
                <w:cantSplit/>
                <w:tblHeader/>
              </w:trPr>
              <w:tc>
                <w:tcPr>
                  <w:tcW w:type="dxa" w:w="3969"/>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Status</w:t>
                  </w:r>
                </w:p>
              </w:tc>
              <w:tc>
                <w:tcPr>
                  <w:tcW w:type="dxa" w:w="1984"/>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URLs</w:t>
                  </w:r>
                </w:p>
              </w:tc>
              <w:tc>
                <w:tcPr>
                  <w:tcW w:type="dxa" w:w="1984"/>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 of URLs analysed</w:t>
                  </w:r>
                </w:p>
              </w:tc>
            </w:tr>
            <w:tr>
              <w:trPr>
                <w:cantSplit/>
              </w:trPr>
              <w:tc>
                <w:tcPr>
                  <w:tcW w:type="dxa" w:w="396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Not gambling</w:t>
                  </w:r>
                </w:p>
              </w:tc>
              <w:tc>
                <w:tcPr>
                  <w:tcW w:type="dxa" w:w="198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12,957</w:t>
                  </w:r>
                </w:p>
              </w:tc>
              <w:tc>
                <w:tcPr>
                  <w:tcW w:type="dxa" w:w="198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52.7%</w:t>
                  </w:r>
                </w:p>
              </w:tc>
            </w:tr>
            <w:tr>
              <w:trPr>
                <w:cantSplit/>
              </w:trPr>
              <w:tc>
                <w:tcPr>
                  <w:tcW w:type="dxa" w:w="396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Gambling</w:t>
                  </w:r>
                </w:p>
              </w:tc>
              <w:tc>
                <w:tcPr>
                  <w:tcW w:type="dxa" w:w="198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11,648</w:t>
                  </w:r>
                </w:p>
              </w:tc>
              <w:tc>
                <w:tcPr>
                  <w:tcW w:type="dxa" w:w="198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47.3%</w:t>
                  </w:r>
                </w:p>
              </w:tc>
            </w:tr>
          </w:tbl>
          <w:p/>
          <w:p>
            <w:pPr>
              <w:spacing w:before="80" w:after="0"/>
            </w:pPr>
            <w:r>
              <w:rPr>
                <w:rFonts w:ascii="Calibri" w:hAnsi="Calibri" w:cs="Tahoma"/>
                <w:b/>
                <w:color w:val="51606E"/>
                <w:sz w:val="17"/>
                <w:szCs w:val="17"/>
                <w:bCs w:val="1"/>
              </w:rPr>
              <w:t xml:space="preserve">Table 3. </w:t>
            </w:r>
            <w:r>
              <w:rPr>
                <w:rFonts w:ascii="Calibri" w:hAnsi="Calibri" w:cs="Tahoma"/>
                <w:color w:val="51606E"/>
                <w:sz w:val="17"/>
                <w:szCs w:val="17"/>
              </w:rPr>
              <w:t>Classification status of every URL analysed.</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10" w:name="c4"/>
            <w:pPr>
              <w:pStyle w:val="Heading2"/>
            </w:pPr>
            <w:r>
              <w:rPr>
                <w:rFonts w:ascii="Calibri" w:hAnsi="Calibri" w:cs="Tahoma"/>
                <w:b/>
                <w:color w:val="1F3F63"/>
                <w:sz w:val="23"/>
                <w:szCs w:val="23"/>
                <w:bCs w:val="1"/>
              </w:rPr>
              <w:t>Top 10 URL suffixes</w:t>
            </w:r>
            <w:bookmarkEnd w:id="1010"/>
          </w:p>
          <w:p>
            <w:pPr>
              <w:keepNext/>
              <w:spacing w:before="0" w:after="120" w:line="293" w:lineRule="auto"/>
            </w:pPr>
            <w:r>
              <w:rPr>
                <w:rFonts w:ascii="Calibri" w:hAnsi="Calibri" w:cs="Tahoma"/>
                <w:b w:val="0"/>
                <w:color w:val="51606E"/>
                <w:sz w:val="19"/>
                <w:szCs w:val="19"/>
                <w:bCs w:val="0"/>
              </w:rPr>
              <w:t>The ten most common URL suffixes among URLs analysed. Bar length is the total count and the table separates the gambling share.</w:t>
            </w:r>
          </w:p>
          <w:p>
            <w:pPr>
              <w:spacing w:before="40" w:after="0"/>
              <w:jc w:val="center"/>
            </w:pPr>
            <w:r>
              <w:drawing>
                <wp:inline xmlns:a="http://schemas.openxmlformats.org/drawingml/2006/main" xmlns:pic="http://schemas.openxmlformats.org/drawingml/2006/picture">
                  <wp:extent cx="5040000" cy="2772271"/>
                  <wp:docPr id="3" name="Picture 3"/>
                  <wp:cNvGraphicFramePr>
                    <a:graphicFrameLocks noChangeAspect="1"/>
                  </wp:cNvGraphicFramePr>
                  <a:graphic>
                    <a:graphicData uri="http://schemas.openxmlformats.org/drawingml/2006/picture">
                      <pic:pic>
                        <pic:nvPicPr>
                          <pic:cNvPr id="0" name="c4_suffix.png"/>
                          <pic:cNvPicPr/>
                        </pic:nvPicPr>
                        <pic:blipFill>
                          <a:blip r:embed="rId14"/>
                          <a:stretch>
                            <a:fillRect/>
                          </a:stretch>
                        </pic:blipFill>
                        <pic:spPr>
                          <a:xfrm>
                            <a:off x="0" y="0"/>
                            <a:ext cx="5040000" cy="2772271"/>
                          </a:xfrm>
                          <a:prstGeom prst="rect"/>
                        </pic:spPr>
                      </pic:pic>
                    </a:graphicData>
                  </a:graphic>
                </wp:inline>
              </w:drawing>
            </w:r>
          </w:p>
          <w:p>
            <w:pPr>
              <w:spacing w:before="80" w:after="0"/>
            </w:pPr>
            <w:r>
              <w:rPr>
                <w:rFonts w:ascii="Calibri" w:hAnsi="Calibri" w:cs="Tahoma"/>
                <w:b/>
                <w:color w:val="51606E"/>
                <w:sz w:val="17"/>
                <w:szCs w:val="17"/>
                <w:bCs w:val="1"/>
              </w:rPr>
              <w:t xml:space="preserve">Figure 3. </w:t>
            </w:r>
            <w:r>
              <w:rPr>
                <w:rFonts w:ascii="Calibri" w:hAnsi="Calibri" w:cs="Tahoma"/>
                <w:color w:val="51606E"/>
                <w:sz w:val="17"/>
                <w:szCs w:val="17"/>
              </w:rPr>
              <w:t>The ten most common URL suffixes among URLs analysed.</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2064"/>
              <w:gridCol w:w="1508"/>
              <w:gridCol w:w="1508"/>
              <w:gridCol w:w="1429"/>
              <w:gridCol w:w="1429"/>
            </w:tblGrid>
            <w:tr>
              <w:trPr>
                <w:cantSplit/>
                <w:tblHeader/>
              </w:trPr>
              <w:tc>
                <w:tcPr>
                  <w:tcW w:type="dxa" w:w="2064"/>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Suffix</w:t>
                  </w:r>
                </w:p>
              </w:tc>
              <w:tc>
                <w:tcPr>
                  <w:tcW w:type="dxa" w:w="1508"/>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Total</w:t>
                  </w:r>
                </w:p>
              </w:tc>
              <w:tc>
                <w:tcPr>
                  <w:tcW w:type="dxa" w:w="1508"/>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 of all</w:t>
                  </w:r>
                </w:p>
              </w:tc>
              <w:tc>
                <w:tcPr>
                  <w:tcW w:type="dxa" w:w="1429"/>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Gambling</w:t>
                  </w:r>
                </w:p>
              </w:tc>
              <w:tc>
                <w:tcPr>
                  <w:tcW w:type="dxa" w:w="1429"/>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 gambling</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.org</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6,100</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24.8%</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11</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0.2%</w:t>
                  </w:r>
                </w:p>
              </w:tc>
            </w:tr>
            <w:tr>
              <w:trPr>
                <w:cantSplit/>
              </w:trPr>
              <w:tc>
                <w:tcPr>
                  <w:tcW w:type="dxa" w:w="206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.com</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3,799</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15.4%</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1,661</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43.7%</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.co</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2,031</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8.3%</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1,755</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86.4%</w:t>
                  </w:r>
                </w:p>
              </w:tc>
            </w:tr>
            <w:tr>
              <w:trPr>
                <w:cantSplit/>
              </w:trPr>
              <w:tc>
                <w:tcPr>
                  <w:tcW w:type="dxa" w:w="206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.net</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1,609</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6.5%</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1,034</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64.3%</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.cc</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1,126</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4.6%</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666</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59.1%</w:t>
                  </w:r>
                </w:p>
              </w:tc>
            </w:tr>
            <w:tr>
              <w:trPr>
                <w:cantSplit/>
              </w:trPr>
              <w:tc>
                <w:tcPr>
                  <w:tcW w:type="dxa" w:w="206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.vip</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1,022</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4.2%</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925</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90.5%</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.app</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820</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3.3%</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598</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72.9%</w:t>
                  </w:r>
                </w:p>
              </w:tc>
            </w:tr>
            <w:tr>
              <w:trPr>
                <w:cantSplit/>
              </w:trPr>
              <w:tc>
                <w:tcPr>
                  <w:tcW w:type="dxa" w:w="206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.pro</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752</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3.1%</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648</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86.2%</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.bet</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694</w:t>
                  </w:r>
                </w:p>
              </w:tc>
              <w:tc>
                <w:tcPr>
                  <w:tcW w:type="dxa" w:w="1508"/>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2.8%</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670</w:t>
                  </w:r>
                </w:p>
              </w:tc>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96.5%</w:t>
                  </w:r>
                </w:p>
              </w:tc>
            </w:tr>
            <w:tr>
              <w:trPr>
                <w:cantSplit/>
              </w:trPr>
              <w:tc>
                <w:tcPr>
                  <w:tcW w:type="dxa" w:w="206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.top</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625</w:t>
                  </w:r>
                </w:p>
              </w:tc>
              <w:tc>
                <w:tcPr>
                  <w:tcW w:type="dxa" w:w="150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2.5%</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325</w:t>
                  </w:r>
                </w:p>
              </w:tc>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52.0%</w:t>
                  </w:r>
                </w:p>
              </w:tc>
            </w:tr>
          </w:tbl>
          <w:p/>
          <w:p>
            <w:pPr>
              <w:spacing w:before="80" w:after="0"/>
            </w:pPr>
            <w:r>
              <w:rPr>
                <w:rFonts w:ascii="Calibri" w:hAnsi="Calibri" w:cs="Tahoma"/>
                <w:b/>
                <w:color w:val="51606E"/>
                <w:sz w:val="17"/>
                <w:szCs w:val="17"/>
                <w:bCs w:val="1"/>
              </w:rPr>
              <w:t xml:space="preserve">Table 4. </w:t>
            </w:r>
            <w:r>
              <w:rPr>
                <w:rFonts w:ascii="Calibri" w:hAnsi="Calibri" w:cs="Tahoma"/>
                <w:color w:val="51606E"/>
                <w:sz w:val="17"/>
                <w:szCs w:val="17"/>
              </w:rPr>
              <w:t>URL suffixes ranked by total count, with the gambling share of each.</w:t>
            </w:r>
          </w:p>
        </w:tc>
      </w:tr>
    </w:tbl>
    <w:p>
      <w:pPr>
        <w:spacing w:after="120"/>
      </w:pPr>
    </w:p>
    <w:p>
      <w:bookmarkStart w:id="1011" w:name="s_sub"/>
      <w:pPr>
        <w:pStyle w:val="Heading1"/>
        <w:pBdr>
          <w:bottom w:val="single" w:sz="6" w:space="4" w:color="1F3F63"/>
        </w:pBdr>
      </w:pPr>
      <w:r>
        <w:rPr>
          <w:rFonts w:ascii="Calibri" w:hAnsi="Calibri" w:cs="Tahoma"/>
          <w:b/>
          <w:color w:val="1F3F63"/>
          <w:sz w:val="30"/>
          <w:szCs w:val="30"/>
          <w:bCs w:val="1"/>
        </w:rPr>
        <w:t>Subcategories</w:t>
      </w:r>
      <w:bookmarkEnd w:id="1011"/>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12" w:name="d1"/>
            <w:pPr>
              <w:pStyle w:val="Heading2"/>
            </w:pPr>
            <w:r>
              <w:rPr>
                <w:rFonts w:ascii="Calibri" w:hAnsi="Calibri" w:cs="Tahoma"/>
                <w:b/>
                <w:color w:val="1F3F63"/>
                <w:sz w:val="23"/>
                <w:szCs w:val="23"/>
                <w:bCs w:val="1"/>
              </w:rPr>
              <w:t>Gambling sites by product subcategory</w:t>
            </w:r>
            <w:bookmarkEnd w:id="1012"/>
          </w:p>
          <w:p>
            <w:pPr>
              <w:keepNext/>
              <w:spacing w:before="0" w:after="120" w:line="293" w:lineRule="auto"/>
            </w:pPr>
            <w:r>
              <w:rPr>
                <w:rFonts w:ascii="Calibri" w:hAnsi="Calibri" w:cs="Tahoma"/>
                <w:b w:val="0"/>
                <w:color w:val="51606E"/>
                <w:sz w:val="19"/>
                <w:szCs w:val="19"/>
                <w:bCs w:val="0"/>
              </w:rPr>
              <w:t>Gambling sites by product subcategory. Bar length is the site count and each label carries the count and the share of gambling rows.</w:t>
            </w:r>
          </w:p>
          <w:p>
            <w:pPr>
              <w:spacing w:before="40" w:after="0"/>
              <w:jc w:val="center"/>
            </w:pPr>
            <w:r>
              <w:drawing>
                <wp:inline xmlns:a="http://schemas.openxmlformats.org/drawingml/2006/main" xmlns:pic="http://schemas.openxmlformats.org/drawingml/2006/picture">
                  <wp:extent cx="5040000" cy="2505736"/>
                  <wp:docPr id="4" name="Picture 4"/>
                  <wp:cNvGraphicFramePr>
                    <a:graphicFrameLocks noChangeAspect="1"/>
                  </wp:cNvGraphicFramePr>
                  <a:graphic>
                    <a:graphicData uri="http://schemas.openxmlformats.org/drawingml/2006/picture">
                      <pic:pic>
                        <pic:nvPicPr>
                          <pic:cNvPr id="0" name="d1_subcat.png"/>
                          <pic:cNvPicPr/>
                        </pic:nvPicPr>
                        <pic:blipFill>
                          <a:blip r:embed="rId15"/>
                          <a:stretch>
                            <a:fillRect/>
                          </a:stretch>
                        </pic:blipFill>
                        <pic:spPr>
                          <a:xfrm>
                            <a:off x="0" y="0"/>
                            <a:ext cx="5040000" cy="2505736"/>
                          </a:xfrm>
                          <a:prstGeom prst="rect"/>
                        </pic:spPr>
                      </pic:pic>
                    </a:graphicData>
                  </a:graphic>
                </wp:inline>
              </w:drawing>
            </w:r>
          </w:p>
          <w:p>
            <w:pPr>
              <w:spacing w:before="80" w:after="0"/>
            </w:pPr>
            <w:r>
              <w:rPr>
                <w:rFonts w:ascii="Calibri" w:hAnsi="Calibri" w:cs="Tahoma"/>
                <w:b/>
                <w:color w:val="51606E"/>
                <w:sz w:val="17"/>
                <w:szCs w:val="17"/>
                <w:bCs w:val="1"/>
              </w:rPr>
              <w:t xml:space="preserve">Figure 4. </w:t>
            </w:r>
            <w:r>
              <w:rPr>
                <w:rFonts w:ascii="Calibri" w:hAnsi="Calibri" w:cs="Tahoma"/>
                <w:color w:val="51606E"/>
                <w:sz w:val="17"/>
                <w:szCs w:val="17"/>
              </w:rPr>
              <w:t>Gambling sites by product subcategory, with each share taken of gambling rows.</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13" w:name="d2"/>
            <w:pPr>
              <w:pStyle w:val="Heading2"/>
            </w:pPr>
            <w:r>
              <w:rPr>
                <w:rFonts w:ascii="Calibri" w:hAnsi="Calibri" w:cs="Tahoma"/>
                <w:b/>
                <w:color w:val="1F3F63"/>
                <w:sz w:val="23"/>
                <w:szCs w:val="23"/>
                <w:bCs w:val="1"/>
              </w:rPr>
              <w:t>Assignment method by subcategory</w:t>
            </w:r>
            <w:bookmarkEnd w:id="1013"/>
          </w:p>
          <w:p>
            <w:pPr>
              <w:keepNext/>
              <w:spacing w:before="0" w:after="120" w:line="293" w:lineRule="auto"/>
            </w:pPr>
            <w:r>
              <w:rPr>
                <w:rFonts w:ascii="Calibri" w:hAnsi="Calibri" w:cs="Tahoma"/>
                <w:b w:val="0"/>
                <w:color w:val="51606E"/>
                <w:sz w:val="19"/>
                <w:szCs w:val="19"/>
                <w:bCs w:val="0"/>
              </w:rPr>
              <w:t>How each subcategory was assigned. Solid fill is a lexicon match and the lighter fill is model inference.</w:t>
            </w:r>
          </w:p>
          <w:p>
            <w:pPr>
              <w:spacing w:before="40" w:after="0"/>
              <w:jc w:val="center"/>
            </w:pPr>
            <w:r>
              <w:drawing>
                <wp:inline xmlns:a="http://schemas.openxmlformats.org/drawingml/2006/main" xmlns:pic="http://schemas.openxmlformats.org/drawingml/2006/picture">
                  <wp:extent cx="5040000" cy="2814792"/>
                  <wp:docPr id="5" name="Picture 5"/>
                  <wp:cNvGraphicFramePr>
                    <a:graphicFrameLocks noChangeAspect="1"/>
                  </wp:cNvGraphicFramePr>
                  <a:graphic>
                    <a:graphicData uri="http://schemas.openxmlformats.org/drawingml/2006/picture">
                      <pic:pic>
                        <pic:nvPicPr>
                          <pic:cNvPr id="0" name="d2_method.png"/>
                          <pic:cNvPicPr/>
                        </pic:nvPicPr>
                        <pic:blipFill>
                          <a:blip r:embed="rId16"/>
                          <a:stretch>
                            <a:fillRect/>
                          </a:stretch>
                        </pic:blipFill>
                        <pic:spPr>
                          <a:xfrm>
                            <a:off x="0" y="0"/>
                            <a:ext cx="5040000" cy="2814792"/>
                          </a:xfrm>
                          <a:prstGeom prst="rect"/>
                        </pic:spPr>
                      </pic:pic>
                    </a:graphicData>
                  </a:graphic>
                </wp:inline>
              </w:drawing>
            </w:r>
          </w:p>
          <w:p>
            <w:pPr>
              <w:spacing w:before="160" w:after="60" w:line="293" w:lineRule="auto"/>
            </w:pPr>
            <w:r>
              <w:rPr>
                <w:rFonts w:ascii="Calibri" w:hAnsi="Calibri" w:cs="Tahoma"/>
                <w:b/>
                <w:color w:val="1F3F63"/>
                <w:sz w:val="20"/>
                <w:szCs w:val="20"/>
                <w:bCs w:val="1"/>
              </w:rPr>
              <w:t>What a lexicon match means</w:t>
            </w:r>
          </w:p>
          <w:p>
            <w:pPr>
              <w:spacing w:before="0" w:after="80" w:line="293" w:lineRule="auto"/>
            </w:pPr>
            <w:r>
              <w:rPr>
                <w:rFonts w:ascii="Calibri" w:hAnsi="Calibri" w:cs="Tahoma"/>
                <w:b w:val="0"/>
                <w:color w:val="1B2733"/>
                <w:sz w:val="19"/>
                <w:szCs w:val="19"/>
                <w:bCs w:val="0"/>
              </w:rPr>
              <w:t>SICPADetect assigns a subcategory by lexicon match when a recorded text field contains a gambling lexicon keyword that belongs to the assigned product category. Those fields are the model-generated site description and classification rationale, extracted keywords, analyst remarks, and the URL and domain. A site whose recorded text contains สล็อต is assigned to Slots. Where no product keyword appears, the model assigns the closest subcategory from what the site description says the site offers. The methods are separate: a lexicon match rests on a keyword in the text, model inference on the model’s reading of the site. The lexicon holds 286 keywords in 14 categories, most in Thai script. The 7 product categories decide the subcategory, and the rest appear as signal tags. A lexicon match can be checked and repeated, so it carries higher confidence. A larger lexicon share means more direct evidence. A large model inference share means the sites use vocabulary the lexicon does not yet cover.</w:t>
            </w:r>
          </w:p>
          <w:p>
            <w:pPr>
              <w:spacing w:before="80" w:after="0"/>
            </w:pPr>
            <w:r>
              <w:rPr>
                <w:rFonts w:ascii="Calibri" w:hAnsi="Calibri" w:cs="Tahoma"/>
                <w:b/>
                <w:color w:val="51606E"/>
                <w:sz w:val="17"/>
                <w:szCs w:val="17"/>
                <w:bCs w:val="1"/>
              </w:rPr>
              <w:t xml:space="preserve">Figure 5. </w:t>
            </w:r>
            <w:r>
              <w:rPr>
                <w:rFonts w:ascii="Calibri" w:hAnsi="Calibri" w:cs="Tahoma"/>
                <w:color w:val="51606E"/>
                <w:sz w:val="17"/>
                <w:szCs w:val="17"/>
              </w:rPr>
              <w:t>Lexicon match and model inference by subcategory. Model inference assigned 96.3% of gambling rows, and 25.5% of gambling rows carry the General Gambling catch-all.</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14" w:name="d3"/>
            <w:pPr>
              <w:pStyle w:val="Heading2"/>
            </w:pPr>
            <w:r>
              <w:rPr>
                <w:rFonts w:ascii="Calibri" w:hAnsi="Calibri" w:cs="Tahoma"/>
                <w:b/>
                <w:color w:val="1F3F63"/>
                <w:sz w:val="23"/>
                <w:szCs w:val="23"/>
                <w:bCs w:val="1"/>
              </w:rPr>
              <w:t>Subcategory table</w:t>
            </w:r>
            <w:bookmarkEnd w:id="1014"/>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2064"/>
              <w:gridCol w:w="952"/>
              <w:gridCol w:w="1270"/>
              <w:gridCol w:w="1349"/>
              <w:gridCol w:w="1032"/>
              <w:gridCol w:w="1270"/>
            </w:tblGrid>
            <w:tr>
              <w:trPr>
                <w:cantSplit/>
                <w:tblHeader/>
              </w:trPr>
              <w:tc>
                <w:tcPr>
                  <w:tcW w:type="dxa" w:w="2064"/>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Subcategory</w:t>
                  </w:r>
                </w:p>
              </w:tc>
              <w:tc>
                <w:tcPr>
                  <w:tcW w:type="dxa" w:w="952"/>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Count</w:t>
                  </w:r>
                </w:p>
              </w:tc>
              <w:tc>
                <w:tcPr>
                  <w:tcW w:type="dxa" w:w="1270"/>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 of gambling</w:t>
                  </w:r>
                </w:p>
              </w:tc>
              <w:tc>
                <w:tcPr>
                  <w:tcW w:type="dxa" w:w="1349"/>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Keyword assigned</w:t>
                  </w:r>
                </w:p>
              </w:tc>
              <w:tc>
                <w:tcPr>
                  <w:tcW w:type="dxa" w:w="1032"/>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Inferred</w:t>
                  </w:r>
                </w:p>
              </w:tc>
              <w:tc>
                <w:tcPr>
                  <w:tcW w:type="dxa" w:w="1270"/>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7"/>
                      <w:szCs w:val="17"/>
                      <w:bCs w:val="1"/>
                    </w:rPr>
                    <w:t>Distinct clusters</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General Gambling</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2,969</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25.5%</w:t>
                  </w:r>
                </w:p>
              </w:tc>
              <w:tc>
                <w:tcPr>
                  <w:tcW w:type="dxa" w:w="134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18</w:t>
                  </w:r>
                </w:p>
              </w:tc>
              <w:tc>
                <w:tcPr>
                  <w:tcW w:type="dxa" w:w="1032"/>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2,951</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526</w:t>
                  </w:r>
                </w:p>
              </w:tc>
            </w:tr>
            <w:tr>
              <w:trPr>
                <w:cantSplit/>
              </w:trPr>
              <w:tc>
                <w:tcPr>
                  <w:tcW w:type="dxa" w:w="206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Slots</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2,921</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25.1%</w:t>
                  </w:r>
                </w:p>
              </w:tc>
              <w:tc>
                <w:tcPr>
                  <w:tcW w:type="dxa" w:w="134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219</w:t>
                  </w:r>
                </w:p>
              </w:tc>
              <w:tc>
                <w:tcPr>
                  <w:tcW w:type="dxa" w:w="103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2,702</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597</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Football Betting</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2,256</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19.4%</w:t>
                  </w:r>
                </w:p>
              </w:tc>
              <w:tc>
                <w:tcPr>
                  <w:tcW w:type="dxa" w:w="134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9</w:t>
                  </w:r>
                </w:p>
              </w:tc>
              <w:tc>
                <w:tcPr>
                  <w:tcW w:type="dxa" w:w="1032"/>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2,247</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495</w:t>
                  </w:r>
                </w:p>
              </w:tc>
            </w:tr>
            <w:tr>
              <w:trPr>
                <w:cantSplit/>
              </w:trPr>
              <w:tc>
                <w:tcPr>
                  <w:tcW w:type="dxa" w:w="206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Casino</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1,824</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15.7%</w:t>
                  </w:r>
                </w:p>
              </w:tc>
              <w:tc>
                <w:tcPr>
                  <w:tcW w:type="dxa" w:w="134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125</w:t>
                  </w:r>
                </w:p>
              </w:tc>
              <w:tc>
                <w:tcPr>
                  <w:tcW w:type="dxa" w:w="103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1,699</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406</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Playing card</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759</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6.5%</w:t>
                  </w:r>
                </w:p>
              </w:tc>
              <w:tc>
                <w:tcPr>
                  <w:tcW w:type="dxa" w:w="134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7</w:t>
                  </w:r>
                </w:p>
              </w:tc>
              <w:tc>
                <w:tcPr>
                  <w:tcW w:type="dxa" w:w="1032"/>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752</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283</w:t>
                  </w:r>
                </w:p>
              </w:tc>
            </w:tr>
            <w:tr>
              <w:trPr>
                <w:cantSplit/>
              </w:trPr>
              <w:tc>
                <w:tcPr>
                  <w:tcW w:type="dxa" w:w="2064"/>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Baccarat</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526</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4.5%</w:t>
                  </w:r>
                </w:p>
              </w:tc>
              <w:tc>
                <w:tcPr>
                  <w:tcW w:type="dxa" w:w="134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36</w:t>
                  </w:r>
                </w:p>
              </w:tc>
              <w:tc>
                <w:tcPr>
                  <w:tcW w:type="dxa" w:w="103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490</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7"/>
                      <w:szCs w:val="17"/>
                      <w:bCs w:val="0"/>
                    </w:rPr>
                    <w:t>253</w:t>
                  </w:r>
                </w:p>
              </w:tc>
            </w:tr>
            <w:tr>
              <w:trPr>
                <w:cantSplit/>
              </w:trPr>
              <w:tc>
                <w:tcPr>
                  <w:tcW w:type="dxa" w:w="2064"/>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Lottery</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393</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3.4%</w:t>
                  </w:r>
                </w:p>
              </w:tc>
              <w:tc>
                <w:tcPr>
                  <w:tcW w:type="dxa" w:w="1349"/>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14</w:t>
                  </w:r>
                </w:p>
              </w:tc>
              <w:tc>
                <w:tcPr>
                  <w:tcW w:type="dxa" w:w="1032"/>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379</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7"/>
                      <w:szCs w:val="17"/>
                      <w:bCs w:val="0"/>
                    </w:rPr>
                    <w:t>127</w:t>
                  </w:r>
                </w:p>
              </w:tc>
            </w:tr>
          </w:tbl>
          <w:p/>
          <w:p>
            <w:pPr>
              <w:spacing w:before="80" w:after="0"/>
            </w:pPr>
            <w:r>
              <w:rPr>
                <w:rFonts w:ascii="Calibri" w:hAnsi="Calibri" w:cs="Tahoma"/>
                <w:b/>
                <w:color w:val="51606E"/>
                <w:sz w:val="17"/>
                <w:szCs w:val="17"/>
                <w:bCs w:val="1"/>
              </w:rPr>
              <w:t xml:space="preserve">Table 5. </w:t>
            </w:r>
            <w:r>
              <w:rPr>
                <w:rFonts w:ascii="Calibri" w:hAnsi="Calibri" w:cs="Tahoma"/>
                <w:color w:val="51606E"/>
                <w:sz w:val="17"/>
                <w:szCs w:val="17"/>
              </w:rPr>
              <w:t>Product subcategories with the assignment method split and the number of distinct brand clusters in each.</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15" w:name="d4"/>
            <w:pPr>
              <w:pStyle w:val="Heading2"/>
            </w:pPr>
            <w:r>
              <w:rPr>
                <w:rFonts w:ascii="Calibri" w:hAnsi="Calibri" w:cs="Tahoma"/>
                <w:b/>
                <w:color w:val="1F3F63"/>
                <w:sz w:val="23"/>
                <w:szCs w:val="23"/>
                <w:bCs w:val="1"/>
              </w:rPr>
              <w:t>Heat map: keyword by subcategory</w:t>
            </w:r>
            <w:bookmarkEnd w:id="1015"/>
          </w:p>
          <w:p>
            <w:pPr>
              <w:keepNext/>
              <w:spacing w:before="0" w:after="120" w:line="293" w:lineRule="auto"/>
            </w:pPr>
            <w:r>
              <w:rPr>
                <w:rFonts w:ascii="Calibri" w:hAnsi="Calibri" w:cs="Tahoma"/>
                <w:b w:val="0"/>
                <w:color w:val="51606E"/>
                <w:sz w:val="19"/>
                <w:szCs w:val="19"/>
                <w:bCs w:val="0"/>
              </w:rPr>
              <w:t>Matched keywords against product subcategory. Each cell is the number of gambling sites carrying that keyword in that subcategory.</w:t>
            </w:r>
          </w:p>
          <w:p>
            <w:pPr>
              <w:spacing w:before="40" w:after="0"/>
              <w:jc w:val="center"/>
            </w:pPr>
            <w:r>
              <w:drawing>
                <wp:inline xmlns:a="http://schemas.openxmlformats.org/drawingml/2006/main" xmlns:pic="http://schemas.openxmlformats.org/drawingml/2006/picture">
                  <wp:extent cx="5040000" cy="6478160"/>
                  <wp:docPr id="6" name="Picture 6"/>
                  <wp:cNvGraphicFramePr>
                    <a:graphicFrameLocks noChangeAspect="1"/>
                  </wp:cNvGraphicFramePr>
                  <a:graphic>
                    <a:graphicData uri="http://schemas.openxmlformats.org/drawingml/2006/picture">
                      <pic:pic>
                        <pic:nvPicPr>
                          <pic:cNvPr id="0" name="d4_kw_sub.png"/>
                          <pic:cNvPicPr/>
                        </pic:nvPicPr>
                        <pic:blipFill>
                          <a:blip r:embed="rId17"/>
                          <a:stretch>
                            <a:fillRect/>
                          </a:stretch>
                        </pic:blipFill>
                        <pic:spPr>
                          <a:xfrm>
                            <a:off x="0" y="0"/>
                            <a:ext cx="5040000" cy="6478160"/>
                          </a:xfrm>
                          <a:prstGeom prst="rect"/>
                        </pic:spPr>
                      </pic:pic>
                    </a:graphicData>
                  </a:graphic>
                </wp:inline>
              </w:drawing>
            </w:r>
          </w:p>
          <w:p>
            <w:pPr>
              <w:spacing w:before="80" w:after="0"/>
            </w:pPr>
            <w:r>
              <w:rPr>
                <w:rFonts w:ascii="Calibri" w:hAnsi="Calibri" w:cs="Tahoma"/>
                <w:b/>
                <w:color w:val="51606E"/>
                <w:sz w:val="17"/>
                <w:szCs w:val="17"/>
                <w:bCs w:val="1"/>
              </w:rPr>
              <w:t xml:space="preserve">Figure 6. </w:t>
            </w:r>
            <w:r>
              <w:rPr>
                <w:rFonts w:ascii="Calibri" w:hAnsi="Calibri" w:cs="Tahoma"/>
                <w:color w:val="51606E"/>
                <w:sz w:val="17"/>
                <w:szCs w:val="17"/>
              </w:rPr>
              <w:t>The 25 most frequently matched keywords against product subcategory. The strip beside each keyword gives its own lexicon category.</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16" w:name="d5"/>
            <w:pPr>
              <w:pStyle w:val="Heading2"/>
            </w:pPr>
            <w:r>
              <w:rPr>
                <w:rFonts w:ascii="Calibri" w:hAnsi="Calibri" w:cs="Tahoma"/>
                <w:b/>
                <w:color w:val="1F3F63"/>
                <w:sz w:val="23"/>
                <w:szCs w:val="23"/>
                <w:bCs w:val="1"/>
              </w:rPr>
              <w:t>Heat map: signal tag by subcategory</w:t>
            </w:r>
            <w:bookmarkEnd w:id="1016"/>
          </w:p>
          <w:p>
            <w:pPr>
              <w:keepNext/>
              <w:spacing w:before="0" w:after="120" w:line="293" w:lineRule="auto"/>
            </w:pPr>
            <w:r>
              <w:rPr>
                <w:rFonts w:ascii="Calibri" w:hAnsi="Calibri" w:cs="Tahoma"/>
                <w:b w:val="0"/>
                <w:color w:val="51606E"/>
                <w:sz w:val="19"/>
                <w:szCs w:val="19"/>
                <w:bCs w:val="0"/>
              </w:rPr>
              <w:t>Signal tags against product subcategory. Each cell is the number of gambling sites carrying that tag in that subcategory.</w:t>
            </w:r>
          </w:p>
          <w:p>
            <w:pPr>
              <w:spacing w:before="40" w:after="0"/>
              <w:jc w:val="center"/>
            </w:pPr>
            <w:r>
              <w:drawing>
                <wp:inline xmlns:a="http://schemas.openxmlformats.org/drawingml/2006/main" xmlns:pic="http://schemas.openxmlformats.org/drawingml/2006/picture">
                  <wp:extent cx="5040000" cy="2224829"/>
                  <wp:docPr id="7" name="Picture 7"/>
                  <wp:cNvGraphicFramePr>
                    <a:graphicFrameLocks noChangeAspect="1"/>
                  </wp:cNvGraphicFramePr>
                  <a:graphic>
                    <a:graphicData uri="http://schemas.openxmlformats.org/drawingml/2006/picture">
                      <pic:pic>
                        <pic:nvPicPr>
                          <pic:cNvPr id="0" name="d5_tag_sub.png"/>
                          <pic:cNvPicPr/>
                        </pic:nvPicPr>
                        <pic:blipFill>
                          <a:blip r:embed="rId18"/>
                          <a:stretch>
                            <a:fillRect/>
                          </a:stretch>
                        </pic:blipFill>
                        <pic:spPr>
                          <a:xfrm>
                            <a:off x="0" y="0"/>
                            <a:ext cx="5040000" cy="2224829"/>
                          </a:xfrm>
                          <a:prstGeom prst="rect"/>
                        </pic:spPr>
                      </pic:pic>
                    </a:graphicData>
                  </a:graphic>
                </wp:inline>
              </w:drawing>
            </w:r>
          </w:p>
          <w:p>
            <w:pPr>
              <w:spacing w:before="80" w:after="0"/>
            </w:pPr>
            <w:r>
              <w:rPr>
                <w:rFonts w:ascii="Calibri" w:hAnsi="Calibri" w:cs="Tahoma"/>
                <w:b/>
                <w:color w:val="51606E"/>
                <w:sz w:val="17"/>
                <w:szCs w:val="17"/>
                <w:bCs w:val="1"/>
              </w:rPr>
              <w:t xml:space="preserve">Figure 7. </w:t>
            </w:r>
            <w:r>
              <w:rPr>
                <w:rFonts w:ascii="Calibri" w:hAnsi="Calibri" w:cs="Tahoma"/>
                <w:color w:val="51606E"/>
                <w:sz w:val="17"/>
                <w:szCs w:val="17"/>
              </w:rPr>
              <w:t>Signal tags against product subcategory, showing which products lean on promotional, payment or evasion language.</w:t>
            </w:r>
          </w:p>
        </w:tc>
      </w:tr>
    </w:tbl>
    <w:p>
      <w:pPr>
        <w:spacing w:after="120"/>
      </w:pPr>
    </w:p>
    <w:p>
      <w:bookmarkStart w:id="1017" w:name="s_brands"/>
      <w:pPr>
        <w:pStyle w:val="Heading1"/>
        <w:pBdr>
          <w:bottom w:val="single" w:sz="6" w:space="4" w:color="1F3F63"/>
        </w:pBdr>
      </w:pPr>
      <w:r>
        <w:rPr>
          <w:rFonts w:ascii="Calibri" w:hAnsi="Calibri" w:cs="Tahoma"/>
          <w:b/>
          <w:color w:val="1F3F63"/>
          <w:sz w:val="30"/>
          <w:szCs w:val="30"/>
          <w:bCs w:val="1"/>
        </w:rPr>
        <w:t>Brands and clustering</w:t>
      </w:r>
      <w:bookmarkEnd w:id="1017"/>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18" w:name="e0"/>
            <w:pPr>
              <w:pStyle w:val="Heading2"/>
            </w:pPr>
            <w:r>
              <w:rPr>
                <w:rFonts w:ascii="Calibri" w:hAnsi="Calibri" w:cs="Tahoma"/>
                <w:b/>
                <w:color w:val="1F3F63"/>
                <w:sz w:val="23"/>
                <w:szCs w:val="23"/>
                <w:bCs w:val="1"/>
              </w:rPr>
              <w:t>What brand clusters are</w:t>
            </w:r>
            <w:bookmarkEnd w:id="1018"/>
          </w:p>
          <w:p>
            <w:pPr>
              <w:spacing w:before="0" w:after="60" w:line="293" w:lineRule="auto"/>
            </w:pPr>
            <w:r>
              <w:rPr>
                <w:rFonts w:ascii="Calibri" w:hAnsi="Calibri" w:cs="Tahoma"/>
                <w:b/>
                <w:color w:val="1F3F63"/>
                <w:sz w:val="20"/>
                <w:szCs w:val="20"/>
                <w:bCs w:val="1"/>
              </w:rPr>
              <w:t>What a cluster is</w:t>
            </w:r>
          </w:p>
          <w:p>
            <w:pPr>
              <w:spacing w:before="0" w:after="120" w:line="293" w:lineRule="auto"/>
            </w:pPr>
            <w:r>
              <w:rPr>
                <w:rFonts w:ascii="Calibri" w:hAnsi="Calibri" w:cs="Tahoma"/>
                <w:b w:val="0"/>
                <w:color w:val="1B2733"/>
                <w:sz w:val="19"/>
                <w:szCs w:val="19"/>
                <w:bCs w:val="0"/>
              </w:rPr>
              <w:t>A brand cluster is a group of domains that appear linked by naming pattern, redirect behaviour, crawler relationship or shared brand stem. SICPADetect links domains in three ways. The crawler found one domain as a variant of, or a redirect from, another, and this crawler relationship is the strongest basis. The domain names reduce to the same brand stem once market tags, version numbers and suffixes are removed. Or the stems differ by only a few trailing characters. A domain linked to no other is a singleton. In this dataset, account.49m.co and account.login.49m.co both reduce to the stem 49m.</w:t>
            </w:r>
          </w:p>
          <w:p>
            <w:pPr>
              <w:spacing w:before="0" w:after="60" w:line="293" w:lineRule="auto"/>
            </w:pPr>
            <w:r>
              <w:rPr>
                <w:rFonts w:ascii="Calibri" w:hAnsi="Calibri" w:cs="Tahoma"/>
                <w:b/>
                <w:color w:val="1F3F63"/>
                <w:sz w:val="20"/>
                <w:szCs w:val="20"/>
                <w:bCs w:val="1"/>
              </w:rPr>
              <w:t>Why clusters matter</w:t>
            </w:r>
          </w:p>
          <w:p>
            <w:pPr>
              <w:spacing w:before="0" w:after="0" w:line="293" w:lineRule="auto"/>
            </w:pPr>
            <w:r>
              <w:rPr>
                <w:rFonts w:ascii="Calibri" w:hAnsi="Calibri" w:cs="Tahoma"/>
                <w:b w:val="0"/>
                <w:color w:val="1B2733"/>
                <w:sz w:val="19"/>
                <w:szCs w:val="19"/>
                <w:bCs w:val="0"/>
              </w:rPr>
              <w:t>Gambling operators often register many related domains, rotate top-level domains and redirect users between them, so a new address can replace a blocked one. A URL count therefore gives more addresses than there are distinct operations behind them. Clusters show how many distinct operations appear in the identified gambling URLs, how concentrated those URLs are, and which clusters offer several product types. Acting on a cluster can cover all of its related domains in one step. Clusters are an indicative grouping based on names and crawler links, they do not establish legal ownership, and the possible operator linkage table is indicative.</w:t>
            </w:r>
          </w:p>
        </w:tc>
      </w:tr>
    </w:tbl>
    <w:p>
      <w:pPr>
        <w:spacing w:after="120"/>
      </w:pP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13"/>
        <w:gridCol w:w="340"/>
        <w:gridCol w:w="2013"/>
        <w:gridCol w:w="340"/>
        <w:gridCol w:w="2013"/>
        <w:gridCol w:w="340"/>
        <w:gridCol w:w="2013"/>
      </w:tblGrid>
      <w:tr>
        <w:trPr>
          <w:cantSplit/>
        </w:trPr>
        <w:tc>
          <w:tcPr>
            <w:tcW w:type="dxa" w:w="2013"/>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1,102</w:t>
            </w:r>
          </w:p>
          <w:p>
            <w:pPr>
              <w:spacing w:before="0" w:after="0" w:line="264" w:lineRule="auto"/>
              <w:jc w:val="center"/>
            </w:pPr>
            <w:r>
              <w:rPr>
                <w:rFonts w:ascii="Calibri" w:hAnsi="Calibri" w:cs="Tahoma"/>
                <w:b w:val="0"/>
                <w:color w:val="51606E"/>
                <w:sz w:val="17"/>
                <w:szCs w:val="17"/>
                <w:bCs w:val="0"/>
              </w:rPr>
              <w:t>Distinct clusters</w:t>
            </w:r>
          </w:p>
        </w:tc>
        <w:tc>
          <w:tcPr>
            <w:tcW w:type="dxa" w:w="340"/>
            <w:tcMar>
              <w:top w:w="0" w:type="dxa"/>
              <w:left w:w="0" w:type="dxa"/>
              <w:bottom w:w="0" w:type="dxa"/>
              <w:right w:w="0" w:type="dxa"/>
            </w:tcMar>
          </w:tcPr>
        </w:tc>
        <w:tc>
          <w:tcPr>
            <w:tcW w:type="dxa" w:w="2013"/>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757</w:t>
            </w:r>
          </w:p>
          <w:p>
            <w:pPr>
              <w:spacing w:before="0" w:after="0" w:line="264" w:lineRule="auto"/>
              <w:jc w:val="center"/>
            </w:pPr>
            <w:r>
              <w:rPr>
                <w:rFonts w:ascii="Calibri" w:hAnsi="Calibri" w:cs="Tahoma"/>
                <w:b w:val="0"/>
                <w:color w:val="51606E"/>
                <w:sz w:val="17"/>
                <w:szCs w:val="17"/>
                <w:bCs w:val="0"/>
              </w:rPr>
              <w:t>Clusters with 2 or more URLs</w:t>
            </w:r>
          </w:p>
        </w:tc>
        <w:tc>
          <w:tcPr>
            <w:tcW w:type="dxa" w:w="340"/>
            <w:tcMar>
              <w:top w:w="0" w:type="dxa"/>
              <w:left w:w="0" w:type="dxa"/>
              <w:bottom w:w="0" w:type="dxa"/>
              <w:right w:w="0" w:type="dxa"/>
            </w:tcMar>
          </w:tcPr>
        </w:tc>
        <w:tc>
          <w:tcPr>
            <w:tcW w:type="dxa" w:w="2013"/>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345</w:t>
            </w:r>
          </w:p>
          <w:p>
            <w:pPr>
              <w:spacing w:before="0" w:after="0" w:line="264" w:lineRule="auto"/>
              <w:jc w:val="center"/>
            </w:pPr>
            <w:r>
              <w:rPr>
                <w:rFonts w:ascii="Calibri" w:hAnsi="Calibri" w:cs="Tahoma"/>
                <w:b w:val="0"/>
                <w:color w:val="51606E"/>
                <w:sz w:val="17"/>
                <w:szCs w:val="17"/>
                <w:bCs w:val="0"/>
              </w:rPr>
              <w:t>Singletons</w:t>
            </w:r>
          </w:p>
        </w:tc>
        <w:tc>
          <w:tcPr>
            <w:tcW w:type="dxa" w:w="340"/>
            <w:tcMar>
              <w:top w:w="0" w:type="dxa"/>
              <w:left w:w="0" w:type="dxa"/>
              <w:bottom w:w="0" w:type="dxa"/>
              <w:right w:w="0" w:type="dxa"/>
            </w:tcMar>
          </w:tcPr>
        </w:tc>
        <w:tc>
          <w:tcPr>
            <w:tcW w:type="dxa" w:w="2013"/>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30</w:t>
            </w:r>
          </w:p>
          <w:p>
            <w:pPr>
              <w:spacing w:before="0" w:after="0" w:line="264" w:lineRule="auto"/>
              <w:jc w:val="center"/>
            </w:pPr>
            <w:r>
              <w:rPr>
                <w:rFonts w:ascii="Calibri" w:hAnsi="Calibri" w:cs="Tahoma"/>
                <w:b w:val="0"/>
                <w:color w:val="51606E"/>
                <w:sz w:val="17"/>
                <w:szCs w:val="17"/>
                <w:bCs w:val="0"/>
              </w:rPr>
              <w:t>Clusters covering half of the identified gambling URLs</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19" w:name="e2"/>
            <w:pPr>
              <w:pStyle w:val="Heading2"/>
            </w:pPr>
            <w:r>
              <w:rPr>
                <w:rFonts w:ascii="Calibri" w:hAnsi="Calibri" w:cs="Tahoma"/>
                <w:b/>
                <w:color w:val="1F3F63"/>
                <w:sz w:val="23"/>
                <w:szCs w:val="23"/>
                <w:bCs w:val="1"/>
              </w:rPr>
              <w:t>Top 15 brand clusters by URL count</w:t>
            </w:r>
            <w:bookmarkEnd w:id="1019"/>
          </w:p>
          <w:p>
            <w:pPr>
              <w:keepNext/>
              <w:spacing w:before="0" w:after="120" w:line="293" w:lineRule="auto"/>
            </w:pPr>
            <w:r>
              <w:rPr>
                <w:rFonts w:ascii="Calibri" w:hAnsi="Calibri" w:cs="Tahoma"/>
                <w:b w:val="0"/>
                <w:color w:val="51606E"/>
                <w:sz w:val="19"/>
                <w:szCs w:val="19"/>
                <w:bCs w:val="0"/>
              </w:rPr>
              <w:t>The fifteen largest brand clusters by URL count. Bar length is the number of domains in the cluster.</w:t>
            </w:r>
          </w:p>
          <w:p>
            <w:pPr>
              <w:spacing w:before="40" w:after="0"/>
              <w:jc w:val="center"/>
            </w:pPr>
            <w:r>
              <w:drawing>
                <wp:inline xmlns:a="http://schemas.openxmlformats.org/drawingml/2006/main" xmlns:pic="http://schemas.openxmlformats.org/drawingml/2006/picture">
                  <wp:extent cx="5040000" cy="3001996"/>
                  <wp:docPr id="8" name="Picture 8"/>
                  <wp:cNvGraphicFramePr>
                    <a:graphicFrameLocks noChangeAspect="1"/>
                  </wp:cNvGraphicFramePr>
                  <a:graphic>
                    <a:graphicData uri="http://schemas.openxmlformats.org/drawingml/2006/picture">
                      <pic:pic>
                        <pic:nvPicPr>
                          <pic:cNvPr id="0" name="e2_clusters.png"/>
                          <pic:cNvPicPr/>
                        </pic:nvPicPr>
                        <pic:blipFill>
                          <a:blip r:embed="rId19"/>
                          <a:stretch>
                            <a:fillRect/>
                          </a:stretch>
                        </pic:blipFill>
                        <pic:spPr>
                          <a:xfrm>
                            <a:off x="0" y="0"/>
                            <a:ext cx="5040000" cy="3001996"/>
                          </a:xfrm>
                          <a:prstGeom prst="rect"/>
                        </pic:spPr>
                      </pic:pic>
                    </a:graphicData>
                  </a:graphic>
                </wp:inline>
              </w:drawing>
            </w:r>
          </w:p>
          <w:p>
            <w:pPr>
              <w:spacing w:before="80" w:after="0"/>
            </w:pPr>
            <w:r>
              <w:rPr>
                <w:rFonts w:ascii="Calibri" w:hAnsi="Calibri" w:cs="Tahoma"/>
                <w:b/>
                <w:color w:val="51606E"/>
                <w:sz w:val="17"/>
                <w:szCs w:val="17"/>
                <w:bCs w:val="1"/>
              </w:rPr>
              <w:t xml:space="preserve">Figure 8. </w:t>
            </w:r>
            <w:r>
              <w:rPr>
                <w:rFonts w:ascii="Calibri" w:hAnsi="Calibri" w:cs="Tahoma"/>
                <w:color w:val="51606E"/>
                <w:sz w:val="17"/>
                <w:szCs w:val="17"/>
              </w:rPr>
              <w:t>The fifteen largest brand clusters. The top five hold 29.7% of identified gambling URLs and the top ten hold 39.6%.</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20" w:name="e3"/>
            <w:pPr>
              <w:pStyle w:val="Heading2"/>
            </w:pPr>
            <w:r>
              <w:rPr>
                <w:rFonts w:ascii="Calibri" w:hAnsi="Calibri" w:cs="Tahoma"/>
                <w:b/>
                <w:color w:val="1F3F63"/>
                <w:sz w:val="23"/>
                <w:szCs w:val="23"/>
                <w:bCs w:val="1"/>
              </w:rPr>
              <w:t>Heat map: brand cluster by subcategory</w:t>
            </w:r>
            <w:bookmarkEnd w:id="1020"/>
          </w:p>
          <w:p>
            <w:pPr>
              <w:keepNext/>
              <w:spacing w:before="0" w:after="120" w:line="293" w:lineRule="auto"/>
            </w:pPr>
            <w:r>
              <w:rPr>
                <w:rFonts w:ascii="Calibri" w:hAnsi="Calibri" w:cs="Tahoma"/>
                <w:b w:val="0"/>
                <w:color w:val="51606E"/>
                <w:sz w:val="19"/>
                <w:szCs w:val="19"/>
                <w:bCs w:val="0"/>
              </w:rPr>
              <w:t>Brand clusters against product subcategory. Each cell is the number of URLs a cluster holds in that subcategory.</w:t>
            </w:r>
          </w:p>
          <w:p>
            <w:pPr>
              <w:spacing w:before="40" w:after="0"/>
              <w:jc w:val="center"/>
            </w:pPr>
            <w:r>
              <w:drawing>
                <wp:inline xmlns:a="http://schemas.openxmlformats.org/drawingml/2006/main" xmlns:pic="http://schemas.openxmlformats.org/drawingml/2006/picture">
                  <wp:extent cx="5040000" cy="5384377"/>
                  <wp:docPr id="9" name="Picture 9"/>
                  <wp:cNvGraphicFramePr>
                    <a:graphicFrameLocks noChangeAspect="1"/>
                  </wp:cNvGraphicFramePr>
                  <a:graphic>
                    <a:graphicData uri="http://schemas.openxmlformats.org/drawingml/2006/picture">
                      <pic:pic>
                        <pic:nvPicPr>
                          <pic:cNvPr id="0" name="e3_cluster_sub.png"/>
                          <pic:cNvPicPr/>
                        </pic:nvPicPr>
                        <pic:blipFill>
                          <a:blip r:embed="rId20"/>
                          <a:stretch>
                            <a:fillRect/>
                          </a:stretch>
                        </pic:blipFill>
                        <pic:spPr>
                          <a:xfrm>
                            <a:off x="0" y="0"/>
                            <a:ext cx="5040000" cy="5384377"/>
                          </a:xfrm>
                          <a:prstGeom prst="rect"/>
                        </pic:spPr>
                      </pic:pic>
                    </a:graphicData>
                  </a:graphic>
                </wp:inline>
              </w:drawing>
            </w:r>
          </w:p>
          <w:p>
            <w:pPr>
              <w:spacing w:before="80" w:after="0"/>
            </w:pPr>
            <w:r>
              <w:rPr>
                <w:rFonts w:ascii="Calibri" w:hAnsi="Calibri" w:cs="Tahoma"/>
                <w:b/>
                <w:color w:val="51606E"/>
                <w:sz w:val="17"/>
                <w:szCs w:val="17"/>
                <w:bCs w:val="1"/>
              </w:rPr>
              <w:t xml:space="preserve">Figure 9. </w:t>
            </w:r>
            <w:r>
              <w:rPr>
                <w:rFonts w:ascii="Calibri" w:hAnsi="Calibri" w:cs="Tahoma"/>
                <w:color w:val="51606E"/>
                <w:sz w:val="17"/>
                <w:szCs w:val="17"/>
              </w:rPr>
              <w:t>The 20 largest brand clusters against product subcategory. A horizontal band marks a cluster offering several product types.</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21" w:name="e4"/>
            <w:pPr>
              <w:pStyle w:val="Heading2"/>
            </w:pPr>
            <w:r>
              <w:rPr>
                <w:rFonts w:ascii="Calibri" w:hAnsi="Calibri" w:cs="Tahoma"/>
                <w:b/>
                <w:color w:val="1F3F63"/>
                <w:sz w:val="23"/>
                <w:szCs w:val="23"/>
                <w:bCs w:val="1"/>
              </w:rPr>
              <w:t>Cluster expansion: 49m</w:t>
            </w:r>
            <w:bookmarkEnd w:id="1021"/>
          </w:p>
          <w:p>
            <w:pPr>
              <w:keepNext/>
              <w:spacing w:before="0" w:after="120" w:line="293" w:lineRule="auto"/>
            </w:pPr>
            <w:r>
              <w:rPr>
                <w:rFonts w:ascii="Calibri" w:hAnsi="Calibri" w:cs="Tahoma"/>
                <w:b w:val="0"/>
                <w:color w:val="51606E"/>
                <w:sz w:val="19"/>
                <w:szCs w:val="19"/>
                <w:bCs w:val="0"/>
              </w:rPr>
              <w:t>The largest brand cluster and its member domains. Edge style records why each domain joined the cluster.</w:t>
            </w:r>
          </w:p>
          <w:p>
            <w:pPr>
              <w:spacing w:before="40" w:after="0"/>
              <w:jc w:val="center"/>
            </w:pPr>
            <w:r>
              <w:drawing>
                <wp:inline xmlns:a="http://schemas.openxmlformats.org/drawingml/2006/main" xmlns:pic="http://schemas.openxmlformats.org/drawingml/2006/picture">
                  <wp:extent cx="5040000" cy="4096180"/>
                  <wp:docPr id="10" name="Picture 10"/>
                  <wp:cNvGraphicFramePr>
                    <a:graphicFrameLocks noChangeAspect="1"/>
                  </wp:cNvGraphicFramePr>
                  <a:graphic>
                    <a:graphicData uri="http://schemas.openxmlformats.org/drawingml/2006/picture">
                      <pic:pic>
                        <pic:nvPicPr>
                          <pic:cNvPr id="0" name="e4_cluster.png"/>
                          <pic:cNvPicPr/>
                        </pic:nvPicPr>
                        <pic:blipFill>
                          <a:blip r:embed="rId21"/>
                          <a:stretch>
                            <a:fillRect/>
                          </a:stretch>
                        </pic:blipFill>
                        <pic:spPr>
                          <a:xfrm>
                            <a:off x="0" y="0"/>
                            <a:ext cx="5040000" cy="4096180"/>
                          </a:xfrm>
                          <a:prstGeom prst="rect"/>
                        </pic:spPr>
                      </pic:pic>
                    </a:graphicData>
                  </a:graphic>
                </wp:inline>
              </w:drawing>
            </w:r>
          </w:p>
          <w:p>
            <w:pPr>
              <w:spacing w:before="80" w:after="0"/>
            </w:pPr>
            <w:r>
              <w:rPr>
                <w:rFonts w:ascii="Calibri" w:hAnsi="Calibri" w:cs="Tahoma"/>
                <w:b/>
                <w:color w:val="51606E"/>
                <w:sz w:val="17"/>
                <w:szCs w:val="17"/>
                <w:bCs w:val="1"/>
              </w:rPr>
              <w:t xml:space="preserve">Figure 10. </w:t>
            </w:r>
            <w:r>
              <w:rPr>
                <w:rFonts w:ascii="Calibri" w:hAnsi="Calibri" w:cs="Tahoma"/>
                <w:color w:val="51606E"/>
                <w:sz w:val="17"/>
                <w:szCs w:val="17"/>
              </w:rPr>
              <w:t>Member domains of the 49m cluster: N1 = account.49m.co; N2 = account.login.49m.co; N3 = account.login.account.49m.co; N4 = account.login.account.account.49m.co; N5 = account.login.account.login.49m.co; N6 = account.login.account.m.49m.co; N7 = account.login.account.mobile.49m.co; N8 = account.login.account.secure.49m.co; N9 = account.login.account.support.49m.co; N10 = account.login.account.verify.49m.co; N11 = account.login.account.www.49m.co; N12 = account.login.login.49m.co; N13 = account.login.login.m.49m.co; N14 = account.login.m.49m.co; N15 = account.login.m.account.49m.co; N16 = account.login.m.m.49m.co.</w:t>
            </w:r>
          </w:p>
          <w:p>
            <w:pPr>
              <w:spacing w:before="80" w:after="0" w:line="293" w:lineRule="auto"/>
            </w:pPr>
            <w:r>
              <w:rPr>
                <w:rFonts w:ascii="Calibri" w:hAnsi="Calibri" w:cs="Tahoma"/>
                <w:b w:val="0"/>
                <w:color w:val="1B2733"/>
                <w:sz w:val="19"/>
                <w:szCs w:val="19"/>
                <w:bCs w:val="0"/>
              </w:rPr>
              <w:t>The 49m cluster holds 1,586 identified gambling URLs, which is 13.6% of the identified gambling URLs in this sample. The diagram shows 16 of its member domains.</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22" w:name="e5"/>
            <w:pPr>
              <w:pStyle w:val="Heading2"/>
            </w:pPr>
            <w:r>
              <w:rPr>
                <w:rFonts w:ascii="Calibri" w:hAnsi="Calibri" w:cs="Tahoma"/>
                <w:b/>
                <w:color w:val="1F3F63"/>
                <w:sz w:val="23"/>
                <w:szCs w:val="23"/>
                <w:bCs w:val="1"/>
              </w:rPr>
              <w:t>Clusters spanning multiple subcategories</w:t>
            </w:r>
            <w:bookmarkEnd w:id="1022"/>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1270"/>
              <w:gridCol w:w="952"/>
              <w:gridCol w:w="3175"/>
              <w:gridCol w:w="2540"/>
            </w:tblGrid>
            <w:tr>
              <w:trPr>
                <w:cantSplit/>
                <w:tblHeader/>
              </w:trPr>
              <w:tc>
                <w:tcPr>
                  <w:tcW w:type="dxa" w:w="1270"/>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Cluster</w:t>
                  </w:r>
                </w:p>
              </w:tc>
              <w:tc>
                <w:tcPr>
                  <w:tcW w:type="dxa" w:w="952"/>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URL count</w:t>
                  </w:r>
                </w:p>
              </w:tc>
              <w:tc>
                <w:tcPr>
                  <w:tcW w:type="dxa" w:w="3175"/>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Subcategories</w:t>
                  </w:r>
                </w:p>
              </w:tc>
              <w:tc>
                <w:tcPr>
                  <w:tcW w:type="dxa" w:w="2540"/>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Suffixes</w:t>
                  </w:r>
                </w:p>
              </w:tc>
            </w:tr>
            <w:tr>
              <w:trPr>
                <w:cantSplit/>
              </w:trPr>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49m</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1,586</w:t>
                  </w:r>
                </w:p>
              </w:tc>
              <w:tc>
                <w:tcPr>
                  <w:tcW w:type="dxa" w:w="3175"/>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Casino, General Gambling, Playing card, Slots</w:t>
                  </w:r>
                </w:p>
              </w:tc>
              <w:tc>
                <w:tcPr>
                  <w:tcW w:type="dxa" w:w="254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.co, .top</w:t>
                  </w:r>
                </w:p>
              </w:tc>
            </w:tr>
            <w:tr>
              <w:trPr>
                <w:cantSplit/>
              </w:trPr>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577</w:t>
                  </w:r>
                </w:p>
              </w:tc>
              <w:tc>
                <w:tcPr>
                  <w:tcW w:type="dxa" w:w="31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Baccarat, Casino, Football Betting, General Gambling, Lottery, Playing card, Slots</w:t>
                  </w:r>
                </w:p>
              </w:tc>
              <w:tc>
                <w:tcPr>
                  <w:tcW w:type="dxa" w:w="254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.166, .app, .bet, .black, .buzz, .casino, .cc, .click</w:t>
                  </w:r>
                </w:p>
              </w:tc>
            </w:tr>
            <w:tr>
              <w:trPr>
                <w:cantSplit/>
              </w:trPr>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a3game</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507</w:t>
                  </w:r>
                </w:p>
              </w:tc>
              <w:tc>
                <w:tcPr>
                  <w:tcW w:type="dxa" w:w="3175"/>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Casino, Football Betting, General Gambling, Lottery, Playing card, Slots</w:t>
                  </w:r>
                </w:p>
              </w:tc>
              <w:tc>
                <w:tcPr>
                  <w:tcW w:type="dxa" w:w="254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.app, .click, .club, .vip</w:t>
                  </w:r>
                </w:p>
              </w:tc>
            </w:tr>
            <w:tr>
              <w:trPr>
                <w:cantSplit/>
              </w:trPr>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hayy</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434</w:t>
                  </w:r>
                </w:p>
              </w:tc>
              <w:tc>
                <w:tcPr>
                  <w:tcW w:type="dxa" w:w="31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Baccarat, Casino, Football Betting, General Gambling, Playing card, Slots</w:t>
                  </w:r>
                </w:p>
              </w:tc>
              <w:tc>
                <w:tcPr>
                  <w:tcW w:type="dxa" w:w="254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.app, .bet, .cc, .click, .club, .com, .fun, .net</w:t>
                  </w:r>
                </w:p>
              </w:tc>
            </w:tr>
            <w:tr>
              <w:trPr>
                <w:cantSplit/>
              </w:trPr>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jun88a</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360</w:t>
                  </w:r>
                </w:p>
              </w:tc>
              <w:tc>
                <w:tcPr>
                  <w:tcW w:type="dxa" w:w="3175"/>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Baccarat, Casino, Football Betting, General Gambling, Lottery, Playing card, Slots</w:t>
                  </w:r>
                </w:p>
              </w:tc>
              <w:tc>
                <w:tcPr>
                  <w:tcW w:type="dxa" w:w="254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.app, .buzz, .cc, .click, .club, .co, .com, .cooking</w:t>
                  </w:r>
                </w:p>
              </w:tc>
            </w:tr>
            <w:tr>
              <w:trPr>
                <w:cantSplit/>
              </w:trPr>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gg88</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295</w:t>
                  </w:r>
                </w:p>
              </w:tc>
              <w:tc>
                <w:tcPr>
                  <w:tcW w:type="dxa" w:w="31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Baccarat, Casino, Football Betting, General Gambling, Lottery, Playing card, Slots</w:t>
                  </w:r>
                </w:p>
              </w:tc>
              <w:tc>
                <w:tcPr>
                  <w:tcW w:type="dxa" w:w="254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.app, .bet, .casino, .cc, .click, .club, .co, .com</w:t>
                  </w:r>
                </w:p>
              </w:tc>
            </w:tr>
            <w:tr>
              <w:trPr>
                <w:cantSplit/>
              </w:trPr>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k03</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275</w:t>
                  </w:r>
                </w:p>
              </w:tc>
              <w:tc>
                <w:tcPr>
                  <w:tcW w:type="dxa" w:w="3175"/>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Casino, Football Betting, General Gambling, Slots</w:t>
                  </w:r>
                </w:p>
              </w:tc>
              <w:tc>
                <w:tcPr>
                  <w:tcW w:type="dxa" w:w="254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.cc, .net, .pro, .xyz</w:t>
                  </w:r>
                </w:p>
              </w:tc>
            </w:tr>
            <w:tr>
              <w:trPr>
                <w:cantSplit/>
              </w:trPr>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paes</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266</w:t>
                  </w:r>
                </w:p>
              </w:tc>
              <w:tc>
                <w:tcPr>
                  <w:tcW w:type="dxa" w:w="31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Casino, Football Betting, General Gambling, Playing card, Slots</w:t>
                  </w:r>
                </w:p>
              </w:tc>
              <w:tc>
                <w:tcPr>
                  <w:tcW w:type="dxa" w:w="254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.com, .dev</w:t>
                  </w:r>
                </w:p>
              </w:tc>
            </w:tr>
            <w:tr>
              <w:trPr>
                <w:cantSplit/>
              </w:trPr>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paegs</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174</w:t>
                  </w:r>
                </w:p>
              </w:tc>
              <w:tc>
                <w:tcPr>
                  <w:tcW w:type="dxa" w:w="3175"/>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Casino, Football Betting, General Gambling, Playing card, Slots</w:t>
                  </w:r>
                </w:p>
              </w:tc>
              <w:tc>
                <w:tcPr>
                  <w:tcW w:type="dxa" w:w="254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.dev</w:t>
                  </w:r>
                </w:p>
              </w:tc>
            </w:tr>
            <w:tr>
              <w:trPr>
                <w:cantSplit/>
              </w:trPr>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jin</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138</w:t>
                  </w:r>
                </w:p>
              </w:tc>
              <w:tc>
                <w:tcPr>
                  <w:tcW w:type="dxa" w:w="31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Baccarat, Casino, Football Betting, General Gambling, Playing card, Slots</w:t>
                  </w:r>
                </w:p>
              </w:tc>
              <w:tc>
                <w:tcPr>
                  <w:tcW w:type="dxa" w:w="254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.224, .225, .226, .49, .app, .bet, .cc, .click</w:t>
                  </w:r>
                </w:p>
              </w:tc>
            </w:tr>
            <w:tr>
              <w:trPr>
                <w:cantSplit/>
              </w:trPr>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lott</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108</w:t>
                  </w:r>
                </w:p>
              </w:tc>
              <w:tc>
                <w:tcPr>
                  <w:tcW w:type="dxa" w:w="3175"/>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Baccarat, Casino, Football Betting, General Gambling, Lottery, Playing card, Slots</w:t>
                  </w:r>
                </w:p>
              </w:tc>
              <w:tc>
                <w:tcPr>
                  <w:tcW w:type="dxa" w:w="254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.app, .bet, .cc, .click, .co, .com, .fun, .info</w:t>
                  </w:r>
                </w:p>
              </w:tc>
            </w:tr>
            <w:tr>
              <w:trPr>
                <w:cantSplit/>
              </w:trPr>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58th1</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107</w:t>
                  </w:r>
                </w:p>
              </w:tc>
              <w:tc>
                <w:tcPr>
                  <w:tcW w:type="dxa" w:w="31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Casino, Football Betting, General Gambling, Playing card, Slots</w:t>
                  </w:r>
                </w:p>
              </w:tc>
              <w:tc>
                <w:tcPr>
                  <w:tcW w:type="dxa" w:w="254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.com, .pro</w:t>
                  </w:r>
                </w:p>
              </w:tc>
            </w:tr>
            <w:tr>
              <w:trPr>
                <w:cantSplit/>
              </w:trPr>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o8</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88</w:t>
                  </w:r>
                </w:p>
              </w:tc>
              <w:tc>
                <w:tcPr>
                  <w:tcW w:type="dxa" w:w="3175"/>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Football Betting, General Gambling, Lottery, Playing card, Slots</w:t>
                  </w:r>
                </w:p>
              </w:tc>
              <w:tc>
                <w:tcPr>
                  <w:tcW w:type="dxa" w:w="254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.casino, .click, .club, .co, .game, .live, .uk</w:t>
                  </w:r>
                </w:p>
              </w:tc>
            </w:tr>
            <w:tr>
              <w:trPr>
                <w:cantSplit/>
              </w:trPr>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uu88</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83</w:t>
                  </w:r>
                </w:p>
              </w:tc>
              <w:tc>
                <w:tcPr>
                  <w:tcW w:type="dxa" w:w="3175"/>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Baccarat, Casino, Football Betting, General Gambling, Lottery, Playing card, Slots</w:t>
                  </w:r>
                </w:p>
              </w:tc>
              <w:tc>
                <w:tcPr>
                  <w:tcW w:type="dxa" w:w="254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.app, .bet, .casino, .cc, .click, .co, .com, .fun</w:t>
                  </w:r>
                </w:p>
              </w:tc>
            </w:tr>
            <w:tr>
              <w:trPr>
                <w:cantSplit/>
              </w:trPr>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7ok</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76</w:t>
                  </w:r>
                </w:p>
              </w:tc>
              <w:tc>
                <w:tcPr>
                  <w:tcW w:type="dxa" w:w="3175"/>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Casino, Football Betting, General Gambling, Lottery, Slots</w:t>
                  </w:r>
                </w:p>
              </w:tc>
              <w:tc>
                <w:tcPr>
                  <w:tcW w:type="dxa" w:w="254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.live, .pro, .shop</w:t>
                  </w:r>
                </w:p>
              </w:tc>
            </w:tr>
          </w:tbl>
          <w:p/>
          <w:p>
            <w:pPr>
              <w:spacing w:before="80" w:after="0"/>
            </w:pPr>
            <w:r>
              <w:rPr>
                <w:rFonts w:ascii="Calibri" w:hAnsi="Calibri" w:cs="Tahoma"/>
                <w:b/>
                <w:color w:val="51606E"/>
                <w:sz w:val="17"/>
                <w:szCs w:val="17"/>
                <w:bCs w:val="1"/>
              </w:rPr>
              <w:t xml:space="preserve">Table 6. </w:t>
            </w:r>
            <w:r>
              <w:rPr>
                <w:rFonts w:ascii="Calibri" w:hAnsi="Calibri" w:cs="Tahoma"/>
                <w:color w:val="51606E"/>
                <w:sz w:val="17"/>
                <w:szCs w:val="17"/>
              </w:rPr>
              <w:t>The largest of the 616 brand clusters that span two or more product subcategories.</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23" w:name="e6"/>
            <w:pPr>
              <w:pStyle w:val="Heading2"/>
            </w:pPr>
            <w:r>
              <w:rPr>
                <w:rFonts w:ascii="Calibri" w:hAnsi="Calibri" w:cs="Tahoma"/>
                <w:b/>
                <w:color w:val="1F3F63"/>
                <w:sz w:val="23"/>
                <w:szCs w:val="23"/>
                <w:bCs w:val="1"/>
              </w:rPr>
              <w:t>Clusters rotating top-level domains</w:t>
            </w:r>
            <w:bookmarkEnd w:id="1023"/>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1429"/>
              <w:gridCol w:w="3730"/>
              <w:gridCol w:w="2778"/>
            </w:tblGrid>
            <w:tr>
              <w:trPr>
                <w:cantSplit/>
                <w:tblHeader/>
              </w:trPr>
              <w:tc>
                <w:tcPr>
                  <w:tcW w:type="dxa" w:w="1429"/>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Cluster</w:t>
                  </w:r>
                </w:p>
              </w:tc>
              <w:tc>
                <w:tcPr>
                  <w:tcW w:type="dxa" w:w="3730"/>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Suffixes</w:t>
                  </w:r>
                </w:p>
              </w:tc>
              <w:tc>
                <w:tcPr>
                  <w:tcW w:type="dxa" w:w="2778"/>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Counts</w:t>
                  </w:r>
                </w:p>
              </w:tc>
            </w:tr>
            <w:tr>
              <w:trPr>
                <w:cantSplit/>
              </w:trPr>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jun</w:t>
                  </w:r>
                </w:p>
              </w:tc>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.top, .com, .net, .bet, .cc, .app, .fun, .pro, .xyz, .me</w:t>
                  </w:r>
                </w:p>
              </w:tc>
              <w:tc>
                <w:tcPr>
                  <w:tcW w:type="dxa" w:w="2778"/>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98, 85, 79, 36, 36, 28, 27, 25, 22, 16</w:t>
                  </w:r>
                </w:p>
              </w:tc>
            </w:tr>
            <w:tr>
              <w:trPr>
                <w:cantSplit/>
              </w:trPr>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min</w:t>
                  </w:r>
                </w:p>
              </w:tc>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.app, .com, .net, .co, .top, .city, .site, .cash, .team, .cc</w:t>
                  </w:r>
                </w:p>
              </w:tc>
              <w:tc>
                <w:tcPr>
                  <w:tcW w:type="dxa" w:w="277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6, 6, 6, 4, 3, 2, 2, 2, 2, 2</w:t>
                  </w:r>
                </w:p>
              </w:tc>
            </w:tr>
            <w:tr>
              <w:trPr>
                <w:cantSplit/>
              </w:trPr>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jun88a</w:t>
                  </w:r>
                </w:p>
              </w:tc>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.com, .co, .pro, .net, .vip, .me, .online, .cc, .info, .app</w:t>
                  </w:r>
                </w:p>
              </w:tc>
              <w:tc>
                <w:tcPr>
                  <w:tcW w:type="dxa" w:w="2778"/>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199, 22, 22, 19, 17, 11, 10, 10, 7, 7</w:t>
                  </w:r>
                </w:p>
              </w:tc>
            </w:tr>
            <w:tr>
              <w:trPr>
                <w:cantSplit/>
              </w:trPr>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jin</w:t>
                  </w:r>
                </w:p>
              </w:tc>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.vip, .com, .pro, .net, .co, .bet, .app, .click, .online, .fun</w:t>
                  </w:r>
                </w:p>
              </w:tc>
              <w:tc>
                <w:tcPr>
                  <w:tcW w:type="dxa" w:w="277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23, 22, 16, 14, 13, 10, 8, 8, 4, 4</w:t>
                  </w:r>
                </w:p>
              </w:tc>
            </w:tr>
            <w:tr>
              <w:trPr>
                <w:cantSplit/>
              </w:trPr>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90ok</w:t>
                  </w:r>
                </w:p>
              </w:tc>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.club, .click, .io, .bet, .xyz, .vip, .casino, .app, .site, .pro</w:t>
                  </w:r>
                </w:p>
              </w:tc>
              <w:tc>
                <w:tcPr>
                  <w:tcW w:type="dxa" w:w="2778"/>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7, 5, 5, 4, 4, 3, 3, 3, 2, 2</w:t>
                  </w:r>
                </w:p>
              </w:tc>
            </w:tr>
            <w:tr>
              <w:trPr>
                <w:cantSplit/>
              </w:trPr>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bu88</w:t>
                  </w:r>
                </w:p>
              </w:tc>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.com, .men, .app, .uno, .kim, .bid, .pro, .buzz, .tech, .club</w:t>
                  </w:r>
                </w:p>
              </w:tc>
              <w:tc>
                <w:tcPr>
                  <w:tcW w:type="dxa" w:w="277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7, 4, 3, 3, 3, 3, 3, 2, 2, 2</w:t>
                  </w:r>
                </w:p>
              </w:tc>
            </w:tr>
            <w:tr>
              <w:trPr>
                <w:cantSplit/>
              </w:trPr>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gg88</w:t>
                  </w:r>
                </w:p>
              </w:tc>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.net, .app, .pro, .bet, .com, .online, .vip, .club, .xyz, .io</w:t>
                  </w:r>
                </w:p>
              </w:tc>
              <w:tc>
                <w:tcPr>
                  <w:tcW w:type="dxa" w:w="2778"/>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53, 48, 46, 36, 30, 17, 15, 13, 6, 6</w:t>
                  </w:r>
                </w:p>
              </w:tc>
            </w:tr>
            <w:tr>
              <w:trPr>
                <w:cantSplit/>
              </w:trPr>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uu88</w:t>
                  </w:r>
                </w:p>
              </w:tc>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.cc, .com, .net, .pro, .app, .xyz, .bet, .co, .info, .click</w:t>
                  </w:r>
                </w:p>
              </w:tc>
              <w:tc>
                <w:tcPr>
                  <w:tcW w:type="dxa" w:w="277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14, 10, 9, 7, 6, 6, 4, 4, 4, 3</w:t>
                  </w:r>
                </w:p>
              </w:tc>
            </w:tr>
            <w:tr>
              <w:trPr>
                <w:cantSplit/>
              </w:trPr>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ezslot</w:t>
                  </w:r>
                </w:p>
              </w:tc>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.me, .live, .club, .info, .co, .online, .bet, .to, .tech, .top</w:t>
                  </w:r>
                </w:p>
              </w:tc>
              <w:tc>
                <w:tcPr>
                  <w:tcW w:type="dxa" w:w="2778"/>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3, 3, 2, 2, 2, 2, 2, 2, 2, 2</w:t>
                  </w:r>
                </w:p>
              </w:tc>
            </w:tr>
            <w:tr>
              <w:trPr>
                <w:cantSplit/>
              </w:trPr>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99ok</w:t>
                  </w:r>
                </w:p>
              </w:tc>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.pro, .club, .vip, .app, .io, .info, .cc, .site, .co</w:t>
                  </w:r>
                </w:p>
              </w:tc>
              <w:tc>
                <w:tcPr>
                  <w:tcW w:type="dxa" w:w="277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15, 3, 3, 3, 3, 2, 2, 2, 2, 2</w:t>
                  </w:r>
                </w:p>
              </w:tc>
            </w:tr>
            <w:tr>
              <w:trPr>
                <w:cantSplit/>
              </w:trPr>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77jili</w:t>
                  </w:r>
                </w:p>
              </w:tc>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.net, .pro, .club, .bet, .com, .co, .app, .site, .win, .vip</w:t>
                  </w:r>
                </w:p>
              </w:tc>
              <w:tc>
                <w:tcPr>
                  <w:tcW w:type="dxa" w:w="2778"/>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5, 4, 4, 4, 3, 3, 3, 2, 2, 2</w:t>
                  </w:r>
                </w:p>
              </w:tc>
            </w:tr>
            <w:tr>
              <w:trPr>
                <w:cantSplit/>
              </w:trPr>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m88thcasino</w:t>
                  </w:r>
                </w:p>
              </w:tc>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.com, .club, .co, .live, .net, .online, .site, .vip, .shop, .pro</w:t>
                  </w:r>
                </w:p>
              </w:tc>
              <w:tc>
                <w:tcPr>
                  <w:tcW w:type="dxa" w:w="277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2, 2, 2, 2, 2, 2, 2, 2, 2, 2</w:t>
                  </w:r>
                </w:p>
              </w:tc>
            </w:tr>
            <w:tr>
              <w:trPr>
                <w:cantSplit/>
              </w:trPr>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lott</w:t>
                  </w:r>
                </w:p>
              </w:tc>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.com, .net, .online, .click, .cc, .live, .info, .bet, .app, .co</w:t>
                  </w:r>
                </w:p>
              </w:tc>
              <w:tc>
                <w:tcPr>
                  <w:tcW w:type="dxa" w:w="2778"/>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62, 9, 4, 4, 4, 4, 4, 4, 2, 2</w:t>
                  </w:r>
                </w:p>
              </w:tc>
            </w:tr>
            <w:tr>
              <w:trPr>
                <w:cantSplit/>
              </w:trPr>
              <w:tc>
                <w:tcPr>
                  <w:tcW w:type="dxa" w:w="1429"/>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ku88</w:t>
                  </w:r>
                </w:p>
              </w:tc>
              <w:tc>
                <w:tcPr>
                  <w:tcW w:type="dxa" w:w="373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.com, .net, .pro, .casino, .live, .us, .io, .top, .mx, .nl</w:t>
                  </w:r>
                </w:p>
              </w:tc>
              <w:tc>
                <w:tcPr>
                  <w:tcW w:type="dxa" w:w="2778"/>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8, 5, 5, 3, 3, 3, 2, 2, 1, 1</w:t>
                  </w:r>
                </w:p>
              </w:tc>
            </w:tr>
            <w:tr>
              <w:trPr>
                <w:cantSplit/>
              </w:trPr>
              <w:tc>
                <w:tcPr>
                  <w:tcW w:type="dxa" w:w="1429"/>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hh88</w:t>
                  </w:r>
                </w:p>
              </w:tc>
              <w:tc>
                <w:tcPr>
                  <w:tcW w:type="dxa" w:w="373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.com, .site, .vip, .net, .shop, .xyz, .click, .online, .info, .bet</w:t>
                  </w:r>
                </w:p>
              </w:tc>
              <w:tc>
                <w:tcPr>
                  <w:tcW w:type="dxa" w:w="2778"/>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30, 4, 2, 2, 2, 2, 2, 1, 1, 1</w:t>
                  </w:r>
                </w:p>
              </w:tc>
            </w:tr>
          </w:tbl>
          <w:p/>
          <w:p>
            <w:pPr>
              <w:spacing w:before="80" w:after="0"/>
            </w:pPr>
            <w:r>
              <w:rPr>
                <w:rFonts w:ascii="Calibri" w:hAnsi="Calibri" w:cs="Tahoma"/>
                <w:b/>
                <w:color w:val="51606E"/>
                <w:sz w:val="17"/>
                <w:szCs w:val="17"/>
                <w:bCs w:val="1"/>
              </w:rPr>
              <w:t xml:space="preserve">Table 7. </w:t>
            </w:r>
            <w:r>
              <w:rPr>
                <w:rFonts w:ascii="Calibri" w:hAnsi="Calibri" w:cs="Tahoma"/>
                <w:color w:val="51606E"/>
                <w:sz w:val="17"/>
                <w:szCs w:val="17"/>
              </w:rPr>
              <w:t>The 588 brand clusters whose domains span two or more top-level domains, ranked by the number of suffixes used.</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24" w:name="e7"/>
            <w:pPr>
              <w:pStyle w:val="Heading2"/>
            </w:pPr>
            <w:r>
              <w:rPr>
                <w:rFonts w:ascii="Calibri" w:hAnsi="Calibri" w:cs="Tahoma"/>
                <w:b/>
                <w:color w:val="1F3F63"/>
                <w:sz w:val="23"/>
                <w:szCs w:val="23"/>
                <w:bCs w:val="1"/>
              </w:rPr>
              <w:t>Possible operator linkage</w:t>
            </w:r>
            <w:bookmarkEnd w:id="1024"/>
          </w:p>
          <w:p>
            <w:pPr>
              <w:spacing w:before="0" w:after="100" w:line="293" w:lineRule="auto"/>
            </w:pPr>
            <w:r>
              <w:rPr>
                <w:rFonts w:ascii="Calibri" w:hAnsi="Calibri" w:cs="Tahoma"/>
                <w:b w:val="0"/>
                <w:color w:val="51606E"/>
                <w:sz w:val="19"/>
                <w:szCs w:val="19"/>
                <w:bCs w:val="0"/>
              </w:rPr>
              <w:t>Indicative: not a clustering decision.</w:t>
            </w: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1111"/>
              <w:gridCol w:w="1111"/>
              <w:gridCol w:w="4762"/>
              <w:gridCol w:w="952"/>
            </w:tblGrid>
            <w:tr>
              <w:trPr>
                <w:cantSplit/>
                <w:tblHeader/>
              </w:trPr>
              <w:tc>
                <w:tcPr>
                  <w:tcW w:type="dxa" w:w="1111"/>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Cluster A</w:t>
                  </w:r>
                </w:p>
              </w:tc>
              <w:tc>
                <w:tcPr>
                  <w:tcW w:type="dxa" w:w="1111"/>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Cluster B</w:t>
                  </w:r>
                </w:p>
              </w:tc>
              <w:tc>
                <w:tcPr>
                  <w:tcW w:type="dxa" w:w="4762"/>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Shared keywords</w:t>
                  </w:r>
                </w:p>
              </w:tc>
              <w:tc>
                <w:tcPr>
                  <w:tcW w:type="dxa" w:w="952"/>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Jaccard</w:t>
                  </w:r>
                </w:p>
              </w:tc>
            </w:tr>
            <w:tr>
              <w:trPr>
                <w:cantSplit/>
              </w:trPr>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pgcat</w:t>
                  </w:r>
                </w:p>
              </w:tc>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mst</w:t>
                  </w:r>
                </w:p>
              </w:tc>
              <w:tc>
                <w:tcPr>
                  <w:tcW w:type="dxa" w:w="476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FC, JILI, PG, PRAGMATIC, VIP, WALLET, WIN, Wallet, สมัครสมาชิก</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0.75</w:t>
                  </w:r>
                </w:p>
              </w:tc>
            </w:tr>
            <w:tr>
              <w:trPr>
                <w:cantSplit/>
              </w:trPr>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jin</w:t>
                  </w:r>
                </w:p>
              </w:tc>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mega</w:t>
                  </w:r>
                </w:p>
              </w:tc>
              <w:tc>
                <w:tcPr>
                  <w:tcW w:type="dxa" w:w="476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PG, PP, PRAGMATIC, RTP, VIP, WALLET, WIN, Wallet, สมัครสมาชิก</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0.91</w:t>
                  </w:r>
                </w:p>
              </w:tc>
            </w:tr>
            <w:tr>
              <w:trPr>
                <w:cantSplit/>
              </w:trPr>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jin</w:t>
                  </w:r>
                </w:p>
              </w:tc>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mst</w:t>
                  </w:r>
                </w:p>
              </w:tc>
              <w:tc>
                <w:tcPr>
                  <w:tcW w:type="dxa" w:w="476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FC, PG, PRAGMATIC, VIP, WALLET, WIN, Wallet, สมัครสมาชิก</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0.64</w:t>
                  </w:r>
                </w:p>
              </w:tc>
            </w:tr>
            <w:tr>
              <w:trPr>
                <w:cantSplit/>
              </w:trPr>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gg88</w:t>
                  </w:r>
                </w:p>
              </w:tc>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jin</w:t>
                  </w:r>
                </w:p>
              </w:tc>
              <w:tc>
                <w:tcPr>
                  <w:tcW w:type="dxa" w:w="476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FC, PG, PP, PRAGMATIC, VIP, WALLET, WIN, Wallet</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0.60</w:t>
                  </w:r>
                </w:p>
              </w:tc>
            </w:tr>
            <w:tr>
              <w:trPr>
                <w:cantSplit/>
              </w:trPr>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ezslot</w:t>
                  </w:r>
                </w:p>
              </w:tc>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9ufa</w:t>
                  </w:r>
                </w:p>
              </w:tc>
              <w:tc>
                <w:tcPr>
                  <w:tcW w:type="dxa" w:w="476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PG, PRAGMATIC, VIP, WALLET, WIN, Wallet, สมัครสมาชิก, สมาชิกใหม่</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0.60</w:t>
                  </w:r>
                </w:p>
              </w:tc>
            </w:tr>
            <w:tr>
              <w:trPr>
                <w:cantSplit/>
              </w:trPr>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mega</w:t>
                  </w:r>
                </w:p>
              </w:tc>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9ufa</w:t>
                  </w:r>
                </w:p>
              </w:tc>
              <w:tc>
                <w:tcPr>
                  <w:tcW w:type="dxa" w:w="476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PG, PRAGMATIC, RTP, VIP, WALLET, WIN, Wallet, สมัครสมาชิก</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0.60</w:t>
                  </w:r>
                </w:p>
              </w:tc>
            </w:tr>
            <w:tr>
              <w:trPr>
                <w:cantSplit/>
              </w:trPr>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dreamworld</w:t>
                  </w:r>
                </w:p>
              </w:tc>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80p</w:t>
                  </w:r>
                </w:p>
              </w:tc>
              <w:tc>
                <w:tcPr>
                  <w:tcW w:type="dxa" w:w="476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PG, PP, WALLET, WIN, Wallet, สมัครสมาชิก, ได้เงินจริง</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0.80</w:t>
                  </w:r>
                </w:p>
              </w:tc>
            </w:tr>
            <w:tr>
              <w:trPr>
                <w:cantSplit/>
              </w:trPr>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uu88</w:t>
                  </w:r>
                </w:p>
              </w:tc>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mega</w:t>
                  </w:r>
                </w:p>
              </w:tc>
              <w:tc>
                <w:tcPr>
                  <w:tcW w:type="dxa" w:w="476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PG, PP, PRAGMATIC, VIP, WALLET, WIN, Wallet</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0.73</w:t>
                  </w:r>
                </w:p>
              </w:tc>
            </w:tr>
            <w:tr>
              <w:trPr>
                <w:cantSplit/>
              </w:trPr>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n98</w:t>
                  </w:r>
                </w:p>
              </w:tc>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mega</w:t>
                  </w:r>
                </w:p>
              </w:tc>
              <w:tc>
                <w:tcPr>
                  <w:tcW w:type="dxa" w:w="476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PG, PP, RTP, VIP, WALLET, Wallet, สมัครสมาชิก</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0.73</w:t>
                  </w:r>
                </w:p>
              </w:tc>
            </w:tr>
            <w:tr>
              <w:trPr>
                <w:cantSplit/>
              </w:trPr>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ezslot</w:t>
                  </w:r>
                </w:p>
              </w:tc>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wingame</w:t>
                  </w:r>
                </w:p>
              </w:tc>
              <w:tc>
                <w:tcPr>
                  <w:tcW w:type="dxa" w:w="476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PG, PRAGMATIC, VIP, WALLET, WIN, Wallet, สมัครสมาชิก</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0.73</w:t>
                  </w:r>
                </w:p>
              </w:tc>
            </w:tr>
            <w:tr>
              <w:trPr>
                <w:cantSplit/>
              </w:trPr>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mega</w:t>
                  </w:r>
                </w:p>
              </w:tc>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wingame</w:t>
                  </w:r>
                </w:p>
              </w:tc>
              <w:tc>
                <w:tcPr>
                  <w:tcW w:type="dxa" w:w="476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PG, PRAGMATIC, VIP, WALLET, WIN, Wallet, สมัครสมาชิก</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0.73</w:t>
                  </w:r>
                </w:p>
              </w:tc>
            </w:tr>
            <w:tr>
              <w:trPr>
                <w:cantSplit/>
              </w:trPr>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jin</w:t>
                  </w:r>
                </w:p>
              </w:tc>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uu88</w:t>
                  </w:r>
                </w:p>
              </w:tc>
              <w:tc>
                <w:tcPr>
                  <w:tcW w:type="dxa" w:w="476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PG, PP, PRAGMATIC, VIP, WALLET, WIN, Wallet</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0.67</w:t>
                  </w:r>
                </w:p>
              </w:tc>
            </w:tr>
            <w:tr>
              <w:trPr>
                <w:cantSplit/>
              </w:trPr>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jin</w:t>
                  </w:r>
                </w:p>
              </w:tc>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n98</w:t>
                  </w:r>
                </w:p>
              </w:tc>
              <w:tc>
                <w:tcPr>
                  <w:tcW w:type="dxa" w:w="476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PG, PP, RTP, VIP, WALLET, Wallet, สมัครสมาชิก</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0.67</w:t>
                  </w:r>
                </w:p>
              </w:tc>
            </w:tr>
            <w:tr>
              <w:trPr>
                <w:cantSplit/>
              </w:trPr>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jin</w:t>
                  </w:r>
                </w:p>
              </w:tc>
              <w:tc>
                <w:tcPr>
                  <w:tcW w:type="dxa" w:w="111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wingame</w:t>
                  </w:r>
                </w:p>
              </w:tc>
              <w:tc>
                <w:tcPr>
                  <w:tcW w:type="dxa" w:w="476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BET, PG, PRAGMATIC, VIP, WALLET, WIN, Wallet, สมัครสมาชิก</w:t>
                  </w:r>
                </w:p>
              </w:tc>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0.67</w:t>
                  </w:r>
                </w:p>
              </w:tc>
            </w:tr>
            <w:tr>
              <w:trPr>
                <w:cantSplit/>
              </w:trPr>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jjun</w:t>
                  </w:r>
                </w:p>
              </w:tc>
              <w:tc>
                <w:tcPr>
                  <w:tcW w:type="dxa" w:w="111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mega</w:t>
                  </w:r>
                </w:p>
              </w:tc>
              <w:tc>
                <w:tcPr>
                  <w:tcW w:type="dxa" w:w="476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 PG, PP, PRAGMATIC, RTP, WALLET, Wallet, สมัครสมาชิก</w:t>
                  </w:r>
                </w:p>
              </w:tc>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0.67</w:t>
                  </w:r>
                </w:p>
              </w:tc>
            </w:tr>
          </w:tbl>
          <w:p/>
          <w:p>
            <w:pPr>
              <w:spacing w:before="80" w:after="0"/>
            </w:pPr>
            <w:r>
              <w:rPr>
                <w:rFonts w:ascii="Calibri" w:hAnsi="Calibri" w:cs="Tahoma"/>
                <w:b/>
                <w:color w:val="51606E"/>
                <w:sz w:val="17"/>
                <w:szCs w:val="17"/>
                <w:bCs w:val="1"/>
              </w:rPr>
              <w:t xml:space="preserve">Table 8. </w:t>
            </w:r>
            <w:r>
              <w:rPr>
                <w:rFonts w:ascii="Calibri" w:hAnsi="Calibri" w:cs="Tahoma"/>
                <w:color w:val="51606E"/>
                <w:sz w:val="17"/>
                <w:szCs w:val="17"/>
              </w:rPr>
              <w:t>Pairs of multi-URL clusters whose signal keyword sets overlap at a Jaccard similarity of 0.60 or more. 11,211 pairs met the threshold. Shared promotional vocabulary is common across unrelated operators, so these pairs are leads for an analyst and not a clustering decision.</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25" w:name="e8"/>
            <w:pPr>
              <w:pStyle w:val="Heading2"/>
            </w:pPr>
            <w:r>
              <w:rPr>
                <w:rFonts w:ascii="Calibri" w:hAnsi="Calibri" w:cs="Tahoma"/>
                <w:b/>
                <w:color w:val="1F3F63"/>
                <w:sz w:val="23"/>
                <w:szCs w:val="23"/>
                <w:bCs w:val="1"/>
              </w:rPr>
              <w:t>Naming conventions</w:t>
            </w:r>
            <w:bookmarkEnd w:id="1025"/>
          </w:p>
          <w:p>
            <w:pPr>
              <w:pStyle w:val="ListBullet"/>
              <w:spacing w:after="60"/>
            </w:pPr>
            <w:r>
              <w:rPr>
                <w:rFonts w:ascii="Calibri" w:hAnsi="Calibri" w:cs="Tahoma"/>
                <w:sz w:val="19"/>
                <w:szCs w:val="19"/>
              </w:rPr>
              <w:t>Recurring tokens appear across the domain names in the largest clusters: m. in 2,153 names, login in 1,300 names, mobile in 1,232 names. The repetition is evidence of a templated naming scheme.</w:t>
            </w:r>
          </w:p>
          <w:p>
            <w:pPr>
              <w:pStyle w:val="ListBullet"/>
              <w:spacing w:after="60"/>
            </w:pPr>
            <w:r>
              <w:rPr>
                <w:rFonts w:ascii="Calibri" w:hAnsi="Calibri" w:cs="Tahoma"/>
                <w:sz w:val="19"/>
                <w:szCs w:val="19"/>
              </w:rPr>
              <w:t>The names in the largest clusters span more than one suffix: .co in 1,626 names, .net in 592 names, .vip in 564 names, .com in 514 names. The operators behind these clusters rotate top-level domains.</w:t>
            </w:r>
          </w:p>
          <w:p>
            <w:pPr>
              <w:pStyle w:val="ListBullet"/>
              <w:spacing w:after="60"/>
            </w:pPr>
            <w:r>
              <w:rPr>
                <w:rFonts w:ascii="Calibri" w:hAnsi="Calibri" w:cs="Tahoma"/>
                <w:sz w:val="19"/>
                <w:szCs w:val="19"/>
              </w:rPr>
              <w:t>5,074 distinct domains across 15 brand clusters.</w:t>
            </w:r>
          </w:p>
        </w:tc>
      </w:tr>
    </w:tbl>
    <w:p>
      <w:pPr>
        <w:spacing w:after="120"/>
      </w:pPr>
    </w:p>
    <w:tbl>
      <w:tblPr>
        <w:tblW w:type="auto" w:w="0"/>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797"/>
        <w:gridCol w:w="340"/>
        <w:gridCol w:w="2797"/>
        <w:gridCol w:w="340"/>
        <w:gridCol w:w="2797"/>
      </w:tblGrid>
      <w:tr>
        <w:trPr>
          <w:cantSplit/>
        </w:trPr>
        <w:tc>
          <w:tcPr>
            <w:tcW w:type="dxa" w:w="2797"/>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125</w:t>
            </w:r>
          </w:p>
          <w:p>
            <w:pPr>
              <w:spacing w:before="0" w:after="0" w:line="264" w:lineRule="auto"/>
              <w:jc w:val="center"/>
            </w:pPr>
            <w:r>
              <w:rPr>
                <w:rFonts w:ascii="Calibri" w:hAnsi="Calibri" w:cs="Tahoma"/>
                <w:b w:val="0"/>
                <w:color w:val="51606E"/>
                <w:sz w:val="17"/>
                <w:szCs w:val="17"/>
                <w:bCs w:val="0"/>
              </w:rPr>
              <w:t>Reached directly</w:t>
            </w:r>
          </w:p>
        </w:tc>
        <w:tc>
          <w:tcPr>
            <w:tcW w:type="dxa" w:w="340"/>
            <w:tcMar>
              <w:top w:w="0" w:type="dxa"/>
              <w:left w:w="0" w:type="dxa"/>
              <w:bottom w:w="0" w:type="dxa"/>
              <w:right w:w="0" w:type="dxa"/>
            </w:tcMar>
          </w:tcPr>
        </w:tc>
        <w:tc>
          <w:tcPr>
            <w:tcW w:type="dxa" w:w="2797"/>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594</w:t>
            </w:r>
          </w:p>
          <w:p>
            <w:pPr>
              <w:spacing w:before="0" w:after="0" w:line="264" w:lineRule="auto"/>
              <w:jc w:val="center"/>
            </w:pPr>
            <w:r>
              <w:rPr>
                <w:rFonts w:ascii="Calibri" w:hAnsi="Calibri" w:cs="Tahoma"/>
                <w:b w:val="0"/>
                <w:color w:val="51606E"/>
                <w:sz w:val="17"/>
                <w:szCs w:val="17"/>
                <w:bCs w:val="0"/>
              </w:rPr>
              <w:t>Redirect-derived</w:t>
            </w:r>
          </w:p>
        </w:tc>
        <w:tc>
          <w:tcPr>
            <w:tcW w:type="dxa" w:w="340"/>
            <w:tcMar>
              <w:top w:w="0" w:type="dxa"/>
              <w:left w:w="0" w:type="dxa"/>
              <w:bottom w:w="0" w:type="dxa"/>
              <w:right w:w="0" w:type="dxa"/>
            </w:tcMar>
          </w:tcPr>
        </w:tc>
        <w:tc>
          <w:tcPr>
            <w:tcW w:type="dxa" w:w="2797"/>
            <w:tcBorders>
              <w:top w:val="single" w:sz="4" w:space="0" w:color="C9D2DB"/>
              <w:left w:val="single" w:sz="4" w:space="0" w:color="C9D2DB"/>
              <w:bottom w:val="single" w:sz="4" w:space="0" w:color="C9D2DB"/>
              <w:right w:val="single" w:sz="4" w:space="0" w:color="C9D2DB"/>
            </w:tcBorders>
            <w:tcMar>
              <w:top w:w="227" w:type="dxa"/>
              <w:left w:w="227" w:type="dxa"/>
              <w:bottom w:w="227" w:type="dxa"/>
              <w:right w:w="227" w:type="dxa"/>
            </w:tcMar>
          </w:tcPr>
          <w:p>
            <w:pPr>
              <w:spacing w:before="0" w:after="20" w:line="252" w:lineRule="auto"/>
              <w:jc w:val="center"/>
            </w:pPr>
            <w:r>
              <w:rPr>
                <w:rFonts w:ascii="Calibri" w:hAnsi="Calibri" w:cs="Tahoma"/>
                <w:b/>
                <w:color w:val="1F3F63"/>
                <w:sz w:val="34"/>
                <w:szCs w:val="34"/>
                <w:bCs w:val="1"/>
              </w:rPr>
              <w:t>10,929</w:t>
            </w:r>
          </w:p>
          <w:p>
            <w:pPr>
              <w:spacing w:before="0" w:after="0" w:line="264" w:lineRule="auto"/>
              <w:jc w:val="center"/>
            </w:pPr>
            <w:r>
              <w:rPr>
                <w:rFonts w:ascii="Calibri" w:hAnsi="Calibri" w:cs="Tahoma"/>
                <w:b w:val="0"/>
                <w:color w:val="51606E"/>
                <w:sz w:val="17"/>
                <w:szCs w:val="17"/>
                <w:bCs w:val="0"/>
              </w:rPr>
              <w:t>Crawler variants</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26" w:name="e10"/>
            <w:pPr>
              <w:pStyle w:val="Heading2"/>
            </w:pPr>
            <w:r>
              <w:rPr>
                <w:rFonts w:ascii="Calibri" w:hAnsi="Calibri" w:cs="Tahoma"/>
                <w:b/>
                <w:color w:val="1F3F63"/>
                <w:sz w:val="23"/>
                <w:szCs w:val="23"/>
                <w:bCs w:val="1"/>
              </w:rPr>
              <w:t>Redirect propagation: www.min88.top</w:t>
            </w:r>
            <w:bookmarkEnd w:id="1026"/>
          </w:p>
          <w:p>
            <w:pPr>
              <w:keepNext/>
              <w:spacing w:before="0" w:after="120" w:line="293" w:lineRule="auto"/>
            </w:pPr>
            <w:r>
              <w:rPr>
                <w:rFonts w:ascii="Calibri" w:hAnsi="Calibri" w:cs="Tahoma"/>
                <w:b w:val="0"/>
                <w:color w:val="51606E"/>
                <w:sz w:val="19"/>
                <w:szCs w:val="19"/>
                <w:bCs w:val="0"/>
              </w:rPr>
              <w:t>The busiest redirect source and the destinations reached from it. Each node is one domain.</w:t>
            </w:r>
          </w:p>
          <w:p>
            <w:pPr>
              <w:spacing w:before="40" w:after="0"/>
              <w:jc w:val="center"/>
            </w:pPr>
            <w:r>
              <w:drawing>
                <wp:inline xmlns:a="http://schemas.openxmlformats.org/drawingml/2006/main" xmlns:pic="http://schemas.openxmlformats.org/drawingml/2006/picture">
                  <wp:extent cx="5040000" cy="4096180"/>
                  <wp:docPr id="11" name="Picture 11"/>
                  <wp:cNvGraphicFramePr>
                    <a:graphicFrameLocks noChangeAspect="1"/>
                  </wp:cNvGraphicFramePr>
                  <a:graphic>
                    <a:graphicData uri="http://schemas.openxmlformats.org/drawingml/2006/picture">
                      <pic:pic>
                        <pic:nvPicPr>
                          <pic:cNvPr id="0" name="e10_redirect.png"/>
                          <pic:cNvPicPr/>
                        </pic:nvPicPr>
                        <pic:blipFill>
                          <a:blip r:embed="rId22"/>
                          <a:stretch>
                            <a:fillRect/>
                          </a:stretch>
                        </pic:blipFill>
                        <pic:spPr>
                          <a:xfrm>
                            <a:off x="0" y="0"/>
                            <a:ext cx="5040000" cy="4096180"/>
                          </a:xfrm>
                          <a:prstGeom prst="rect"/>
                        </pic:spPr>
                      </pic:pic>
                    </a:graphicData>
                  </a:graphic>
                </wp:inline>
              </w:drawing>
            </w:r>
          </w:p>
          <w:p>
            <w:pPr>
              <w:spacing w:before="80" w:after="0"/>
            </w:pPr>
            <w:r>
              <w:rPr>
                <w:rFonts w:ascii="Calibri" w:hAnsi="Calibri" w:cs="Tahoma"/>
                <w:b/>
                <w:color w:val="51606E"/>
                <w:sz w:val="17"/>
                <w:szCs w:val="17"/>
                <w:bCs w:val="1"/>
              </w:rPr>
              <w:t xml:space="preserve">Figure 11. </w:t>
            </w:r>
            <w:r>
              <w:rPr>
                <w:rFonts w:ascii="Calibri" w:hAnsi="Calibri" w:cs="Tahoma"/>
                <w:color w:val="51606E"/>
                <w:sz w:val="17"/>
                <w:szCs w:val="17"/>
              </w:rPr>
              <w:t>Destinations reached from www.min88.top: N1 = min88.academy; N2 = min88.cafe; N3 = min88.camp; N4 = min88.cash; N5 = min88.city; N6 = min88.international.</w:t>
            </w:r>
          </w:p>
        </w:tc>
      </w:tr>
    </w:tbl>
    <w:p>
      <w:pPr>
        <w:spacing w:after="120"/>
      </w:pPr>
    </w:p>
    <w:p>
      <w:bookmarkStart w:id="1027" w:name="s_rank"/>
      <w:pPr>
        <w:pStyle w:val="Heading1"/>
        <w:pBdr>
          <w:bottom w:val="single" w:sz="6" w:space="4" w:color="1F3F63"/>
        </w:pBdr>
      </w:pPr>
      <w:r>
        <w:rPr>
          <w:rFonts w:ascii="Calibri" w:hAnsi="Calibri" w:cs="Tahoma"/>
          <w:b/>
          <w:color w:val="1F3F63"/>
          <w:sz w:val="30"/>
          <w:szCs w:val="30"/>
          <w:bCs w:val="1"/>
        </w:rPr>
        <w:t>Ranking</w:t>
      </w:r>
      <w:bookmarkEnd w:id="1027"/>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28" w:name="f1"/>
            <w:pPr>
              <w:pStyle w:val="Heading2"/>
            </w:pPr>
            <w:r>
              <w:rPr>
                <w:rFonts w:ascii="Calibri" w:hAnsi="Calibri" w:cs="Tahoma"/>
                <w:b/>
                <w:color w:val="1F3F63"/>
                <w:sz w:val="23"/>
                <w:szCs w:val="23"/>
                <w:bCs w:val="1"/>
              </w:rPr>
              <w:t>Gambling ranking</w:t>
            </w:r>
            <w:bookmarkEnd w:id="1028"/>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Pr>
            <w:tblGrid>
              <w:gridCol w:w="952"/>
              <w:gridCol w:w="2381"/>
              <w:gridCol w:w="1270"/>
              <w:gridCol w:w="1746"/>
              <w:gridCol w:w="1587"/>
            </w:tblGrid>
            <w:tr>
              <w:trPr>
                <w:cantSplit/>
                <w:tblHeader/>
              </w:trPr>
              <w:tc>
                <w:tcPr>
                  <w:tcW w:type="dxa" w:w="952"/>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Rank</w:t>
                  </w:r>
                </w:p>
              </w:tc>
              <w:tc>
                <w:tcPr>
                  <w:tcW w:type="dxa" w:w="2381"/>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Domain</w:t>
                  </w:r>
                </w:p>
              </w:tc>
              <w:tc>
                <w:tcPr>
                  <w:tcW w:type="dxa" w:w="1270"/>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Brand cluster</w:t>
                  </w:r>
                </w:p>
              </w:tc>
              <w:tc>
                <w:tcPr>
                  <w:tcW w:type="dxa" w:w="1746"/>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Subcategory</w:t>
                  </w:r>
                </w:p>
              </w:tc>
              <w:tc>
                <w:tcPr>
                  <w:tcW w:type="dxa" w:w="1587"/>
                  <w:shd w:val="clear" w:color="auto" w:fill="1F3F63"/>
                  <w:tcMar>
                    <w:top w:w="40" w:type="dxa"/>
                    <w:left w:w="68" w:type="dxa"/>
                    <w:bottom w:w="40" w:type="dxa"/>
                    <w:right w:w="68" w:type="dxa"/>
                  </w:tcMar>
                </w:tcPr>
                <w:p>
                  <w:pPr>
                    <w:spacing w:before="20" w:after="20" w:line="293" w:lineRule="auto"/>
                  </w:pPr>
                  <w:r>
                    <w:rPr>
                      <w:rFonts w:ascii="Calibri" w:hAnsi="Calibri" w:cs="Tahoma"/>
                      <w:b/>
                      <w:color w:val="FFFFFF"/>
                      <w:sz w:val="16"/>
                      <w:szCs w:val="16"/>
                      <w:bCs w:val="1"/>
                    </w:rPr>
                    <w:t>Source</w:t>
                  </w:r>
                </w:p>
              </w:tc>
            </w:tr>
            <w:tr>
              <w:trPr>
                <w:cantSplit/>
              </w:trPr>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91,874</w:t>
                  </w:r>
                </w:p>
              </w:tc>
              <w:tc>
                <w:tcPr>
                  <w:tcW w:type="dxa" w:w="238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metal--vip.com</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metal</w:t>
                  </w:r>
                </w:p>
              </w:tc>
              <w:tc>
                <w:tcPr>
                  <w:tcW w:type="dxa" w:w="1746"/>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Slots</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Analyst-enriched</w:t>
                  </w:r>
                </w:p>
              </w:tc>
            </w:tr>
            <w:tr>
              <w:trPr>
                <w:cantSplit/>
              </w:trPr>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92,922</w:t>
                  </w:r>
                </w:p>
              </w:tc>
              <w:tc>
                <w:tcPr>
                  <w:tcW w:type="dxa" w:w="238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gernpang88.com</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gernpang</w:t>
                  </w:r>
                </w:p>
              </w:tc>
              <w:tc>
                <w:tcPr>
                  <w:tcW w:type="dxa" w:w="1746"/>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General Gambling</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Analyst-enriched</w:t>
                  </w:r>
                </w:p>
              </w:tc>
            </w:tr>
            <w:tr>
              <w:trPr>
                <w:cantSplit/>
              </w:trPr>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129,213</w:t>
                  </w:r>
                </w:p>
              </w:tc>
              <w:tc>
                <w:tcPr>
                  <w:tcW w:type="dxa" w:w="238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duangpang168.com</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duangpang</w:t>
                  </w:r>
                </w:p>
              </w:tc>
              <w:tc>
                <w:tcPr>
                  <w:tcW w:type="dxa" w:w="1746"/>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General Gambling</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Analyst-enriched</w:t>
                  </w:r>
                </w:p>
              </w:tc>
            </w:tr>
            <w:tr>
              <w:trPr>
                <w:cantSplit/>
              </w:trPr>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198,736</w:t>
                  </w:r>
                </w:p>
              </w:tc>
              <w:tc>
                <w:tcPr>
                  <w:tcW w:type="dxa" w:w="238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jun88wb.com</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jun88a</w:t>
                  </w:r>
                </w:p>
              </w:tc>
              <w:tc>
                <w:tcPr>
                  <w:tcW w:type="dxa" w:w="1746"/>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Casino</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Crawler variant</w:t>
                  </w:r>
                </w:p>
              </w:tc>
            </w:tr>
            <w:tr>
              <w:trPr>
                <w:cantSplit/>
              </w:trPr>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214,795</w:t>
                  </w:r>
                </w:p>
              </w:tc>
              <w:tc>
                <w:tcPr>
                  <w:tcW w:type="dxa" w:w="238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allslotwallet.online</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allslotwallet</w:t>
                  </w:r>
                </w:p>
              </w:tc>
              <w:tc>
                <w:tcPr>
                  <w:tcW w:type="dxa" w:w="1746"/>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Slots</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Analyst-enriched</w:t>
                  </w:r>
                </w:p>
              </w:tc>
            </w:tr>
            <w:tr>
              <w:trPr>
                <w:cantSplit/>
              </w:trPr>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219,821</w:t>
                  </w:r>
                </w:p>
              </w:tc>
              <w:tc>
                <w:tcPr>
                  <w:tcW w:type="dxa" w:w="238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u11k.pro</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u11k</w:t>
                  </w:r>
                </w:p>
              </w:tc>
              <w:tc>
                <w:tcPr>
                  <w:tcW w:type="dxa" w:w="1746"/>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Football Betting</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Crawler variant</w:t>
                  </w:r>
                </w:p>
              </w:tc>
            </w:tr>
            <w:tr>
              <w:trPr>
                <w:cantSplit/>
              </w:trPr>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221,001</w:t>
                  </w:r>
                </w:p>
              </w:tc>
              <w:tc>
                <w:tcPr>
                  <w:tcW w:type="dxa" w:w="238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suriyathai.net</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suriya</w:t>
                  </w:r>
                </w:p>
              </w:tc>
              <w:tc>
                <w:tcPr>
                  <w:tcW w:type="dxa" w:w="1746"/>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General Gambling</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Analyst-enriched</w:t>
                  </w:r>
                </w:p>
              </w:tc>
            </w:tr>
            <w:tr>
              <w:trPr>
                <w:cantSplit/>
              </w:trPr>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303,254</w:t>
                  </w:r>
                </w:p>
              </w:tc>
              <w:tc>
                <w:tcPr>
                  <w:tcW w:type="dxa" w:w="238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jun88wf.com</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jun88a</w:t>
                  </w:r>
                </w:p>
              </w:tc>
              <w:tc>
                <w:tcPr>
                  <w:tcW w:type="dxa" w:w="1746"/>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Lottery</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Crawler variant</w:t>
                  </w:r>
                </w:p>
              </w:tc>
            </w:tr>
            <w:tr>
              <w:trPr>
                <w:cantSplit/>
              </w:trPr>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397,330</w:t>
                  </w:r>
                </w:p>
              </w:tc>
              <w:tc>
                <w:tcPr>
                  <w:tcW w:type="dxa" w:w="238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jun88wa.com</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jun88a</w:t>
                  </w:r>
                </w:p>
              </w:tc>
              <w:tc>
                <w:tcPr>
                  <w:tcW w:type="dxa" w:w="1746"/>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Football Betting</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Crawler variant</w:t>
                  </w:r>
                </w:p>
              </w:tc>
            </w:tr>
            <w:tr>
              <w:trPr>
                <w:cantSplit/>
              </w:trPr>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466,858</w:t>
                  </w:r>
                </w:p>
              </w:tc>
              <w:tc>
                <w:tcPr>
                  <w:tcW w:type="dxa" w:w="238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jun88wc.com</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jun88a</w:t>
                  </w:r>
                </w:p>
              </w:tc>
              <w:tc>
                <w:tcPr>
                  <w:tcW w:type="dxa" w:w="1746"/>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Slots</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Crawler variant</w:t>
                  </w:r>
                </w:p>
              </w:tc>
            </w:tr>
            <w:tr>
              <w:trPr>
                <w:cantSplit/>
              </w:trPr>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517,141</w:t>
                  </w:r>
                </w:p>
              </w:tc>
              <w:tc>
                <w:tcPr>
                  <w:tcW w:type="dxa" w:w="238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slavinaslot.top</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jun</w:t>
                  </w:r>
                </w:p>
              </w:tc>
              <w:tc>
                <w:tcPr>
                  <w:tcW w:type="dxa" w:w="1746"/>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Slots</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Redirect-derived</w:t>
                  </w:r>
                </w:p>
              </w:tc>
            </w:tr>
            <w:tr>
              <w:trPr>
                <w:cantSplit/>
              </w:trPr>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517,141</w:t>
                  </w:r>
                </w:p>
              </w:tc>
              <w:tc>
                <w:tcPr>
                  <w:tcW w:type="dxa" w:w="238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jun88.info</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jun</w:t>
                  </w:r>
                </w:p>
              </w:tc>
              <w:tc>
                <w:tcPr>
                  <w:tcW w:type="dxa" w:w="1746"/>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Slots</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Crawler variant</w:t>
                  </w:r>
                </w:p>
              </w:tc>
            </w:tr>
            <w:tr>
              <w:trPr>
                <w:cantSplit/>
              </w:trPr>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547,370</w:t>
                  </w:r>
                </w:p>
              </w:tc>
              <w:tc>
                <w:tcPr>
                  <w:tcW w:type="dxa" w:w="238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99ok.vip</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99ok</w:t>
                  </w:r>
                </w:p>
              </w:tc>
              <w:tc>
                <w:tcPr>
                  <w:tcW w:type="dxa" w:w="1746"/>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Lottery</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Crawler variant</w:t>
                  </w:r>
                </w:p>
              </w:tc>
            </w:tr>
            <w:tr>
              <w:trPr>
                <w:cantSplit/>
              </w:trPr>
              <w:tc>
                <w:tcPr>
                  <w:tcW w:type="dxa" w:w="952"/>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558,790</w:t>
                  </w:r>
                </w:p>
              </w:tc>
              <w:tc>
                <w:tcPr>
                  <w:tcW w:type="dxa" w:w="2381"/>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gg8830.com</w:t>
                  </w:r>
                </w:p>
              </w:tc>
              <w:tc>
                <w:tcPr>
                  <w:tcW w:type="dxa" w:w="1270"/>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gg88</w:t>
                  </w:r>
                </w:p>
              </w:tc>
              <w:tc>
                <w:tcPr>
                  <w:tcW w:type="dxa" w:w="1746"/>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Slots</w:t>
                  </w:r>
                </w:p>
              </w:tc>
              <w:tc>
                <w:tcPr>
                  <w:tcW w:type="dxa" w:w="1587"/>
                  <w:tcMar>
                    <w:top w:w="40" w:type="dxa"/>
                    <w:left w:w="68" w:type="dxa"/>
                    <w:bottom w:w="40" w:type="dxa"/>
                    <w:right w:w="68" w:type="dxa"/>
                  </w:tcMar>
                  <w:shd w:val="clear" w:color="auto" w:fill="F4F7FA"/>
                </w:tcPr>
                <w:p>
                  <w:pPr>
                    <w:spacing w:before="20" w:after="20" w:line="264" w:lineRule="auto"/>
                  </w:pPr>
                  <w:r>
                    <w:rPr>
                      <w:rFonts w:ascii="Calibri" w:hAnsi="Calibri" w:cs="Tahoma"/>
                      <w:b w:val="0"/>
                      <w:color w:val="1B2733"/>
                      <w:sz w:val="16"/>
                      <w:szCs w:val="16"/>
                      <w:bCs w:val="0"/>
                    </w:rPr>
                    <w:t>Crawler variant</w:t>
                  </w:r>
                </w:p>
              </w:tc>
            </w:tr>
            <w:tr>
              <w:trPr>
                <w:cantSplit/>
              </w:trPr>
              <w:tc>
                <w:tcPr>
                  <w:tcW w:type="dxa" w:w="952"/>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582,212</w:t>
                  </w:r>
                </w:p>
              </w:tc>
              <w:tc>
                <w:tcPr>
                  <w:tcW w:type="dxa" w:w="2381"/>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betwgb.com</w:t>
                  </w:r>
                </w:p>
              </w:tc>
              <w:tc>
                <w:tcPr>
                  <w:tcW w:type="dxa" w:w="1270"/>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betwgb</w:t>
                  </w:r>
                </w:p>
              </w:tc>
              <w:tc>
                <w:tcPr>
                  <w:tcW w:type="dxa" w:w="1746"/>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General Gambling</w:t>
                  </w:r>
                </w:p>
              </w:tc>
              <w:tc>
                <w:tcPr>
                  <w:tcW w:type="dxa" w:w="1587"/>
                  <w:tcMar>
                    <w:top w:w="40" w:type="dxa"/>
                    <w:left w:w="68" w:type="dxa"/>
                    <w:bottom w:w="40" w:type="dxa"/>
                    <w:right w:w="68" w:type="dxa"/>
                  </w:tcMar>
                </w:tcPr>
                <w:p>
                  <w:pPr>
                    <w:spacing w:before="20" w:after="20" w:line="264" w:lineRule="auto"/>
                  </w:pPr>
                  <w:r>
                    <w:rPr>
                      <w:rFonts w:ascii="Calibri" w:hAnsi="Calibri" w:cs="Tahoma"/>
                      <w:b w:val="0"/>
                      <w:color w:val="1B2733"/>
                      <w:sz w:val="16"/>
                      <w:szCs w:val="16"/>
                      <w:bCs w:val="0"/>
                    </w:rPr>
                    <w:t>Analyst-enriched</w:t>
                  </w:r>
                </w:p>
              </w:tc>
            </w:tr>
          </w:tbl>
          <w:p/>
          <w:p>
            <w:pPr>
              <w:spacing w:before="80" w:after="0"/>
            </w:pPr>
            <w:r>
              <w:rPr>
                <w:rFonts w:ascii="Calibri" w:hAnsi="Calibri" w:cs="Tahoma"/>
                <w:b/>
                <w:color w:val="51606E"/>
                <w:sz w:val="17"/>
                <w:szCs w:val="17"/>
                <w:bCs w:val="1"/>
              </w:rPr>
              <w:t xml:space="preserve">Table 9. </w:t>
            </w:r>
            <w:r>
              <w:rPr>
                <w:rFonts w:ascii="Calibri" w:hAnsi="Calibri" w:cs="Tahoma"/>
                <w:color w:val="51606E"/>
                <w:sz w:val="17"/>
                <w:szCs w:val="17"/>
              </w:rPr>
              <w:t>The 15 highest ranked gambling sites of the 268 that carry a numeric rank.</w:t>
            </w:r>
          </w:p>
          <w:p>
            <w:pPr>
              <w:spacing w:before="80" w:after="0"/>
            </w:pPr>
            <w:r>
              <w:rPr>
                <w:rFonts w:ascii="Calibri" w:hAnsi="Calibri" w:cs="Tahoma"/>
                <w:color w:val="51606E"/>
                <w:sz w:val="17"/>
                <w:szCs w:val="17"/>
              </w:rPr>
              <w:t>Rank reflects search visibility or source-feed position. It does not measure harm, revenue, user volume or enforcement priority.</w:t>
            </w:r>
          </w:p>
          <w:p>
            <w:pPr>
              <w:spacing w:before="80" w:after="0"/>
            </w:pPr>
            <w:r>
              <w:rPr>
                <w:rFonts w:ascii="Calibri" w:hAnsi="Calibri" w:cs="Tahoma"/>
                <w:color w:val="51606E"/>
                <w:sz w:val="17"/>
                <w:szCs w:val="17"/>
              </w:rPr>
              <w:t>"Analyst-enriched" means an analyst verified or added details after SICPADetect’s automated detection. SICPADetect’s detection process is automated.</w:t>
            </w:r>
          </w:p>
        </w:tc>
      </w:tr>
    </w:tbl>
    <w:p>
      <w:pPr>
        <w:spacing w:after="120"/>
      </w:pPr>
    </w:p>
    <w:p>
      <w:bookmarkStart w:id="1029" w:name="s_ins"/>
      <w:pPr>
        <w:pStyle w:val="Heading1"/>
        <w:pBdr>
          <w:bottom w:val="single" w:sz="6" w:space="4" w:color="1F3F63"/>
        </w:pBdr>
      </w:pPr>
      <w:r>
        <w:rPr>
          <w:rFonts w:ascii="Calibri" w:hAnsi="Calibri" w:cs="Tahoma"/>
          <w:b/>
          <w:color w:val="1F3F63"/>
          <w:sz w:val="30"/>
          <w:szCs w:val="30"/>
          <w:bCs w:val="1"/>
        </w:rPr>
        <w:t>Key insights</w:t>
      </w:r>
      <w:bookmarkEnd w:id="1029"/>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30" w:name="g1"/>
            <w:pPr>
              <w:pStyle w:val="Heading2"/>
            </w:pPr>
            <w:r>
              <w:rPr>
                <w:rFonts w:ascii="Calibri" w:hAnsi="Calibri" w:cs="Tahoma"/>
                <w:b/>
                <w:color w:val="1F3F63"/>
                <w:sz w:val="23"/>
                <w:szCs w:val="23"/>
                <w:bCs w:val="1"/>
              </w:rPr>
              <w:t>Scale of the analysis</w:t>
            </w:r>
            <w:bookmarkEnd w:id="1030"/>
          </w:p>
          <w:p>
            <w:pPr>
              <w:spacing w:before="0" w:after="120" w:line="293" w:lineRule="auto"/>
            </w:pPr>
            <w:r>
              <w:rPr>
                <w:rFonts w:ascii="Calibri" w:hAnsi="Calibri" w:cs="Tahoma"/>
                <w:b w:val="0"/>
                <w:color w:val="1B2733"/>
                <w:sz w:val="20"/>
                <w:szCs w:val="20"/>
                <w:bCs w:val="0"/>
              </w:rPr>
              <w:t>SICPADetect analysed 24,605 distinct URLs during the pilot reporting period of 34 days, 4 Sep 2026 to 7 Oct 2026. The classification outcomes were 11,648 gambling and 12,957 not gambling.</w:t>
            </w:r>
          </w:p>
          <w:p>
            <w:pPr>
              <w:spacing w:before="80" w:after="0"/>
              <w:pBdr>
                <w:top w:val="single" w:sz="4" w:space="6" w:color="C9D2DB"/>
              </w:pBdr>
            </w:pPr>
            <w:r>
              <w:rPr>
                <w:rFonts w:ascii="Calibri" w:hAnsi="Calibri" w:cs="Tahoma"/>
                <w:b/>
                <w:color w:val="1F3F63"/>
                <w:sz w:val="19"/>
                <w:szCs w:val="19"/>
                <w:bCs w:val="1"/>
              </w:rPr>
              <w:t xml:space="preserve">Take. </w:t>
            </w:r>
            <w:r>
              <w:rPr>
                <w:rFonts w:ascii="Calibri" w:hAnsi="Calibri" w:cs="Tahoma"/>
                <w:b w:val="0"/>
                <w:color w:val="1B2733"/>
                <w:sz w:val="19"/>
                <w:szCs w:val="19"/>
                <w:bCs w:val="0"/>
              </w:rPr>
              <w:t>SICPADetect classified 11,648 URLs as gambling, 47.3% of the URLs analysed. Daily volumes in this period follow processing batches, so the period does not support a statement about the direction of gambling activity over time.</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31" w:name="g2"/>
            <w:pPr>
              <w:pStyle w:val="Heading2"/>
            </w:pPr>
            <w:r>
              <w:rPr>
                <w:rFonts w:ascii="Calibri" w:hAnsi="Calibri" w:cs="Tahoma"/>
                <w:b/>
                <w:color w:val="1F3F63"/>
                <w:sz w:val="23"/>
                <w:szCs w:val="23"/>
                <w:bCs w:val="1"/>
              </w:rPr>
              <w:t>What is being offered</w:t>
            </w:r>
            <w:bookmarkEnd w:id="1031"/>
          </w:p>
          <w:p>
            <w:pPr>
              <w:spacing w:before="0" w:after="120" w:line="293" w:lineRule="auto"/>
            </w:pPr>
            <w:r>
              <w:rPr>
                <w:rFonts w:ascii="Calibri" w:hAnsi="Calibri" w:cs="Tahoma"/>
                <w:b w:val="0"/>
                <w:color w:val="1B2733"/>
                <w:sz w:val="20"/>
                <w:szCs w:val="20"/>
                <w:bCs w:val="0"/>
              </w:rPr>
              <w:t>The three largest product subcategories are General Gambling with 2,969 sites at 25.5%, Slots with 2,921 sites at 25.1% and Football Betting with 2,256 sites at 19.4%. SICPADetect confirmed 2,969 gambling sites, 25.5% of the gambling set, as gambling without an evidenced product type. Model inference assigned the subcategory for 96.3% of gambling rows. Of the 286 keywords in the lexicon, 204 never matched a row in this dataset.</w:t>
            </w:r>
          </w:p>
          <w:p>
            <w:pPr>
              <w:spacing w:before="80" w:after="0"/>
              <w:pBdr>
                <w:top w:val="single" w:sz="4" w:space="6" w:color="C9D2DB"/>
              </w:pBdr>
            </w:pPr>
            <w:r>
              <w:rPr>
                <w:rFonts w:ascii="Calibri" w:hAnsi="Calibri" w:cs="Tahoma"/>
                <w:b/>
                <w:color w:val="1F3F63"/>
                <w:sz w:val="19"/>
                <w:szCs w:val="19"/>
                <w:bCs w:val="1"/>
              </w:rPr>
              <w:t xml:space="preserve">Take. </w:t>
            </w:r>
            <w:r>
              <w:rPr>
                <w:rFonts w:ascii="Calibri" w:hAnsi="Calibri" w:cs="Tahoma"/>
                <w:b w:val="0"/>
                <w:color w:val="1B2733"/>
                <w:sz w:val="19"/>
                <w:szCs w:val="19"/>
                <w:bCs w:val="0"/>
              </w:rPr>
              <w:t>General Gambling is the largest product subcategory at 25.5%. No single category accounts for a majority, and Slots follows at 25.1%.</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32" w:name="g3"/>
            <w:pPr>
              <w:pStyle w:val="Heading2"/>
            </w:pPr>
            <w:r>
              <w:rPr>
                <w:rFonts w:ascii="Calibri" w:hAnsi="Calibri" w:cs="Tahoma"/>
                <w:b/>
                <w:color w:val="1F3F63"/>
                <w:sz w:val="23"/>
                <w:szCs w:val="23"/>
                <w:bCs w:val="1"/>
              </w:rPr>
              <w:t>Brand clustering</w:t>
            </w:r>
            <w:bookmarkEnd w:id="1032"/>
          </w:p>
          <w:p>
            <w:pPr>
              <w:spacing w:before="0" w:after="120" w:line="293" w:lineRule="auto"/>
            </w:pPr>
            <w:r>
              <w:rPr>
                <w:rFonts w:ascii="Calibri" w:hAnsi="Calibri" w:cs="Tahoma"/>
                <w:b w:val="0"/>
                <w:color w:val="1B2733"/>
                <w:sz w:val="20"/>
                <w:szCs w:val="20"/>
                <w:bCs w:val="0"/>
              </w:rPr>
              <w:t>SICPADetect groups the 11,648 identified gambling URLs into 1,102 indicative brand clusters. 757 clusters hold more than one domain, and 30 clusters cover half of the identified gambling URLs. The largest, 49m, holds 1,586 domains across 4 product subcategories.</w:t>
            </w:r>
          </w:p>
          <w:p>
            <w:pPr>
              <w:spacing w:before="80" w:after="0"/>
              <w:pBdr>
                <w:top w:val="single" w:sz="4" w:space="6" w:color="C9D2DB"/>
              </w:pBdr>
            </w:pPr>
            <w:r>
              <w:rPr>
                <w:rFonts w:ascii="Calibri" w:hAnsi="Calibri" w:cs="Tahoma"/>
                <w:b/>
                <w:color w:val="1F3F63"/>
                <w:sz w:val="19"/>
                <w:szCs w:val="19"/>
                <w:bCs w:val="1"/>
              </w:rPr>
              <w:t xml:space="preserve">Take. </w:t>
            </w:r>
            <w:r>
              <w:rPr>
                <w:rFonts w:ascii="Calibri" w:hAnsi="Calibri" w:cs="Tahoma"/>
                <w:b w:val="0"/>
                <w:color w:val="1B2733"/>
                <w:sz w:val="19"/>
                <w:szCs w:val="19"/>
                <w:bCs w:val="0"/>
              </w:rPr>
              <w:t>The identified gambling URLs spread across many clusters, each holding a small share, so cluster prioritisation still groups related domains, and each action covers fewer URLs.</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33" w:name="g4"/>
            <w:pPr>
              <w:pStyle w:val="Heading2"/>
            </w:pPr>
            <w:r>
              <w:rPr>
                <w:rFonts w:ascii="Calibri" w:hAnsi="Calibri" w:cs="Tahoma"/>
                <w:b/>
                <w:color w:val="1F3F63"/>
                <w:sz w:val="23"/>
                <w:szCs w:val="23"/>
                <w:bCs w:val="1"/>
              </w:rPr>
              <w:t>How operators expand and promote their domains</w:t>
            </w:r>
            <w:bookmarkEnd w:id="1033"/>
          </w:p>
          <w:p>
            <w:pPr>
              <w:spacing w:before="0" w:after="120" w:line="293" w:lineRule="auto"/>
            </w:pPr>
            <w:r>
              <w:rPr>
                <w:rFonts w:ascii="Calibri" w:hAnsi="Calibri" w:cs="Tahoma"/>
                <w:b w:val="0"/>
                <w:color w:val="1B2733"/>
                <w:sz w:val="20"/>
                <w:szCs w:val="20"/>
                <w:bCs w:val="0"/>
              </w:rPr>
              <w:t>Of the 11,648 identified gambling URLs, 10,929 are crawler variants, 594 are redirect-derived and 125 were reached directly. The busiest redirect source, www.min88.top, reaches 6 destinations. 588 clusters use more than one top-level domain. The two most common signal tags are Abbreviations at 37.1% and Marketing &amp; Acquisition at 3.5%.</w:t>
            </w:r>
          </w:p>
          <w:p>
            <w:pPr>
              <w:spacing w:before="80" w:after="0"/>
              <w:pBdr>
                <w:top w:val="single" w:sz="4" w:space="6" w:color="C9D2DB"/>
              </w:pBdr>
            </w:pPr>
            <w:r>
              <w:rPr>
                <w:rFonts w:ascii="Calibri" w:hAnsi="Calibri" w:cs="Tahoma"/>
                <w:b/>
                <w:color w:val="1F3F63"/>
                <w:sz w:val="19"/>
                <w:szCs w:val="19"/>
                <w:bCs w:val="1"/>
              </w:rPr>
              <w:t xml:space="preserve">Take. </w:t>
            </w:r>
            <w:r>
              <w:rPr>
                <w:rFonts w:ascii="Calibri" w:hAnsi="Calibri" w:cs="Tahoma"/>
                <w:b w:val="0"/>
                <w:color w:val="1B2733"/>
                <w:sz w:val="19"/>
                <w:szCs w:val="19"/>
                <w:bCs w:val="0"/>
              </w:rPr>
              <w:t>Operators use redirects and top-level domain rotation to keep users reaching their sites when individual domains change.</w:t>
            </w:r>
          </w:p>
        </w:tc>
      </w:tr>
    </w:tbl>
    <w:p>
      <w:pPr>
        <w:spacing w:after="120"/>
      </w:pPr>
    </w:p>
    <w:tbl>
      <w:tblPr>
        <w:tblW w:type="auto" w:w="0"/>
        <w:jc w:val="left"/>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tblBorders>
      </w:tblPr>
      <w:tblGrid>
        <w:gridCol w:w="9071"/>
      </w:tblGrid>
      <w:tr>
        <w:trPr>
          <w:cantSplit/>
        </w:trPr>
        <w:tc>
          <w:tcPr>
            <w:tcW w:type="dxa" w:w="9071"/>
            <w:tcMar>
              <w:top w:w="567" w:type="dxa"/>
              <w:left w:w="567" w:type="dxa"/>
              <w:bottom w:w="567" w:type="dxa"/>
              <w:right w:w="567" w:type="dxa"/>
            </w:tcMar>
          </w:tcPr>
          <w:p>
            <w:bookmarkStart w:id="1034" w:name="g5"/>
            <w:pPr>
              <w:pStyle w:val="Heading2"/>
            </w:pPr>
            <w:r>
              <w:rPr>
                <w:rFonts w:ascii="Calibri" w:hAnsi="Calibri" w:cs="Tahoma"/>
                <w:b/>
                <w:color w:val="1F3F63"/>
                <w:sz w:val="23"/>
                <w:szCs w:val="23"/>
                <w:bCs w:val="1"/>
              </w:rPr>
              <w:t>Enforcement position</w:t>
            </w:r>
            <w:bookmarkEnd w:id="1034"/>
          </w:p>
          <w:p>
            <w:pPr>
              <w:spacing w:before="0" w:after="120" w:line="293" w:lineRule="auto"/>
            </w:pPr>
            <w:r>
              <w:rPr>
                <w:rFonts w:ascii="Calibri" w:hAnsi="Calibri" w:cs="Tahoma"/>
                <w:b w:val="0"/>
                <w:color w:val="1B2733"/>
                <w:sz w:val="20"/>
                <w:szCs w:val="20"/>
                <w:bCs w:val="0"/>
              </w:rPr>
              <w:t>Only 7 URLs in the analysed set already carried blocking or enforcement indicators. MDES can therefore include most identified gambling URLs in a first prioritised enforcement pass.</w:t>
            </w:r>
          </w:p>
          <w:p>
            <w:pPr>
              <w:spacing w:before="80" w:after="0"/>
              <w:pBdr>
                <w:top w:val="single" w:sz="4" w:space="6" w:color="C9D2DB"/>
              </w:pBdr>
            </w:pPr>
            <w:r>
              <w:rPr>
                <w:rFonts w:ascii="Calibri" w:hAnsi="Calibri" w:cs="Tahoma"/>
                <w:b/>
                <w:color w:val="1F3F63"/>
                <w:sz w:val="19"/>
                <w:szCs w:val="19"/>
                <w:bCs w:val="1"/>
              </w:rPr>
              <w:t xml:space="preserve">Take. </w:t>
            </w:r>
            <w:r>
              <w:rPr>
                <w:rFonts w:ascii="Calibri" w:hAnsi="Calibri" w:cs="Tahoma"/>
                <w:b w:val="0"/>
                <w:color w:val="1B2733"/>
                <w:sz w:val="19"/>
                <w:szCs w:val="19"/>
                <w:bCs w:val="0"/>
              </w:rPr>
              <w:t>Cluster-based prioritisation lets MDES act on groups of related domains instead of handling each URL separately.</w:t>
            </w:r>
          </w:p>
        </w:tc>
      </w:tr>
    </w:tbl>
    <w:p>
      <w:pPr>
        <w:spacing w:after="120"/>
      </w:pPr>
    </w:p>
    <w:p>
      <w:pPr>
        <w:spacing w:before="280" w:after="0"/>
        <w:pBdr>
          <w:top w:val="single" w:sz="4" w:space="6" w:color="C9D2DB"/>
        </w:pBdr>
      </w:pPr>
      <w:r>
        <w:rPr>
          <w:rFonts w:ascii="Calibri" w:hAnsi="Calibri" w:cs="Tahoma"/>
          <w:color w:val="51606E"/>
          <w:sz w:val="15"/>
          <w:szCs w:val="15"/>
        </w:rPr>
        <w:t>Lexicon source: Gambling_Keywords_Full_English_Categories_V1.xlsx, reproduced as Appendix A of the report specification, revision v5.3. Keywords per category: Football Betting 21, Slots 32, Casino 14, Lottery 20, Playing card 12, Baccarat 11, General Gambling 22, Deposit &amp; Withdrawal 24, Promotions 27, Marketing &amp; Acquisition 25, Affiliate &amp; Agent 20, Vague-Evasion Terms 20, Abbreviations 22, Hashtags 21. Model inference assigned 96.3% of gambling rows; 25.5% of gambling rows carry the General Gambling catch-all. Rows arriving with status Licensed gambling and normalised to Gambling: 0. Probable false-positive source among the Abbreviations keywords: VIP at 35.3% of all Abbreviations matches, BET at 21.1% of all Abbreviations matches. Clustering thresholds: Jaro-Winkler similarity of at least 0.90 for a near-miss merge, with a shared leading prefix and a minimum stem length of 4 characters. Brand stems are taken from the registrable label of each host. No pilot start date was supplied for this run, so the pilot reporting period starts at the first exported record, 4 Sep 2026. Source export: thailand_07_10_26.csv, 24,653 rows read, 48 duplicate URLs dropped.</w:t>
      </w:r>
    </w:p>
    <w:p>
      <w:pPr>
        <w:spacing w:after="12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Tahoma"/>
        <w:color w:val="51606E"/>
        <w:sz w:val="16"/>
        <w:szCs w:val="16"/>
      </w:rPr>
      <w:t xml:space="preserve">Page </w:t>
    </w:r>
    <w:r>
      <w:fldChar w:fldCharType="begin"/>
    </w:r>
    <w:r>
      <w:instrText xml:space="preserve"> PAGE </w:instrText>
    </w:r>
    <w:r>
      <w:fldChar w:fldCharType="separate"/>
    </w:r>
    <w:r>
      <w:rPr>
        <w:rFonts w:ascii="Calibri" w:hAnsi="Calibri" w:cs="Tahoma"/>
        <w:color w:val="51606E"/>
        <w:sz w:val="18"/>
        <w:szCs w:val="18"/>
      </w:rPr>
      <w:t>1</w:t>
    </w:r>
    <w:r>
      <w:fldChar w:fldCharType="end"/>
    </w:r>
    <w:r>
      <w:rPr>
        <w:rFonts w:ascii="Calibri" w:hAnsi="Calibri" w:cs="Tahoma"/>
        <w:color w:val="51606E"/>
        <w:sz w:val="16"/>
        <w:szCs w:val="16"/>
      </w:rPr>
      <w:t xml:space="preserve"> of </w:t>
    </w:r>
    <w:r>
      <w:fldChar w:fldCharType="begin"/>
    </w:r>
    <w:r>
      <w:instrText xml:space="preserve"> NUMPAGES </w:instrText>
    </w:r>
    <w:r>
      <w:fldChar w:fldCharType="separate"/>
    </w:r>
    <w:r>
      <w:rPr>
        <w:rFonts w:ascii="Calibri" w:hAnsi="Calibri" w:cs="Tahoma"/>
        <w:color w:val="51606E"/>
        <w:sz w:val="18"/>
        <w:szCs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Tahoma"/>
        <w:color w:val="51606E"/>
        <w:sz w:val="16"/>
        <w:szCs w:val="16"/>
      </w:rPr>
      <w:t xml:space="preserve">Page </w:t>
    </w:r>
    <w:r>
      <w:fldChar w:fldCharType="begin"/>
    </w:r>
    <w:r>
      <w:instrText xml:space="preserve"> PAGE </w:instrText>
    </w:r>
    <w:r>
      <w:fldChar w:fldCharType="separate"/>
    </w:r>
    <w:r>
      <w:rPr>
        <w:rFonts w:ascii="Calibri" w:hAnsi="Calibri" w:cs="Tahoma"/>
        <w:color w:val="51606E"/>
        <w:sz w:val="18"/>
        <w:szCs w:val="18"/>
      </w:rPr>
      <w:t>1</w:t>
    </w:r>
    <w:r>
      <w:fldChar w:fldCharType="end"/>
    </w:r>
    <w:r>
      <w:rPr>
        <w:rFonts w:ascii="Calibri" w:hAnsi="Calibri" w:cs="Tahoma"/>
        <w:color w:val="51606E"/>
        <w:sz w:val="16"/>
        <w:szCs w:val="16"/>
      </w:rPr>
      <w:t xml:space="preserve"> of </w:t>
    </w:r>
    <w:r>
      <w:fldChar w:fldCharType="begin"/>
    </w:r>
    <w:r>
      <w:instrText xml:space="preserve"> NUMPAGES </w:instrText>
    </w:r>
    <w:r>
      <w:fldChar w:fldCharType="separate"/>
    </w:r>
    <w:r>
      <w:rPr>
        <w:rFonts w:ascii="Calibri" w:hAnsi="Calibri" w:cs="Tahoma"/>
        <w:color w:val="51606E"/>
        <w:sz w:val="18"/>
        <w:szCs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B"/>
      </w:pBdr>
    </w:pPr>
    <w:r>
      <w:rPr>
        <w:rFonts w:ascii="Calibri" w:hAnsi="Calibri" w:cs="Tahoma"/>
        <w:color w:val="51606E"/>
        <w:sz w:val="16"/>
        <w:szCs w:val="16"/>
      </w:rPr>
      <w:t>Data Insights &amp; Patterns   |   SICPADetect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93" w:lineRule="auto"/>
    </w:pPr>
    <w:rPr>
      <w:rFonts w:ascii="Calibri" w:hAnsi="Calibri" w:cs="Tahoma"/>
      <w:color w:val="1B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Tahoma"/>
      <w:b/>
      <w:bCs/>
      <w:i w:val="0"/>
      <w:color w:val="1F3F63"/>
      <w:sz w:val="30"/>
      <w:szCs w:val="28"/>
    </w:rPr>
  </w:style>
  <w:style w:type="paragraph" w:styleId="Heading2">
    <w:name w:val="heading 2"/>
    <w:basedOn w:val="Normal"/>
    <w:next w:val="Normal"/>
    <w:link w:val="Heading2Char"/>
    <w:uiPriority w:val="9"/>
    <w:unhideWhenUsed/>
    <w:qFormat/>
    <w:rsid w:val="00FC693F"/>
    <w:pPr>
      <w:keepNext/>
      <w:keepLines/>
      <w:spacing w:before="40" w:after="80"/>
      <w:outlineLvl w:val="1"/>
    </w:pPr>
    <w:rPr>
      <w:rFonts w:asciiTheme="majorHAnsi" w:eastAsiaTheme="majorEastAsia" w:hAnsiTheme="majorHAnsi" w:cstheme="majorBidi" w:ascii="Calibri" w:hAnsi="Calibri" w:cs="Tahoma"/>
      <w:b/>
      <w:bCs/>
      <w:i w:val="0"/>
      <w:color w:val="1F3F63"/>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cs="Tahoma"/>
      <w:b/>
      <w:bCs/>
      <w:i w:val="0"/>
      <w:color w:val="1F3F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Tahoma"/>
      <w:b/>
      <w:bCs/>
      <w:i w:val="0"/>
      <w:color w:val="51606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