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F63"/>
          <w:sz w:val="52"/>
          <w:szCs w:val="52"/>
        </w:rPr>
        <w:t xml:space="preserve">Data Insights &amp; Patterns</w:t>
      </w:r>
    </w:p>
    <w:p>
      <w:pPr>
        <w:spacing w:after="40"/>
      </w:pPr>
      <w:r>
        <w:rPr>
          <w:rFonts w:ascii="Calibri" w:cs="Calibri" w:eastAsia="Calibri" w:hAnsi="Calibri"/>
          <w:color w:val="16202B"/>
          <w:sz w:val="26"/>
          <w:szCs w:val="26"/>
        </w:rPr>
        <w:t xml:space="preserve">Online gambling estate — analysis of a SICPADetect export</w:t>
      </w:r>
    </w:p>
    <w:p>
      <w:pPr>
        <w:pBdr>
          <w:bottom w:val="single" w:color="1F3F63" w:sz="12" w:space="6"/>
        </w:pBdr>
        <w:spacing w:after="260"/>
      </w:pPr>
      <w:r>
        <w:rPr>
          <w:rFonts w:ascii="Calibri" w:cs="Calibri" w:eastAsia="Calibri" w:hAnsi="Calibri"/>
          <w:b/>
          <w:bCs/>
          <w:color w:val="5B6B7B"/>
          <w:sz w:val="22"/>
          <w:szCs w:val="22"/>
        </w:rPr>
        <w:t xml:space="preserve">Ministry of Digital Economy and Society, Thailand</w:t>
      </w:r>
    </w:p>
    <w:tbl>
      <w:tblPr>
        <w:tblW w:type="dxa" w:w="9638"/>
        <w:tblBorders>
          <w:top w:val="single" w:color="C9D2DB" w:sz="4"/>
          <w:left w:val="single" w:color="C9D2DB" w:sz="4"/>
          <w:bottom w:val="single" w:color="C9D2DB" w:sz="4"/>
          <w:right w:val="single" w:color="C9D2DB" w:sz="4"/>
          <w:insideH w:val="single" w:color="C9D2DB" w:sz="4"/>
          <w:insideV w:val="single" w:color="C9D2DB" w:sz="4"/>
        </w:tblBorders>
      </w:tblPr>
      <w:tblGrid>
        <w:gridCol w:w="3000"/>
        <w:gridCol w:w="6638"/>
      </w:tblGrid>
      <w:tr>
        <w:tc>
          <w:tcPr>
            <w:tcW w:type="dxa" w:w="3000"/>
            <w:tcMar>
              <w:top w:type="dxa" w:w="40"/>
              <w:left w:type="dxa" w:w="80"/>
              <w:bottom w:type="dxa" w:w="40"/>
              <w:right w:type="dxa" w:w="80"/>
            </w:tcMar>
            <w:vAlign w:val="center"/>
          </w:tcPr>
          <w:p>
            <w:pPr>
              <w:spacing w:after="0" w:before="0"/>
            </w:pPr>
            <w:r>
              <w:rPr>
                <w:rFonts w:ascii="Calibri" w:cs="Calibri" w:eastAsia="Calibri" w:hAnsi="Calibri"/>
                <w:b/>
                <w:bCs/>
                <w:color w:val="16202B"/>
                <w:sz w:val="18"/>
                <w:szCs w:val="18"/>
              </w:rPr>
              <w:t xml:space="preserve">Prepared for</w:t>
            </w:r>
          </w:p>
        </w:tc>
        <w:tc>
          <w:tcPr>
            <w:tcW w:type="dxa" w:w="6638"/>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Ministry of Digital Economy and Society, Thailand</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b/>
                <w:bCs/>
                <w:color w:val="16202B"/>
                <w:sz w:val="18"/>
                <w:szCs w:val="18"/>
              </w:rPr>
              <w:t xml:space="preserve">Solution</w:t>
            </w:r>
          </w:p>
        </w:tc>
        <w:tc>
          <w:tcPr>
            <w:tcW w:type="dxa" w:w="6638"/>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SICPADetect</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b/>
                <w:bCs/>
                <w:color w:val="16202B"/>
                <w:sz w:val="18"/>
                <w:szCs w:val="18"/>
              </w:rPr>
              <w:t xml:space="preserve">Date of issue</w:t>
            </w:r>
          </w:p>
        </w:tc>
        <w:tc>
          <w:tcPr>
            <w:tcW w:type="dxa" w:w="6638"/>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2026-09-03</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b/>
                <w:bCs/>
                <w:color w:val="16202B"/>
                <w:sz w:val="18"/>
                <w:szCs w:val="18"/>
              </w:rPr>
              <w:t xml:space="preserve">URLs analysed</w:t>
            </w:r>
          </w:p>
        </w:tc>
        <w:tc>
          <w:tcPr>
            <w:tcW w:type="dxa" w:w="6638"/>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648</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b/>
                <w:bCs/>
                <w:color w:val="16202B"/>
                <w:sz w:val="18"/>
                <w:szCs w:val="18"/>
              </w:rPr>
              <w:t xml:space="preserve">Evaluation period</w:t>
            </w:r>
          </w:p>
        </w:tc>
        <w:tc>
          <w:tcPr>
            <w:tcW w:type="dxa" w:w="6638"/>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1 day (2026-08-27 → 2026-08-27)</w:t>
            </w:r>
          </w:p>
        </w:tc>
      </w:tr>
    </w:tbl>
    <w:p>
      <w:pPr>
        <w:spacing w:before="300"/>
      </w:pPr>
    </w:p>
    <w:p>
      <w:pPr>
        <w:pStyle w:val="Heading1"/>
        <w:spacing w:after="120" w:before="320"/>
      </w:pPr>
      <w:r>
        <w:rPr>
          <w:rFonts w:ascii="Calibri" w:cs="Calibri" w:eastAsia="Calibri" w:hAnsi="Calibri"/>
          <w:b/>
          <w:bCs/>
          <w:color w:val="1F3F63"/>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20"/>
      </w:pPr>
      <w:r>
        <w:rPr>
          <w:rFonts w:ascii="Calibri" w:cs="Calibri" w:eastAsia="Calibri" w:hAnsi="Calibri"/>
          <w:b/>
          <w:bCs/>
          <w:color w:val="1F3F63"/>
          <w:sz w:val="30"/>
          <w:szCs w:val="30"/>
        </w:rPr>
        <w:t xml:space="preserve">1. Executive summary</w:t>
      </w:r>
    </w:p>
    <w:p>
      <w:pPr>
        <w:spacing w:after="120" w:before="0"/>
      </w:pPr>
      <w:r>
        <w:rPr>
          <w:rFonts w:ascii="Calibri" w:cs="Calibri" w:eastAsia="Calibri" w:hAnsi="Calibri"/>
          <w:color w:val="16202B"/>
          <w:sz w:val="20"/>
          <w:szCs w:val="20"/>
        </w:rPr>
        <w:t xml:space="preserve">This report analyses 648 distinct URLs drawn from a SICPADetect export covering a single update date (2026-08-27 → 2026-08-27). Of those, 118 are gambling sites, 18.2 per cent of the set. The analytical weight of the report sits on two axes: what each gambling site offers, expressed as a single product subcategory, and which operator sits behind it, expressed as a brand cluster. Table 1 collects the reporting figures; the sections that follow set out how each was derived.</w:t>
      </w:r>
    </w:p>
    <w:p>
      <w:pPr>
        <w:spacing w:after="120" w:before="0"/>
      </w:pPr>
      <w:r>
        <w:rPr>
          <w:rFonts w:ascii="Calibri" w:cs="Calibri" w:eastAsia="Calibri" w:hAnsi="Calibri"/>
          <w:color w:val="16202B"/>
          <w:sz w:val="20"/>
          <w:szCs w:val="20"/>
        </w:rPr>
        <w:t xml:space="preserve">The estate is concentrated rather than uniform: 66 brand clusters span the gambling URLs, of which 23 hold more than one domain, and 15 clusters account for half of all gambling URLs. Subcategory coverage is the main caveat — 61.9 per cent of subcategories were inferred from reasoning text rather than matched on a lexicon keyword, so the product breakdown in section 3 should be read as indicative.</w:t>
      </w:r>
    </w:p>
    <w:tbl>
      <w:tblPr>
        <w:tblW w:type="dxa" w:w="9638"/>
        <w:tblBorders>
          <w:top w:val="single" w:color="C9D2DB" w:sz="4"/>
          <w:left w:val="single" w:color="C9D2DB" w:sz="4"/>
          <w:bottom w:val="single" w:color="C9D2DB" w:sz="4"/>
          <w:right w:val="single" w:color="C9D2DB" w:sz="4"/>
          <w:insideH w:val="single" w:color="C9D2DB" w:sz="4"/>
          <w:insideV w:val="single" w:color="C9D2DB" w:sz="4"/>
        </w:tblBorders>
      </w:tblPr>
      <w:tblGrid>
        <w:gridCol w:w="6200"/>
        <w:gridCol w:w="3438"/>
      </w:tblGrid>
      <w:tr>
        <w:tc>
          <w:tcPr>
            <w:tcW w:type="dxa" w:w="6200"/>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URLs analysed</w:t>
            </w:r>
          </w:p>
        </w:tc>
        <w:tc>
          <w:tcPr>
            <w:tcW w:type="dxa" w:w="3438"/>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648</w:t>
            </w:r>
          </w:p>
        </w:tc>
      </w:tr>
      <w:tr>
        <w:tc>
          <w:tcPr>
            <w:tcW w:type="dxa" w:w="62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Gambling sites (share of URLs analysed)</w:t>
            </w:r>
          </w:p>
        </w:tc>
        <w:tc>
          <w:tcPr>
            <w:tcW w:type="dxa" w:w="3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118 (18.2%)</w:t>
            </w:r>
          </w:p>
        </w:tc>
      </w:tr>
      <w:tr>
        <w:tc>
          <w:tcPr>
            <w:tcW w:type="dxa" w:w="6200"/>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Not gambling</w:t>
            </w:r>
          </w:p>
        </w:tc>
        <w:tc>
          <w:tcPr>
            <w:tcW w:type="dxa" w:w="3438"/>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336</w:t>
            </w:r>
          </w:p>
        </w:tc>
      </w:tr>
      <w:tr>
        <w:tc>
          <w:tcPr>
            <w:tcW w:type="dxa" w:w="62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Unreachable</w:t>
            </w:r>
          </w:p>
        </w:tc>
        <w:tc>
          <w:tcPr>
            <w:tcW w:type="dxa" w:w="3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168</w:t>
            </w:r>
          </w:p>
        </w:tc>
      </w:tr>
      <w:tr>
        <w:tc>
          <w:tcPr>
            <w:tcW w:type="dxa" w:w="6200"/>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Brand clusters identified</w:t>
            </w:r>
          </w:p>
        </w:tc>
        <w:tc>
          <w:tcPr>
            <w:tcW w:type="dxa" w:w="3438"/>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66</w:t>
            </w:r>
          </w:p>
        </w:tc>
      </w:tr>
      <w:tr>
        <w:tc>
          <w:tcPr>
            <w:tcW w:type="dxa" w:w="62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Clusters holding more than one domain</w:t>
            </w:r>
          </w:p>
        </w:tc>
        <w:tc>
          <w:tcPr>
            <w:tcW w:type="dxa" w:w="3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23</w:t>
            </w:r>
          </w:p>
        </w:tc>
      </w:tr>
      <w:tr>
        <w:tc>
          <w:tcPr>
            <w:tcW w:type="dxa" w:w="6200"/>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Clusters covering half the gambling estate</w:t>
            </w:r>
          </w:p>
        </w:tc>
        <w:tc>
          <w:tcPr>
            <w:tcW w:type="dxa" w:w="3438"/>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15</w:t>
            </w:r>
          </w:p>
        </w:tc>
      </w:tr>
      <w:tr>
        <w:tc>
          <w:tcPr>
            <w:tcW w:type="dxa" w:w="62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Largest cluster</w:t>
            </w:r>
          </w:p>
        </w:tc>
        <w:tc>
          <w:tcPr>
            <w:tcW w:type="dxa" w:w="3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moenas (7 domains)</w:t>
            </w:r>
          </w:p>
        </w:tc>
      </w:tr>
      <w:tr>
        <w:tc>
          <w:tcPr>
            <w:tcW w:type="dxa" w:w="6200"/>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Dominant product subcategory</w:t>
            </w:r>
          </w:p>
        </w:tc>
        <w:tc>
          <w:tcPr>
            <w:tcW w:type="dxa" w:w="3438"/>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Football Betting (32.2%)</w:t>
            </w:r>
          </w:p>
        </w:tc>
      </w:tr>
      <w:tr>
        <w:tc>
          <w:tcPr>
            <w:tcW w:type="dxa" w:w="62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Most common signal tag</w:t>
            </w:r>
          </w:p>
        </w:tc>
        <w:tc>
          <w:tcPr>
            <w:tcW w:type="dxa" w:w="3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Abbreviations (40.7%)</w:t>
            </w:r>
          </w:p>
        </w:tc>
      </w:tr>
      <w:tr>
        <w:tc>
          <w:tcPr>
            <w:tcW w:type="dxa" w:w="6200"/>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Sites already showing blocking indicators</w:t>
            </w:r>
          </w:p>
        </w:tc>
        <w:tc>
          <w:tcPr>
            <w:tcW w:type="dxa" w:w="3438"/>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0</w:t>
            </w:r>
          </w:p>
        </w:tc>
      </w:tr>
      <w:tr>
        <w:tc>
          <w:tcPr>
            <w:tcW w:type="dxa" w:w="62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8"/>
                <w:szCs w:val="18"/>
              </w:rPr>
              <w:t xml:space="preserve">Subcategory assignment: keyword vs inferred</w:t>
            </w:r>
          </w:p>
        </w:tc>
        <w:tc>
          <w:tcPr>
            <w:tcW w:type="dxa" w:w="3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F3F63"/>
                <w:sz w:val="18"/>
                <w:szCs w:val="18"/>
              </w:rPr>
              <w:t xml:space="preserve">45 keyword / 73 inferred</w:t>
            </w:r>
          </w:p>
        </w:tc>
      </w:tr>
    </w:tbl>
    <w:p>
      <w:pPr>
        <w:spacing w:after="220" w:before="60"/>
      </w:pPr>
      <w:r>
        <w:rPr>
          <w:rFonts w:ascii="Calibri" w:cs="Calibri" w:eastAsia="Calibri" w:hAnsi="Calibri"/>
          <w:b/>
          <w:bCs/>
          <w:color w:val="5B6B7B"/>
          <w:sz w:val="16"/>
          <w:szCs w:val="16"/>
        </w:rPr>
        <w:t xml:space="preserve">Table 1 — </w:t>
      </w:r>
      <w:r>
        <w:rPr>
          <w:rFonts w:ascii="Calibri" w:cs="Calibri" w:eastAsia="Calibri" w:hAnsi="Calibri"/>
          <w:i/>
          <w:iCs/>
          <w:color w:val="5B6B7B"/>
          <w:sz w:val="16"/>
          <w:szCs w:val="16"/>
        </w:rPr>
        <w:t xml:space="preserve">Reporting figures for this analysis.</w:t>
      </w:r>
    </w:p>
    <w:p>
      <w:pPr>
        <w:pStyle w:val="Heading1"/>
        <w:spacing w:after="120" w:before="320"/>
      </w:pPr>
      <w:r>
        <w:rPr>
          <w:rFonts w:ascii="Calibri" w:cs="Calibri" w:eastAsia="Calibri" w:hAnsi="Calibri"/>
          <w:b/>
          <w:bCs/>
          <w:color w:val="1F3F63"/>
          <w:sz w:val="30"/>
          <w:szCs w:val="30"/>
        </w:rPr>
        <w:t xml:space="preserve">2. The numbers</w:t>
      </w:r>
    </w:p>
    <w:p>
      <w:pPr>
        <w:spacing w:after="120" w:before="0"/>
      </w:pPr>
      <w:r>
        <w:rPr>
          <w:rFonts w:ascii="Calibri" w:cs="Calibri" w:eastAsia="Calibri" w:hAnsi="Calibri"/>
          <w:color w:val="16202B"/>
          <w:sz w:val="20"/>
          <w:szCs w:val="20"/>
        </w:rPr>
        <w:t xml:space="preserve">The standard working set holds 648 rows. It was built by dropping rows still awaiting adjudication and de-duplicating on URL; every metric in this report is computed over that set. Gambling sites account for 118 rows (18.2 per cent), sites that are not gambling for 336, unreachable sites for 168 and rows whose analysis did not complete for 26.</w:t>
      </w:r>
    </w:p>
    <w:p>
      <w:pPr>
        <w:pStyle w:val="Heading2"/>
        <w:spacing w:after="120" w:before="220"/>
      </w:pPr>
      <w:r>
        <w:rPr>
          <w:rFonts w:ascii="Calibri" w:cs="Calibri" w:eastAsia="Calibri" w:hAnsi="Calibri"/>
          <w:b/>
          <w:bCs/>
          <w:color w:val="1F3F63"/>
          <w:sz w:val="24"/>
          <w:szCs w:val="24"/>
        </w:rPr>
        <w:t xml:space="preserve">2.1 Volume over time</w:t>
      </w:r>
    </w:p>
    <w:p>
      <w:pPr>
        <w:spacing w:after="120" w:before="0"/>
      </w:pPr>
      <w:r>
        <w:rPr>
          <w:rFonts w:ascii="Calibri" w:cs="Calibri" w:eastAsia="Calibri" w:hAnsi="Calibri"/>
          <w:color w:val="16202B"/>
          <w:sz w:val="20"/>
          <w:szCs w:val="20"/>
        </w:rPr>
        <w:t xml:space="preserve">Every row in the set carries the same update date, 2026-08-27, so the volume series in Figure 1 is a single point of 648 distinct URLs. The evaluation period is one day, which is what the requested date range asked for; it is not a gap in the data.</w:t>
      </w:r>
    </w:p>
    <w:p>
      <w:pPr>
        <w:spacing w:after="0" w:before="80"/>
      </w:pPr>
      <w:r>
        <w:drawing>
          <wp:inline distT="0" distB="0" distL="0" distR="0">
            <wp:extent cx="6096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95475"/>
                    </a:xfrm>
                    <a:prstGeom prst="rect">
                      <a:avLst/>
                    </a:prstGeom>
                  </pic:spPr>
                </pic:pic>
              </a:graphicData>
            </a:graphic>
          </wp:inline>
        </w:drawing>
      </w:r>
    </w:p>
    <w:p>
      <w:pPr>
        <w:spacing w:after="220" w:before="60"/>
      </w:pPr>
      <w:r>
        <w:rPr>
          <w:rFonts w:ascii="Calibri" w:cs="Calibri" w:eastAsia="Calibri" w:hAnsi="Calibri"/>
          <w:b/>
          <w:bCs/>
          <w:color w:val="5B6B7B"/>
          <w:sz w:val="16"/>
          <w:szCs w:val="16"/>
        </w:rPr>
        <w:t xml:space="preserve">Figure 1 — </w:t>
      </w:r>
      <w:r>
        <w:rPr>
          <w:rFonts w:ascii="Calibri" w:cs="Calibri" w:eastAsia="Calibri" w:hAnsi="Calibri"/>
          <w:i/>
          <w:iCs/>
          <w:color w:val="5B6B7B"/>
          <w:sz w:val="16"/>
          <w:szCs w:val="16"/>
        </w:rPr>
        <w:t xml:space="preserve">Distinct URLs updated per date across the evaluation period.</w:t>
      </w:r>
    </w:p>
    <w:p>
      <w:pPr>
        <w:pStyle w:val="Heading2"/>
        <w:spacing w:after="120" w:before="220"/>
      </w:pPr>
      <w:r>
        <w:rPr>
          <w:rFonts w:ascii="Calibri" w:cs="Calibri" w:eastAsia="Calibri" w:hAnsi="Calibri"/>
          <w:b/>
          <w:bCs/>
          <w:color w:val="1F3F63"/>
          <w:sz w:val="24"/>
          <w:szCs w:val="24"/>
        </w:rPr>
        <w:t xml:space="preserve">2.2 Status distribution</w:t>
      </w:r>
    </w:p>
    <w:p>
      <w:pPr>
        <w:spacing w:after="120" w:before="0"/>
      </w:pPr>
      <w:r>
        <w:rPr>
          <w:rFonts w:ascii="Calibri" w:cs="Calibri" w:eastAsia="Calibri" w:hAnsi="Calibri"/>
          <w:color w:val="16202B"/>
          <w:sz w:val="20"/>
          <w:szCs w:val="20"/>
        </w:rPr>
        <w:t xml:space="preserve">Figure 2 and Table 2 give the same distribution two ways. Sites that are not gambling are the largest single group at 51.9 per cent, which is expected in a set assembled from broad discovery rather than from a curated list of suspected operators.</w:t>
      </w:r>
    </w:p>
    <w:p>
      <w:pPr>
        <w:spacing w:after="0" w:before="80"/>
      </w:pPr>
      <w:r>
        <w:drawing>
          <wp:inline distT="0" distB="0" distL="0" distR="0">
            <wp:extent cx="6096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695450"/>
                    </a:xfrm>
                    <a:prstGeom prst="rect">
                      <a:avLst/>
                    </a:prstGeom>
                  </pic:spPr>
                </pic:pic>
              </a:graphicData>
            </a:graphic>
          </wp:inline>
        </w:drawing>
      </w:r>
    </w:p>
    <w:p>
      <w:pPr>
        <w:spacing w:after="220" w:before="60"/>
      </w:pPr>
      <w:r>
        <w:rPr>
          <w:rFonts w:ascii="Calibri" w:cs="Calibri" w:eastAsia="Calibri" w:hAnsi="Calibri"/>
          <w:b/>
          <w:bCs/>
          <w:color w:val="5B6B7B"/>
          <w:sz w:val="16"/>
          <w:szCs w:val="16"/>
        </w:rPr>
        <w:t xml:space="preserve">Figure 2 — </w:t>
      </w:r>
      <w:r>
        <w:rPr>
          <w:rFonts w:ascii="Calibri" w:cs="Calibri" w:eastAsia="Calibri" w:hAnsi="Calibri"/>
          <w:i/>
          <w:iCs/>
          <w:color w:val="5B6B7B"/>
          <w:sz w:val="16"/>
          <w:szCs w:val="16"/>
        </w:rPr>
        <w:t xml:space="preserve">Status distribution across the standard working set.</w:t>
      </w:r>
    </w:p>
    <w:tbl>
      <w:tblPr>
        <w:tblW w:type="dxa" w:w="9638"/>
        <w:tblBorders>
          <w:top w:val="single" w:color="C9D2DB" w:sz="4"/>
          <w:left w:val="single" w:color="C9D2DB" w:sz="4"/>
          <w:bottom w:val="single" w:color="C9D2DB" w:sz="4"/>
          <w:right w:val="single" w:color="C9D2DB" w:sz="4"/>
          <w:insideH w:val="single" w:color="C9D2DB" w:sz="4"/>
          <w:insideV w:val="single" w:color="C9D2DB" w:sz="4"/>
        </w:tblBorders>
      </w:tblPr>
      <w:tblGrid>
        <w:gridCol w:w="5000"/>
        <w:gridCol w:w="2400"/>
        <w:gridCol w:w="2238"/>
      </w:tblGrid>
      <w:tr>
        <w:trPr>
          <w:tblHeader/>
        </w:trPr>
        <w:tc>
          <w:tcPr>
            <w:tcW w:type="dxa" w:w="50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Status</w:t>
            </w:r>
          </w:p>
        </w:tc>
        <w:tc>
          <w:tcPr>
            <w:tcW w:type="dxa" w:w="240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Count</w:t>
            </w:r>
          </w:p>
        </w:tc>
        <w:tc>
          <w:tcPr>
            <w:tcW w:type="dxa" w:w="2238"/>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Per cent</w:t>
            </w:r>
          </w:p>
        </w:tc>
      </w:tr>
      <w:tr>
        <w:tc>
          <w:tcPr>
            <w:tcW w:type="dxa" w:w="50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Not gambling</w:t>
            </w:r>
          </w:p>
        </w:tc>
        <w:tc>
          <w:tcPr>
            <w:tcW w:type="dxa" w:w="24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336</w:t>
            </w:r>
          </w:p>
        </w:tc>
        <w:tc>
          <w:tcPr>
            <w:tcW w:type="dxa" w:w="22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51.9</w:t>
            </w:r>
          </w:p>
        </w:tc>
      </w:tr>
      <w:tr>
        <w:tc>
          <w:tcPr>
            <w:tcW w:type="dxa" w:w="50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Unreachable</w:t>
            </w:r>
          </w:p>
        </w:tc>
        <w:tc>
          <w:tcPr>
            <w:tcW w:type="dxa" w:w="24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168</w:t>
            </w:r>
          </w:p>
        </w:tc>
        <w:tc>
          <w:tcPr>
            <w:tcW w:type="dxa" w:w="22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25.9</w:t>
            </w:r>
          </w:p>
        </w:tc>
      </w:tr>
      <w:tr>
        <w:tc>
          <w:tcPr>
            <w:tcW w:type="dxa" w:w="50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Gambling</w:t>
            </w:r>
          </w:p>
        </w:tc>
        <w:tc>
          <w:tcPr>
            <w:tcW w:type="dxa" w:w="24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118</w:t>
            </w:r>
          </w:p>
        </w:tc>
        <w:tc>
          <w:tcPr>
            <w:tcW w:type="dxa" w:w="22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18.2</w:t>
            </w:r>
          </w:p>
        </w:tc>
      </w:tr>
      <w:tr>
        <w:tc>
          <w:tcPr>
            <w:tcW w:type="dxa" w:w="50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Unknown</w:t>
            </w:r>
          </w:p>
        </w:tc>
        <w:tc>
          <w:tcPr>
            <w:tcW w:type="dxa" w:w="24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26</w:t>
            </w:r>
          </w:p>
        </w:tc>
        <w:tc>
          <w:tcPr>
            <w:tcW w:type="dxa" w:w="22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4.0</w:t>
            </w:r>
          </w:p>
        </w:tc>
      </w:tr>
    </w:tbl>
    <w:p>
      <w:pPr>
        <w:spacing w:after="220" w:before="60"/>
      </w:pPr>
      <w:r>
        <w:rPr>
          <w:rFonts w:ascii="Calibri" w:cs="Calibri" w:eastAsia="Calibri" w:hAnsi="Calibri"/>
          <w:b/>
          <w:bCs/>
          <w:color w:val="5B6B7B"/>
          <w:sz w:val="16"/>
          <w:szCs w:val="16"/>
        </w:rPr>
        <w:t xml:space="preserve">Table 2 — </w:t>
      </w:r>
      <w:r>
        <w:rPr>
          <w:rFonts w:ascii="Calibri" w:cs="Calibri" w:eastAsia="Calibri" w:hAnsi="Calibri"/>
          <w:i/>
          <w:iCs/>
          <w:color w:val="5B6B7B"/>
          <w:sz w:val="16"/>
          <w:szCs w:val="16"/>
        </w:rPr>
        <w:t xml:space="preserve">Status distribution, counts and shares.</w:t>
      </w:r>
    </w:p>
    <w:p>
      <w:pPr>
        <w:pStyle w:val="Heading2"/>
        <w:spacing w:after="120" w:before="220"/>
      </w:pPr>
      <w:r>
        <w:rPr>
          <w:rFonts w:ascii="Calibri" w:cs="Calibri" w:eastAsia="Calibri" w:hAnsi="Calibri"/>
          <w:b/>
          <w:bCs/>
          <w:color w:val="1F3F63"/>
          <w:sz w:val="24"/>
          <w:szCs w:val="24"/>
        </w:rPr>
        <w:t xml:space="preserve">2.3 URL suffixes</w:t>
      </w:r>
    </w:p>
    <w:p>
      <w:pPr>
        <w:spacing w:after="120" w:before="0"/>
      </w:pPr>
      <w:r>
        <w:rPr>
          <w:rFonts w:ascii="Calibri" w:cs="Calibri" w:eastAsia="Calibri" w:hAnsi="Calibri"/>
          <w:color w:val="16202B"/>
          <w:sz w:val="20"/>
          <w:szCs w:val="20"/>
        </w:rPr>
        <w:t xml:space="preserve">Figure 3 and Table 3 rank the ten most common URL suffixes. The share of gambling sites within a suffix matters more than the raw count: a suffix carrying few URLs but a high gambling share is a cheaper enforcement target than a large general-purpose suffix.</w:t>
      </w:r>
    </w:p>
    <w:p>
      <w:pPr>
        <w:spacing w:after="0" w:before="80"/>
      </w:pPr>
      <w:r>
        <w:drawing>
          <wp:inline distT="0" distB="0" distL="0" distR="0">
            <wp:extent cx="6096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990725"/>
                    </a:xfrm>
                    <a:prstGeom prst="rect">
                      <a:avLst/>
                    </a:prstGeom>
                  </pic:spPr>
                </pic:pic>
              </a:graphicData>
            </a:graphic>
          </wp:inline>
        </w:drawing>
      </w:r>
    </w:p>
    <w:p>
      <w:pPr>
        <w:spacing w:after="220" w:before="60"/>
      </w:pPr>
      <w:r>
        <w:rPr>
          <w:rFonts w:ascii="Calibri" w:cs="Calibri" w:eastAsia="Calibri" w:hAnsi="Calibri"/>
          <w:b/>
          <w:bCs/>
          <w:color w:val="5B6B7B"/>
          <w:sz w:val="16"/>
          <w:szCs w:val="16"/>
        </w:rPr>
        <w:t xml:space="preserve">Figure 3 — </w:t>
      </w:r>
      <w:r>
        <w:rPr>
          <w:rFonts w:ascii="Calibri" w:cs="Calibri" w:eastAsia="Calibri" w:hAnsi="Calibri"/>
          <w:i/>
          <w:iCs/>
          <w:color w:val="5B6B7B"/>
          <w:sz w:val="16"/>
          <w:szCs w:val="16"/>
        </w:rPr>
        <w:t xml:space="preserve">The ten URL suffixes carrying the most URLs.</w:t>
      </w:r>
    </w:p>
    <w:tbl>
      <w:tblPr>
        <w:tblW w:type="dxa" w:w="9638"/>
        <w:tblBorders>
          <w:top w:val="single" w:color="C9D2DB" w:sz="4"/>
          <w:left w:val="single" w:color="C9D2DB" w:sz="4"/>
          <w:bottom w:val="single" w:color="C9D2DB" w:sz="4"/>
          <w:right w:val="single" w:color="C9D2DB" w:sz="4"/>
          <w:insideH w:val="single" w:color="C9D2DB" w:sz="4"/>
          <w:insideV w:val="single" w:color="C9D2DB" w:sz="4"/>
        </w:tblBorders>
      </w:tblPr>
      <w:tblGrid>
        <w:gridCol w:w="2200"/>
        <w:gridCol w:w="1700"/>
        <w:gridCol w:w="1900"/>
        <w:gridCol w:w="1800"/>
        <w:gridCol w:w="2038"/>
      </w:tblGrid>
      <w:tr>
        <w:trPr>
          <w:tblHeader/>
        </w:trPr>
        <w:tc>
          <w:tcPr>
            <w:tcW w:type="dxa" w:w="22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Suffix</w:t>
            </w:r>
          </w:p>
        </w:tc>
        <w:tc>
          <w:tcPr>
            <w:tcW w:type="dxa" w:w="170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Total</w:t>
            </w:r>
          </w:p>
        </w:tc>
        <w:tc>
          <w:tcPr>
            <w:tcW w:type="dxa" w:w="190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Per cent of all</w:t>
            </w:r>
          </w:p>
        </w:tc>
        <w:tc>
          <w:tcPr>
            <w:tcW w:type="dxa" w:w="180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Gambling</w:t>
            </w:r>
          </w:p>
        </w:tc>
        <w:tc>
          <w:tcPr>
            <w:tcW w:type="dxa" w:w="2038"/>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Per cent gambling</w:t>
            </w:r>
          </w:p>
        </w:tc>
      </w:tr>
      <w:tr>
        <w:tc>
          <w:tcPr>
            <w:tcW w:type="dxa" w:w="22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.com</w:t>
            </w:r>
          </w:p>
        </w:tc>
        <w:tc>
          <w:tcPr>
            <w:tcW w:type="dxa" w:w="17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326</w:t>
            </w:r>
          </w:p>
        </w:tc>
        <w:tc>
          <w:tcPr>
            <w:tcW w:type="dxa" w:w="19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50.3</w:t>
            </w:r>
          </w:p>
        </w:tc>
        <w:tc>
          <w:tcPr>
            <w:tcW w:type="dxa" w:w="18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92</w:t>
            </w:r>
          </w:p>
        </w:tc>
        <w:tc>
          <w:tcPr>
            <w:tcW w:type="dxa" w:w="20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28.2</w:t>
            </w:r>
          </w:p>
        </w:tc>
      </w:tr>
      <w:tr>
        <w:tc>
          <w:tcPr>
            <w:tcW w:type="dxa" w:w="22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.th</w:t>
            </w:r>
          </w:p>
        </w:tc>
        <w:tc>
          <w:tcPr>
            <w:tcW w:type="dxa" w:w="17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157</w:t>
            </w:r>
          </w:p>
        </w:tc>
        <w:tc>
          <w:tcPr>
            <w:tcW w:type="dxa" w:w="19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24.2</w:t>
            </w:r>
          </w:p>
        </w:tc>
        <w:tc>
          <w:tcPr>
            <w:tcW w:type="dxa" w:w="18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c>
          <w:tcPr>
            <w:tcW w:type="dxa" w:w="20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0.6</w:t>
            </w:r>
          </w:p>
        </w:tc>
      </w:tr>
      <w:tr>
        <w:tc>
          <w:tcPr>
            <w:tcW w:type="dxa" w:w="22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.org</w:t>
            </w:r>
          </w:p>
        </w:tc>
        <w:tc>
          <w:tcPr>
            <w:tcW w:type="dxa" w:w="17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45</w:t>
            </w:r>
          </w:p>
        </w:tc>
        <w:tc>
          <w:tcPr>
            <w:tcW w:type="dxa" w:w="19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6.9</w:t>
            </w:r>
          </w:p>
        </w:tc>
        <w:tc>
          <w:tcPr>
            <w:tcW w:type="dxa" w:w="18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7</w:t>
            </w:r>
          </w:p>
        </w:tc>
        <w:tc>
          <w:tcPr>
            <w:tcW w:type="dxa" w:w="20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15.6</w:t>
            </w:r>
          </w:p>
        </w:tc>
      </w:tr>
      <w:tr>
        <w:tc>
          <w:tcPr>
            <w:tcW w:type="dxa" w:w="22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.net</w:t>
            </w:r>
          </w:p>
        </w:tc>
        <w:tc>
          <w:tcPr>
            <w:tcW w:type="dxa" w:w="17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24</w:t>
            </w:r>
          </w:p>
        </w:tc>
        <w:tc>
          <w:tcPr>
            <w:tcW w:type="dxa" w:w="19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3.7</w:t>
            </w:r>
          </w:p>
        </w:tc>
        <w:tc>
          <w:tcPr>
            <w:tcW w:type="dxa" w:w="18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6</w:t>
            </w:r>
          </w:p>
        </w:tc>
        <w:tc>
          <w:tcPr>
            <w:tcW w:type="dxa" w:w="20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25.0</w:t>
            </w:r>
          </w:p>
        </w:tc>
      </w:tr>
      <w:tr>
        <w:tc>
          <w:tcPr>
            <w:tcW w:type="dxa" w:w="22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w:t>
            </w:r>
          </w:p>
        </w:tc>
        <w:tc>
          <w:tcPr>
            <w:tcW w:type="dxa" w:w="17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9</w:t>
            </w:r>
          </w:p>
        </w:tc>
        <w:tc>
          <w:tcPr>
            <w:tcW w:type="dxa" w:w="19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1.4</w:t>
            </w:r>
          </w:p>
        </w:tc>
        <w:tc>
          <w:tcPr>
            <w:tcW w:type="dxa" w:w="18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c>
          <w:tcPr>
            <w:tcW w:type="dxa" w:w="20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11.1</w:t>
            </w:r>
          </w:p>
        </w:tc>
      </w:tr>
      <w:tr>
        <w:tc>
          <w:tcPr>
            <w:tcW w:type="dxa" w:w="22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.br</w:t>
            </w:r>
          </w:p>
        </w:tc>
        <w:tc>
          <w:tcPr>
            <w:tcW w:type="dxa" w:w="17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7</w:t>
            </w:r>
          </w:p>
        </w:tc>
        <w:tc>
          <w:tcPr>
            <w:tcW w:type="dxa" w:w="19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1.1</w:t>
            </w:r>
          </w:p>
        </w:tc>
        <w:tc>
          <w:tcPr>
            <w:tcW w:type="dxa" w:w="18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w:t>
            </w:r>
          </w:p>
        </w:tc>
        <w:tc>
          <w:tcPr>
            <w:tcW w:type="dxa" w:w="20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0.0</w:t>
            </w:r>
          </w:p>
        </w:tc>
      </w:tr>
      <w:tr>
        <w:tc>
          <w:tcPr>
            <w:tcW w:type="dxa" w:w="22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.me</w:t>
            </w:r>
          </w:p>
        </w:tc>
        <w:tc>
          <w:tcPr>
            <w:tcW w:type="dxa" w:w="17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7</w:t>
            </w:r>
          </w:p>
        </w:tc>
        <w:tc>
          <w:tcPr>
            <w:tcW w:type="dxa" w:w="19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1.1</w:t>
            </w:r>
          </w:p>
        </w:tc>
        <w:tc>
          <w:tcPr>
            <w:tcW w:type="dxa" w:w="18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c>
          <w:tcPr>
            <w:tcW w:type="dxa" w:w="20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14.3</w:t>
            </w:r>
          </w:p>
        </w:tc>
      </w:tr>
      <w:tr>
        <w:tc>
          <w:tcPr>
            <w:tcW w:type="dxa" w:w="22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.asia</w:t>
            </w:r>
          </w:p>
        </w:tc>
        <w:tc>
          <w:tcPr>
            <w:tcW w:type="dxa" w:w="17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5</w:t>
            </w:r>
          </w:p>
        </w:tc>
        <w:tc>
          <w:tcPr>
            <w:tcW w:type="dxa" w:w="19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0.8</w:t>
            </w:r>
          </w:p>
        </w:tc>
        <w:tc>
          <w:tcPr>
            <w:tcW w:type="dxa" w:w="18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w:t>
            </w:r>
          </w:p>
        </w:tc>
        <w:tc>
          <w:tcPr>
            <w:tcW w:type="dxa" w:w="20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0.0</w:t>
            </w:r>
          </w:p>
        </w:tc>
      </w:tr>
      <w:tr>
        <w:tc>
          <w:tcPr>
            <w:tcW w:type="dxa" w:w="22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.id</w:t>
            </w:r>
          </w:p>
        </w:tc>
        <w:tc>
          <w:tcPr>
            <w:tcW w:type="dxa" w:w="17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c>
          <w:tcPr>
            <w:tcW w:type="dxa" w:w="19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0.6</w:t>
            </w:r>
          </w:p>
        </w:tc>
        <w:tc>
          <w:tcPr>
            <w:tcW w:type="dxa" w:w="18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w:t>
            </w:r>
          </w:p>
        </w:tc>
        <w:tc>
          <w:tcPr>
            <w:tcW w:type="dxa" w:w="20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0.0</w:t>
            </w:r>
          </w:p>
        </w:tc>
      </w:tr>
      <w:tr>
        <w:tc>
          <w:tcPr>
            <w:tcW w:type="dxa" w:w="22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.tv</w:t>
            </w:r>
          </w:p>
        </w:tc>
        <w:tc>
          <w:tcPr>
            <w:tcW w:type="dxa" w:w="17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c>
          <w:tcPr>
            <w:tcW w:type="dxa" w:w="19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0.6</w:t>
            </w:r>
          </w:p>
        </w:tc>
        <w:tc>
          <w:tcPr>
            <w:tcW w:type="dxa" w:w="18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w:t>
            </w:r>
          </w:p>
        </w:tc>
        <w:tc>
          <w:tcPr>
            <w:tcW w:type="dxa" w:w="20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0.0</w:t>
            </w:r>
          </w:p>
        </w:tc>
      </w:tr>
    </w:tbl>
    <w:p>
      <w:pPr>
        <w:spacing w:after="220" w:before="60"/>
      </w:pPr>
      <w:r>
        <w:rPr>
          <w:rFonts w:ascii="Calibri" w:cs="Calibri" w:eastAsia="Calibri" w:hAnsi="Calibri"/>
          <w:b/>
          <w:bCs/>
          <w:color w:val="5B6B7B"/>
          <w:sz w:val="16"/>
          <w:szCs w:val="16"/>
        </w:rPr>
        <w:t xml:space="preserve">Table 3 — </w:t>
      </w:r>
      <w:r>
        <w:rPr>
          <w:rFonts w:ascii="Calibri" w:cs="Calibri" w:eastAsia="Calibri" w:hAnsi="Calibri"/>
          <w:i/>
          <w:iCs/>
          <w:color w:val="5B6B7B"/>
          <w:sz w:val="16"/>
          <w:szCs w:val="16"/>
        </w:rPr>
        <w:t xml:space="preserve">Top ten URL suffixes with gambling share.</w:t>
      </w:r>
    </w:p>
    <w:p>
      <w:pPr>
        <w:pStyle w:val="Heading1"/>
        <w:spacing w:after="120" w:before="320"/>
      </w:pPr>
      <w:r>
        <w:rPr>
          <w:rFonts w:ascii="Calibri" w:cs="Calibri" w:eastAsia="Calibri" w:hAnsi="Calibri"/>
          <w:b/>
          <w:bCs/>
          <w:color w:val="1F3F63"/>
          <w:sz w:val="30"/>
          <w:szCs w:val="30"/>
        </w:rPr>
        <w:t xml:space="preserve">3. What the gambling sites offer</w:t>
      </w:r>
    </w:p>
    <w:p>
      <w:pPr>
        <w:spacing w:after="120" w:before="0"/>
      </w:pPr>
      <w:r>
        <w:rPr>
          <w:rFonts w:ascii="Calibri" w:cs="Calibri" w:eastAsia="Calibri" w:hAnsi="Calibri"/>
          <w:color w:val="16202B"/>
          <w:sz w:val="20"/>
          <w:szCs w:val="20"/>
        </w:rPr>
        <w:t xml:space="preserve">Every gambling row carries exactly one product subcategory, chosen from the seven product categories in the classification reference. Where a lexicon keyword matched the evidence text the assignment is keyword-derived; where none matched, the subcategory was inferred from what the analysis reasoning described the site as offering. The two are never presented as equivalent: Figure 6 and Table 4 both carry the split.</w:t>
      </w:r>
    </w:p>
    <w:p>
      <w:pPr>
        <w:spacing w:after="120" w:before="0"/>
      </w:pPr>
      <w:r>
        <w:rPr>
          <w:rFonts w:ascii="Calibri" w:cs="Calibri" w:eastAsia="Calibri" w:hAnsi="Calibri"/>
          <w:color w:val="16202B"/>
          <w:sz w:val="20"/>
          <w:szCs w:val="20"/>
        </w:rPr>
        <w:t xml:space="preserve">45 of 118 gambling rows were assigned on a keyword and 73 by inference, an inferred share of 61.9 per cent. Because that exceeds 30 per cent, the lexicon has poor coverage of this dataset and the subcategory figures in this section are indicative only. A predominantly Thai-language lexicon run against a set of largely English and transliterated domains produces exactly this pattern: 26 of the 286 distinct keywords matched anything at all.</w:t>
      </w:r>
    </w:p>
    <w:p>
      <w:pPr>
        <w:pStyle w:val="Heading2"/>
        <w:spacing w:after="120" w:before="220"/>
      </w:pPr>
      <w:r>
        <w:rPr>
          <w:rFonts w:ascii="Calibri" w:cs="Calibri" w:eastAsia="Calibri" w:hAnsi="Calibri"/>
          <w:b/>
          <w:bCs/>
          <w:color w:val="1F3F63"/>
          <w:sz w:val="24"/>
          <w:szCs w:val="24"/>
        </w:rPr>
        <w:t xml:space="preserve">3.1 Distribution by product subcategory</w:t>
      </w:r>
    </w:p>
    <w:p>
      <w:pPr>
        <w:spacing w:after="120" w:before="0"/>
      </w:pPr>
      <w:r>
        <w:rPr>
          <w:rFonts w:ascii="Calibri" w:cs="Calibri" w:eastAsia="Calibri" w:hAnsi="Calibri"/>
          <w:color w:val="16202B"/>
          <w:sz w:val="20"/>
          <w:szCs w:val="20"/>
        </w:rPr>
        <w:t xml:space="preserve">The three largest subcategories are Football Betting (38 sites, 32.2 per cent), Slots (35 sites, 29.7 per cent), Casino (19 sites, 16.1 per cent). Figures 4 and 5 show the ranking and the share; Table 4 carries the counts with their assignment method and the number of distinct brand clusters each subcategory spans.</w:t>
      </w:r>
    </w:p>
    <w:p>
      <w:pPr>
        <w:spacing w:after="0" w:before="80"/>
      </w:pPr>
      <w:r>
        <w:drawing>
          <wp:inline distT="0" distB="0" distL="0" distR="0">
            <wp:extent cx="6096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419225"/>
                    </a:xfrm>
                    <a:prstGeom prst="rect">
                      <a:avLst/>
                    </a:prstGeom>
                  </pic:spPr>
                </pic:pic>
              </a:graphicData>
            </a:graphic>
          </wp:inline>
        </w:drawing>
      </w:r>
    </w:p>
    <w:p>
      <w:pPr>
        <w:spacing w:after="220" w:before="60"/>
      </w:pPr>
      <w:r>
        <w:rPr>
          <w:rFonts w:ascii="Calibri" w:cs="Calibri" w:eastAsia="Calibri" w:hAnsi="Calibri"/>
          <w:b/>
          <w:bCs/>
          <w:color w:val="5B6B7B"/>
          <w:sz w:val="16"/>
          <w:szCs w:val="16"/>
        </w:rPr>
        <w:t xml:space="preserve">Figure 4 — </w:t>
      </w:r>
      <w:r>
        <w:rPr>
          <w:rFonts w:ascii="Calibri" w:cs="Calibri" w:eastAsia="Calibri" w:hAnsi="Calibri"/>
          <w:i/>
          <w:iCs/>
          <w:color w:val="5B6B7B"/>
          <w:sz w:val="16"/>
          <w:szCs w:val="16"/>
        </w:rPr>
        <w:t xml:space="preserve">Gambling sites by product subcategory, descending.</w:t>
      </w:r>
    </w:p>
    <w:p>
      <w:pPr>
        <w:spacing w:after="0" w:before="80"/>
      </w:pPr>
      <w:r>
        <w:drawing>
          <wp:inline distT="0" distB="0" distL="0" distR="0">
            <wp:extent cx="6096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695450"/>
                    </a:xfrm>
                    <a:prstGeom prst="rect">
                      <a:avLst/>
                    </a:prstGeom>
                  </pic:spPr>
                </pic:pic>
              </a:graphicData>
            </a:graphic>
          </wp:inline>
        </w:drawing>
      </w:r>
    </w:p>
    <w:p>
      <w:pPr>
        <w:spacing w:after="220" w:before="60"/>
      </w:pPr>
      <w:r>
        <w:rPr>
          <w:rFonts w:ascii="Calibri" w:cs="Calibri" w:eastAsia="Calibri" w:hAnsi="Calibri"/>
          <w:b/>
          <w:bCs/>
          <w:color w:val="5B6B7B"/>
          <w:sz w:val="16"/>
          <w:szCs w:val="16"/>
        </w:rPr>
        <w:t xml:space="preserve">Figure 5 — </w:t>
      </w:r>
      <w:r>
        <w:rPr>
          <w:rFonts w:ascii="Calibri" w:cs="Calibri" w:eastAsia="Calibri" w:hAnsi="Calibri"/>
          <w:i/>
          <w:iCs/>
          <w:color w:val="5B6B7B"/>
          <w:sz w:val="16"/>
          <w:szCs w:val="16"/>
        </w:rPr>
        <w:t xml:space="preserve">Share of gambling sites held by each product subcategory.</w:t>
      </w:r>
    </w:p>
    <w:p>
      <w:pPr>
        <w:pStyle w:val="Heading2"/>
        <w:spacing w:after="120" w:before="220"/>
      </w:pPr>
      <w:r>
        <w:rPr>
          <w:rFonts w:ascii="Calibri" w:cs="Calibri" w:eastAsia="Calibri" w:hAnsi="Calibri"/>
          <w:b/>
          <w:bCs/>
          <w:color w:val="1F3F63"/>
          <w:sz w:val="24"/>
          <w:szCs w:val="24"/>
        </w:rPr>
        <w:t xml:space="preserve">3.2 How each subcategory was assigned</w:t>
      </w:r>
    </w:p>
    <w:p>
      <w:pPr>
        <w:spacing w:after="120" w:before="0"/>
      </w:pPr>
      <w:r>
        <w:rPr>
          <w:rFonts w:ascii="Calibri" w:cs="Calibri" w:eastAsia="Calibri" w:hAnsi="Calibri"/>
          <w:color w:val="16202B"/>
          <w:sz w:val="20"/>
          <w:szCs w:val="20"/>
        </w:rPr>
        <w:t xml:space="preserve">Figure 6 splits each subcategory bar into its keyword-derived and inferred portions, the inferred portion drawn in the same hue at reduced opacity. Sites confirmed as gambling without an evidenced product type fall to the General Gambling catch-all, 9.3 per cent of gambling rows; that is the correct answer for those rows rather than a failure, and no product type was guessed for them.</w:t>
      </w:r>
    </w:p>
    <w:p>
      <w:pPr>
        <w:spacing w:after="0" w:before="80"/>
      </w:pPr>
      <w:r>
        <w:drawing>
          <wp:inline distT="0" distB="0" distL="0" distR="0">
            <wp:extent cx="6096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304925"/>
                    </a:xfrm>
                    <a:prstGeom prst="rect">
                      <a:avLst/>
                    </a:prstGeom>
                  </pic:spPr>
                </pic:pic>
              </a:graphicData>
            </a:graphic>
          </wp:inline>
        </w:drawing>
      </w:r>
    </w:p>
    <w:p>
      <w:pPr>
        <w:spacing w:after="220" w:before="60"/>
      </w:pPr>
      <w:r>
        <w:rPr>
          <w:rFonts w:ascii="Calibri" w:cs="Calibri" w:eastAsia="Calibri" w:hAnsi="Calibri"/>
          <w:b/>
          <w:bCs/>
          <w:color w:val="5B6B7B"/>
          <w:sz w:val="16"/>
          <w:szCs w:val="16"/>
        </w:rPr>
        <w:t xml:space="preserve">Figure 6 — </w:t>
      </w:r>
      <w:r>
        <w:rPr>
          <w:rFonts w:ascii="Calibri" w:cs="Calibri" w:eastAsia="Calibri" w:hAnsi="Calibri"/>
          <w:i/>
          <w:iCs/>
          <w:color w:val="5B6B7B"/>
          <w:sz w:val="16"/>
          <w:szCs w:val="16"/>
        </w:rPr>
        <w:t xml:space="preserve">Keyword-derived versus inferred subcategory assignment, by subcategory.</w:t>
      </w:r>
    </w:p>
    <w:tbl>
      <w:tblPr>
        <w:tblW w:type="dxa" w:w="9638"/>
        <w:tblBorders>
          <w:top w:val="single" w:color="C9D2DB" w:sz="4"/>
          <w:left w:val="single" w:color="C9D2DB" w:sz="4"/>
          <w:bottom w:val="single" w:color="C9D2DB" w:sz="4"/>
          <w:right w:val="single" w:color="C9D2DB" w:sz="4"/>
          <w:insideH w:val="single" w:color="C9D2DB" w:sz="4"/>
          <w:insideV w:val="single" w:color="C9D2DB" w:sz="4"/>
        </w:tblBorders>
      </w:tblPr>
      <w:tblGrid>
        <w:gridCol w:w="2600"/>
        <w:gridCol w:w="1300"/>
        <w:gridCol w:w="1900"/>
        <w:gridCol w:w="1500"/>
        <w:gridCol w:w="1200"/>
        <w:gridCol w:w="1138"/>
      </w:tblGrid>
      <w:tr>
        <w:trPr>
          <w:tblHeader/>
        </w:trPr>
        <w:tc>
          <w:tcPr>
            <w:tcW w:type="dxa" w:w="26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Subcategory</w:t>
            </w:r>
          </w:p>
        </w:tc>
        <w:tc>
          <w:tcPr>
            <w:tcW w:type="dxa" w:w="130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Count</w:t>
            </w:r>
          </w:p>
        </w:tc>
        <w:tc>
          <w:tcPr>
            <w:tcW w:type="dxa" w:w="190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Per cent of gambling</w:t>
            </w:r>
          </w:p>
        </w:tc>
        <w:tc>
          <w:tcPr>
            <w:tcW w:type="dxa" w:w="150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Keyword</w:t>
            </w:r>
          </w:p>
        </w:tc>
        <w:tc>
          <w:tcPr>
            <w:tcW w:type="dxa" w:w="120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Inferred</w:t>
            </w:r>
          </w:p>
        </w:tc>
        <w:tc>
          <w:tcPr>
            <w:tcW w:type="dxa" w:w="1138"/>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Clusters</w:t>
            </w:r>
          </w:p>
        </w:tc>
      </w:tr>
      <w:tr>
        <w:tc>
          <w:tcPr>
            <w:tcW w:type="dxa" w:w="26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Football Betting</w:t>
            </w:r>
          </w:p>
        </w:tc>
        <w:tc>
          <w:tcPr>
            <w:tcW w:type="dxa" w:w="13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38</w:t>
            </w:r>
          </w:p>
        </w:tc>
        <w:tc>
          <w:tcPr>
            <w:tcW w:type="dxa" w:w="19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32.2</w:t>
            </w:r>
          </w:p>
        </w:tc>
        <w:tc>
          <w:tcPr>
            <w:tcW w:type="dxa" w:w="15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21</w:t>
            </w:r>
          </w:p>
        </w:tc>
        <w:tc>
          <w:tcPr>
            <w:tcW w:type="dxa" w:w="12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17</w:t>
            </w:r>
          </w:p>
        </w:tc>
        <w:tc>
          <w:tcPr>
            <w:tcW w:type="dxa" w:w="11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17</w:t>
            </w:r>
          </w:p>
        </w:tc>
      </w:tr>
      <w:tr>
        <w:tc>
          <w:tcPr>
            <w:tcW w:type="dxa" w:w="26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Slots</w:t>
            </w:r>
          </w:p>
        </w:tc>
        <w:tc>
          <w:tcPr>
            <w:tcW w:type="dxa" w:w="13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35</w:t>
            </w:r>
          </w:p>
        </w:tc>
        <w:tc>
          <w:tcPr>
            <w:tcW w:type="dxa" w:w="19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29.7</w:t>
            </w:r>
          </w:p>
        </w:tc>
        <w:tc>
          <w:tcPr>
            <w:tcW w:type="dxa" w:w="15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17</w:t>
            </w:r>
          </w:p>
        </w:tc>
        <w:tc>
          <w:tcPr>
            <w:tcW w:type="dxa" w:w="12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18</w:t>
            </w:r>
          </w:p>
        </w:tc>
        <w:tc>
          <w:tcPr>
            <w:tcW w:type="dxa" w:w="11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18</w:t>
            </w:r>
          </w:p>
        </w:tc>
      </w:tr>
      <w:tr>
        <w:tc>
          <w:tcPr>
            <w:tcW w:type="dxa" w:w="26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Casino</w:t>
            </w:r>
          </w:p>
        </w:tc>
        <w:tc>
          <w:tcPr>
            <w:tcW w:type="dxa" w:w="13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19</w:t>
            </w:r>
          </w:p>
        </w:tc>
        <w:tc>
          <w:tcPr>
            <w:tcW w:type="dxa" w:w="19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16.1</w:t>
            </w:r>
          </w:p>
        </w:tc>
        <w:tc>
          <w:tcPr>
            <w:tcW w:type="dxa" w:w="15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c>
          <w:tcPr>
            <w:tcW w:type="dxa" w:w="12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15</w:t>
            </w:r>
          </w:p>
        </w:tc>
        <w:tc>
          <w:tcPr>
            <w:tcW w:type="dxa" w:w="11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13</w:t>
            </w:r>
          </w:p>
        </w:tc>
      </w:tr>
      <w:tr>
        <w:tc>
          <w:tcPr>
            <w:tcW w:type="dxa" w:w="26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General Gambling</w:t>
            </w:r>
          </w:p>
        </w:tc>
        <w:tc>
          <w:tcPr>
            <w:tcW w:type="dxa" w:w="13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11</w:t>
            </w:r>
          </w:p>
        </w:tc>
        <w:tc>
          <w:tcPr>
            <w:tcW w:type="dxa" w:w="19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9.3</w:t>
            </w:r>
          </w:p>
        </w:tc>
        <w:tc>
          <w:tcPr>
            <w:tcW w:type="dxa" w:w="15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c>
          <w:tcPr>
            <w:tcW w:type="dxa" w:w="12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9</w:t>
            </w:r>
          </w:p>
        </w:tc>
        <w:tc>
          <w:tcPr>
            <w:tcW w:type="dxa" w:w="11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8</w:t>
            </w:r>
          </w:p>
        </w:tc>
      </w:tr>
      <w:tr>
        <w:tc>
          <w:tcPr>
            <w:tcW w:type="dxa" w:w="26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Playing card</w:t>
            </w:r>
          </w:p>
        </w:tc>
        <w:tc>
          <w:tcPr>
            <w:tcW w:type="dxa" w:w="13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8</w:t>
            </w:r>
          </w:p>
        </w:tc>
        <w:tc>
          <w:tcPr>
            <w:tcW w:type="dxa" w:w="19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6.8</w:t>
            </w:r>
          </w:p>
        </w:tc>
        <w:tc>
          <w:tcPr>
            <w:tcW w:type="dxa" w:w="15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w:t>
            </w:r>
          </w:p>
        </w:tc>
        <w:tc>
          <w:tcPr>
            <w:tcW w:type="dxa" w:w="12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8</w:t>
            </w:r>
          </w:p>
        </w:tc>
        <w:tc>
          <w:tcPr>
            <w:tcW w:type="dxa" w:w="11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6</w:t>
            </w:r>
          </w:p>
        </w:tc>
      </w:tr>
      <w:tr>
        <w:tc>
          <w:tcPr>
            <w:tcW w:type="dxa" w:w="26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Lottery</w:t>
            </w:r>
          </w:p>
        </w:tc>
        <w:tc>
          <w:tcPr>
            <w:tcW w:type="dxa" w:w="13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5</w:t>
            </w:r>
          </w:p>
        </w:tc>
        <w:tc>
          <w:tcPr>
            <w:tcW w:type="dxa" w:w="19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4.2</w:t>
            </w:r>
          </w:p>
        </w:tc>
        <w:tc>
          <w:tcPr>
            <w:tcW w:type="dxa" w:w="15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w:t>
            </w:r>
          </w:p>
        </w:tc>
        <w:tc>
          <w:tcPr>
            <w:tcW w:type="dxa" w:w="12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5</w:t>
            </w:r>
          </w:p>
        </w:tc>
        <w:tc>
          <w:tcPr>
            <w:tcW w:type="dxa" w:w="11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r>
      <w:tr>
        <w:tc>
          <w:tcPr>
            <w:tcW w:type="dxa" w:w="26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Baccarat</w:t>
            </w:r>
          </w:p>
        </w:tc>
        <w:tc>
          <w:tcPr>
            <w:tcW w:type="dxa" w:w="13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c>
          <w:tcPr>
            <w:tcW w:type="dxa" w:w="19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1.7</w:t>
            </w:r>
          </w:p>
        </w:tc>
        <w:tc>
          <w:tcPr>
            <w:tcW w:type="dxa" w:w="15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c>
          <w:tcPr>
            <w:tcW w:type="dxa" w:w="12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c>
          <w:tcPr>
            <w:tcW w:type="dxa" w:w="11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r>
    </w:tbl>
    <w:p>
      <w:pPr>
        <w:spacing w:after="220" w:before="60"/>
      </w:pPr>
      <w:r>
        <w:rPr>
          <w:rFonts w:ascii="Calibri" w:cs="Calibri" w:eastAsia="Calibri" w:hAnsi="Calibri"/>
          <w:b/>
          <w:bCs/>
          <w:color w:val="5B6B7B"/>
          <w:sz w:val="16"/>
          <w:szCs w:val="16"/>
        </w:rPr>
        <w:t xml:space="preserve">Table 4 — </w:t>
      </w:r>
      <w:r>
        <w:rPr>
          <w:rFonts w:ascii="Calibri" w:cs="Calibri" w:eastAsia="Calibri" w:hAnsi="Calibri"/>
          <w:i/>
          <w:iCs/>
          <w:color w:val="5B6B7B"/>
          <w:sz w:val="16"/>
          <w:szCs w:val="16"/>
        </w:rPr>
        <w:t xml:space="preserve">Product subcategories with assignment method and cluster spread.</w:t>
      </w:r>
    </w:p>
    <w:p>
      <w:pPr>
        <w:pStyle w:val="Heading2"/>
        <w:spacing w:after="120" w:before="220"/>
      </w:pPr>
      <w:r>
        <w:rPr>
          <w:rFonts w:ascii="Calibri" w:cs="Calibri" w:eastAsia="Calibri" w:hAnsi="Calibri"/>
          <w:b/>
          <w:bCs/>
          <w:color w:val="1F3F63"/>
          <w:sz w:val="24"/>
          <w:szCs w:val="24"/>
        </w:rPr>
        <w:t xml:space="preserve">3.3 Signal tags</w:t>
      </w:r>
    </w:p>
    <w:p>
      <w:pPr>
        <w:spacing w:after="120" w:before="0"/>
      </w:pPr>
      <w:r>
        <w:rPr>
          <w:rFonts w:ascii="Calibri" w:cs="Calibri" w:eastAsia="Calibri" w:hAnsi="Calibri"/>
          <w:color w:val="16202B"/>
          <w:sz w:val="20"/>
          <w:szCs w:val="20"/>
        </w:rPr>
        <w:t xml:space="preserve">Signal tags record how a site operates or markets itself rather than what it sells, so a site may carry several or none. Across 118 gambling rows, 78 tags were assigned, a mean of 0.66 per site. Figure 7 ranks them, led by Abbreviations at 40.7 per cent.</w:t>
      </w:r>
    </w:p>
    <w:p>
      <w:pPr>
        <w:spacing w:after="0" w:before="80"/>
      </w:pPr>
      <w:r>
        <w:drawing>
          <wp:inline distT="0" distB="0" distL="0" distR="0">
            <wp:extent cx="6096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419225"/>
                    </a:xfrm>
                    <a:prstGeom prst="rect">
                      <a:avLst/>
                    </a:prstGeom>
                  </pic:spPr>
                </pic:pic>
              </a:graphicData>
            </a:graphic>
          </wp:inline>
        </w:drawing>
      </w:r>
    </w:p>
    <w:p>
      <w:pPr>
        <w:spacing w:after="220" w:before="60"/>
      </w:pPr>
      <w:r>
        <w:rPr>
          <w:rFonts w:ascii="Calibri" w:cs="Calibri" w:eastAsia="Calibri" w:hAnsi="Calibri"/>
          <w:b/>
          <w:bCs/>
          <w:color w:val="5B6B7B"/>
          <w:sz w:val="16"/>
          <w:szCs w:val="16"/>
        </w:rPr>
        <w:t xml:space="preserve">Figure 7 — </w:t>
      </w:r>
      <w:r>
        <w:rPr>
          <w:rFonts w:ascii="Calibri" w:cs="Calibri" w:eastAsia="Calibri" w:hAnsi="Calibri"/>
          <w:i/>
          <w:iCs/>
          <w:color w:val="5B6B7B"/>
          <w:sz w:val="16"/>
          <w:szCs w:val="16"/>
        </w:rPr>
        <w:t xml:space="preserve">Signal tags across the gambling estate.</w:t>
      </w:r>
    </w:p>
    <w:p>
      <w:pPr>
        <w:pStyle w:val="Heading2"/>
        <w:spacing w:after="120" w:before="220"/>
      </w:pPr>
      <w:r>
        <w:rPr>
          <w:rFonts w:ascii="Calibri" w:cs="Calibri" w:eastAsia="Calibri" w:hAnsi="Calibri"/>
          <w:b/>
          <w:bCs/>
          <w:color w:val="1F3F63"/>
          <w:sz w:val="24"/>
          <w:szCs w:val="24"/>
        </w:rPr>
        <w:t xml:space="preserve">3.4 Keyword and signal heat maps</w:t>
      </w:r>
    </w:p>
    <w:p>
      <w:pPr>
        <w:spacing w:after="120" w:before="0"/>
      </w:pPr>
      <w:r>
        <w:rPr>
          <w:rFonts w:ascii="Calibri" w:cs="Calibri" w:eastAsia="Calibri" w:hAnsi="Calibri"/>
          <w:color w:val="16202B"/>
          <w:sz w:val="20"/>
          <w:szCs w:val="20"/>
        </w:rPr>
        <w:t xml:space="preserve">Table 5 crosses the most frequently matched keywords against the product subcategories they were found in. Reading across a row shows whether a keyword is specific to one product or bleeds across several; a keyword carried on more than one reference category appears once per category, which is why the same term can occupy two rows. Zero cells are left as page background so that "no sites" is visually distinct from "few sites".</w:t>
      </w:r>
    </w:p>
    <w:tbl>
      <w:tblPr>
        <w:tblW w:type="dxa" w:w="9638"/>
        <w:tblBorders>
          <w:top w:val="single" w:color="C9D2DB" w:sz="4"/>
          <w:left w:val="single" w:color="C9D2DB" w:sz="4"/>
          <w:bottom w:val="single" w:color="C9D2DB" w:sz="4"/>
          <w:right w:val="single" w:color="C9D2DB" w:sz="4"/>
          <w:insideH w:val="single" w:color="C9D2DB" w:sz="4"/>
          <w:insideV w:val="single" w:color="C9D2DB" w:sz="4"/>
        </w:tblBorders>
      </w:tblPr>
      <w:tblGrid>
        <w:gridCol w:w="2400"/>
        <w:gridCol w:w="950"/>
        <w:gridCol w:w="950"/>
        <w:gridCol w:w="950"/>
        <w:gridCol w:w="950"/>
        <w:gridCol w:w="950"/>
        <w:gridCol w:w="950"/>
        <w:gridCol w:w="950"/>
        <w:gridCol w:w="588"/>
      </w:tblGrid>
      <w:tr>
        <w:trPr>
          <w:tblHeader/>
        </w:trPr>
        <w:tc>
          <w:tcPr>
            <w:tcW w:type="dxa" w:w="24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Keyword</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Football Betting</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Slots</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Casino</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General Gambling</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Playing card</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Lottery</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Baccarat</w:t>
            </w:r>
          </w:p>
        </w:tc>
        <w:tc>
          <w:tcPr>
            <w:tcW w:type="dxa" w:w="588"/>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Total</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BET</w:t>
            </w:r>
          </w:p>
        </w:tc>
        <w:tc>
          <w:tcPr>
            <w:tcW w:type="dxa" w:w="950"/>
            <w:shd w:fill="8B9CAE"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10</w:t>
            </w:r>
          </w:p>
        </w:tc>
        <w:tc>
          <w:tcPr>
            <w:tcW w:type="dxa" w:w="950"/>
            <w:shd w:fill="95A4B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9</w:t>
            </w:r>
          </w:p>
        </w:tc>
        <w:tc>
          <w:tcPr>
            <w:tcW w:type="dxa" w:w="950"/>
            <w:shd w:fill="BCC6D0"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5</w:t>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D9DFE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28</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แทงบอล</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21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21</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แทงบอล</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21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21</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สล็อต</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46617E"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17</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17</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สมัครสมาชิก</w:t>
            </w:r>
          </w:p>
        </w:tc>
        <w:tc>
          <w:tcPr>
            <w:tcW w:type="dxa" w:w="950"/>
            <w:shd w:fill="D0D6DE"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3</w:t>
            </w:r>
          </w:p>
        </w:tc>
        <w:tc>
          <w:tcPr>
            <w:tcW w:type="dxa" w:w="950"/>
            <w:shd w:fill="95A4B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9</w:t>
            </w:r>
          </w:p>
        </w:tc>
        <w:tc>
          <w:tcPr>
            <w:tcW w:type="dxa" w:w="950"/>
            <w:shd w:fill="D9DFE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15</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สล็อตเว็บตรง</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6E829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13</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13</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WALLET</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B2BDC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6</w:t>
            </w:r>
          </w:p>
        </w:tc>
        <w:tc>
          <w:tcPr>
            <w:tcW w:type="dxa" w:w="950"/>
            <w:shd w:fill="C6CED7"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4</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10</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Wallet</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B2BDC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6</w:t>
            </w:r>
          </w:p>
        </w:tc>
        <w:tc>
          <w:tcPr>
            <w:tcW w:type="dxa" w:w="950"/>
            <w:shd w:fill="C6CED7"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4</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10</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RTP</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A8B5C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7</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8</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เว็บแทงบอล</w:t>
            </w:r>
          </w:p>
        </w:tc>
        <w:tc>
          <w:tcPr>
            <w:tcW w:type="dxa" w:w="950"/>
            <w:shd w:fill="9FACB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8</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8</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WIN</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D0D6DE"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3</w:t>
            </w:r>
          </w:p>
        </w:tc>
        <w:tc>
          <w:tcPr>
            <w:tcW w:type="dxa" w:w="950"/>
            <w:shd w:fill="C6CED7"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4</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7</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VIP</w:t>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D9DFE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คาสิโน</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C6CED7"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4</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คาสิโน</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C6CED7"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4</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บอลออนไลน์</w:t>
            </w:r>
          </w:p>
        </w:tc>
        <w:tc>
          <w:tcPr>
            <w:tcW w:type="dxa" w:w="950"/>
            <w:shd w:fill="C6CED7"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4</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แทงบอลออนไลน์</w:t>
            </w:r>
          </w:p>
        </w:tc>
        <w:tc>
          <w:tcPr>
            <w:tcW w:type="dxa" w:w="950"/>
            <w:shd w:fill="C6CED7"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4</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จ่ายจริง</w:t>
            </w:r>
          </w:p>
        </w:tc>
        <w:tc>
          <w:tcPr>
            <w:tcW w:type="dxa" w:w="950"/>
            <w:shd w:fill="D0D6DE"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3</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สมาชิกใหม่</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Affiliate</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Agent</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คาสิโนออนไลน์</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คาสิโนออนไลน์</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บาคาร่า</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พนัน</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พนันออนไลน์</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E3E7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w:t>
            </w:r>
          </w:p>
        </w:tc>
      </w:tr>
    </w:tbl>
    <w:p>
      <w:pPr>
        <w:spacing w:after="220" w:before="60"/>
      </w:pPr>
      <w:r>
        <w:rPr>
          <w:rFonts w:ascii="Calibri" w:cs="Calibri" w:eastAsia="Calibri" w:hAnsi="Calibri"/>
          <w:b/>
          <w:bCs/>
          <w:color w:val="5B6B7B"/>
          <w:sz w:val="16"/>
          <w:szCs w:val="16"/>
        </w:rPr>
        <w:t xml:space="preserve">Table 5 — </w:t>
      </w:r>
      <w:r>
        <w:rPr>
          <w:rFonts w:ascii="Calibri" w:cs="Calibri" w:eastAsia="Calibri" w:hAnsi="Calibri"/>
          <w:i/>
          <w:iCs/>
          <w:color w:val="5B6B7B"/>
          <w:sz w:val="16"/>
          <w:szCs w:val="16"/>
        </w:rPr>
        <w:t xml:space="preserve">Keyword by product subcategory; cell values are gambling sites.</w:t>
      </w:r>
    </w:p>
    <w:p>
      <w:pPr>
        <w:spacing w:after="120" w:before="0"/>
      </w:pPr>
      <w:r>
        <w:rPr>
          <w:rFonts w:ascii="Calibri" w:cs="Calibri" w:eastAsia="Calibri" w:hAnsi="Calibri"/>
          <w:color w:val="16202B"/>
          <w:sz w:val="20"/>
          <w:szCs w:val="20"/>
        </w:rPr>
        <w:t xml:space="preserve">Table 6 does the same for signal tags, showing which products lean on promotional, payment or evasion language.</w:t>
      </w:r>
    </w:p>
    <w:tbl>
      <w:tblPr>
        <w:tblW w:type="dxa" w:w="9638"/>
        <w:tblBorders>
          <w:top w:val="single" w:color="C9D2DB" w:sz="4"/>
          <w:left w:val="single" w:color="C9D2DB" w:sz="4"/>
          <w:bottom w:val="single" w:color="C9D2DB" w:sz="4"/>
          <w:right w:val="single" w:color="C9D2DB" w:sz="4"/>
          <w:insideH w:val="single" w:color="C9D2DB" w:sz="4"/>
          <w:insideV w:val="single" w:color="C9D2DB" w:sz="4"/>
        </w:tblBorders>
      </w:tblPr>
      <w:tblGrid>
        <w:gridCol w:w="2400"/>
        <w:gridCol w:w="950"/>
        <w:gridCol w:w="950"/>
        <w:gridCol w:w="950"/>
        <w:gridCol w:w="950"/>
        <w:gridCol w:w="950"/>
        <w:gridCol w:w="950"/>
        <w:gridCol w:w="950"/>
        <w:gridCol w:w="588"/>
      </w:tblGrid>
      <w:tr>
        <w:trPr>
          <w:tblHeader/>
        </w:trPr>
        <w:tc>
          <w:tcPr>
            <w:tcW w:type="dxa" w:w="24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Signal tag</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Slots</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Football Betting</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Casino</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General Gambling</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Playing card</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Lottery</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Baccarat</w:t>
            </w:r>
          </w:p>
        </w:tc>
        <w:tc>
          <w:tcPr>
            <w:tcW w:type="dxa" w:w="588"/>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Total</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Abbreviations</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22</w:t>
            </w:r>
          </w:p>
        </w:tc>
        <w:tc>
          <w:tcPr>
            <w:tcW w:type="dxa" w:w="950"/>
            <w:shd w:fill="8697AB"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11</w:t>
            </w:r>
          </w:p>
        </w:tc>
        <w:tc>
          <w:tcPr>
            <w:tcW w:type="dxa" w:w="950"/>
            <w:shd w:fill="99A7B8"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9</w:t>
            </w:r>
          </w:p>
        </w:tc>
        <w:tc>
          <w:tcPr>
            <w:tcW w:type="dxa" w:w="950"/>
            <w:shd w:fill="DAE0E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DAE0E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DAE0E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48</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Marketing &amp; Acquisition</w:t>
            </w:r>
          </w:p>
        </w:tc>
        <w:tc>
          <w:tcPr>
            <w:tcW w:type="dxa" w:w="950"/>
            <w:shd w:fill="99A7B8"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9</w:t>
            </w:r>
          </w:p>
        </w:tc>
        <w:tc>
          <w:tcPr>
            <w:tcW w:type="dxa" w:w="950"/>
            <w:shd w:fill="B5BFCB"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6</w:t>
            </w:r>
          </w:p>
        </w:tc>
        <w:tc>
          <w:tcPr>
            <w:tcW w:type="dxa" w:w="950"/>
            <w:shd w:fill="DAE0E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E4E8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18</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Deposit &amp; Withdrawal</w:t>
            </w:r>
          </w:p>
        </w:tc>
        <w:tc>
          <w:tcPr>
            <w:tcW w:type="dxa" w:w="950"/>
            <w:shd w:fill="B5BFCB"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6</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C8D0D8"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4</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10</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Affiliate &amp; Agent</w:t>
            </w:r>
          </w:p>
        </w:tc>
        <w:tc>
          <w:tcPr>
            <w:tcW w:type="dxa" w:w="950"/>
            <w:shd w:fill="E4E8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E4E8E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Hashtags</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Promotions</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Vague-Evasion Terms</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0</w:t>
            </w:r>
          </w:p>
        </w:tc>
      </w:tr>
    </w:tbl>
    <w:p>
      <w:pPr>
        <w:spacing w:after="220" w:before="60"/>
      </w:pPr>
      <w:r>
        <w:rPr>
          <w:rFonts w:ascii="Calibri" w:cs="Calibri" w:eastAsia="Calibri" w:hAnsi="Calibri"/>
          <w:b/>
          <w:bCs/>
          <w:color w:val="5B6B7B"/>
          <w:sz w:val="16"/>
          <w:szCs w:val="16"/>
        </w:rPr>
        <w:t xml:space="preserve">Table 6 — </w:t>
      </w:r>
      <w:r>
        <w:rPr>
          <w:rFonts w:ascii="Calibri" w:cs="Calibri" w:eastAsia="Calibri" w:hAnsi="Calibri"/>
          <w:i/>
          <w:iCs/>
          <w:color w:val="5B6B7B"/>
          <w:sz w:val="16"/>
          <w:szCs w:val="16"/>
        </w:rPr>
        <w:t xml:space="preserve">Signal tag by product subcategory; cell values are gambling sites.</w:t>
      </w:r>
    </w:p>
    <w:p>
      <w:pPr>
        <w:pStyle w:val="Heading1"/>
        <w:spacing w:after="120" w:before="320"/>
      </w:pPr>
      <w:r>
        <w:rPr>
          <w:rFonts w:ascii="Calibri" w:cs="Calibri" w:eastAsia="Calibri" w:hAnsi="Calibri"/>
          <w:b/>
          <w:bCs/>
          <w:color w:val="1F3F63"/>
          <w:sz w:val="30"/>
          <w:szCs w:val="30"/>
        </w:rPr>
        <w:t xml:space="preserve">4. Brands and clustering</w:t>
      </w:r>
    </w:p>
    <w:p>
      <w:pPr>
        <w:spacing w:after="120" w:before="0"/>
      </w:pPr>
      <w:r>
        <w:rPr>
          <w:rFonts w:ascii="Calibri" w:cs="Calibri" w:eastAsia="Calibri" w:hAnsi="Calibri"/>
          <w:color w:val="16202B"/>
          <w:sz w:val="20"/>
          <w:szCs w:val="20"/>
        </w:rPr>
        <w:t xml:space="preserve">Clustering collapses many domains onto the operator behind them, and it is the part of this analysis with the most direct bearing on enforcement. A row joins a cluster either because the crawler asserted a seed relationship — a variant or a redirect naming its origin — or because its name stem matches another row's. Seed linkage always wins, because it is asserted rather than inferred. A cluster is named by its shortest member stem.</w:t>
      </w:r>
    </w:p>
    <w:p>
      <w:pPr>
        <w:spacing w:after="120" w:before="0"/>
      </w:pPr>
      <w:r>
        <w:rPr>
          <w:rFonts w:ascii="Calibri" w:cs="Calibri" w:eastAsia="Calibri" w:hAnsi="Calibri"/>
          <w:color w:val="16202B"/>
          <w:sz w:val="20"/>
          <w:szCs w:val="20"/>
        </w:rPr>
        <w:t xml:space="preserve">The 118 gambling URLs resolve to 66 clusters: 23 hold more than one domain and 43 are singletons. The top five clusters hold 24.6 per cent of gambling URLs and the top ten 39.8 per cent, with 15 clusters needed to cover half the estate.</w:t>
      </w:r>
    </w:p>
    <w:p>
      <w:pPr>
        <w:pStyle w:val="Heading2"/>
        <w:spacing w:after="120" w:before="220"/>
      </w:pPr>
      <w:r>
        <w:rPr>
          <w:rFonts w:ascii="Calibri" w:cs="Calibri" w:eastAsia="Calibri" w:hAnsi="Calibri"/>
          <w:b/>
          <w:bCs/>
          <w:color w:val="1F3F63"/>
          <w:sz w:val="24"/>
          <w:szCs w:val="24"/>
        </w:rPr>
        <w:t xml:space="preserve">4.1 The largest clusters</w:t>
      </w:r>
    </w:p>
    <w:p>
      <w:pPr>
        <w:spacing w:after="120" w:before="0"/>
      </w:pPr>
      <w:r>
        <w:rPr>
          <w:rFonts w:ascii="Calibri" w:cs="Calibri" w:eastAsia="Calibri" w:hAnsi="Calibri"/>
          <w:color w:val="16202B"/>
          <w:sz w:val="20"/>
          <w:szCs w:val="20"/>
        </w:rPr>
        <w:t xml:space="preserve">Figure 8 ranks the fifteen largest clusters by URL count and Figure 9 plots cumulative share against cluster rank, with a reference line at half the estate. The curve is the practical result: it shows how far down the ranking enforcement has to reach before it has covered half of the gambling URLs.</w:t>
      </w:r>
    </w:p>
    <w:p>
      <w:pPr>
        <w:spacing w:after="0" w:before="80"/>
      </w:pPr>
      <w:r>
        <w:drawing>
          <wp:inline distT="0" distB="0" distL="0" distR="0">
            <wp:extent cx="6096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943225"/>
                    </a:xfrm>
                    <a:prstGeom prst="rect">
                      <a:avLst/>
                    </a:prstGeom>
                  </pic:spPr>
                </pic:pic>
              </a:graphicData>
            </a:graphic>
          </wp:inline>
        </w:drawing>
      </w:r>
    </w:p>
    <w:p>
      <w:pPr>
        <w:spacing w:after="220" w:before="60"/>
      </w:pPr>
      <w:r>
        <w:rPr>
          <w:rFonts w:ascii="Calibri" w:cs="Calibri" w:eastAsia="Calibri" w:hAnsi="Calibri"/>
          <w:b/>
          <w:bCs/>
          <w:color w:val="5B6B7B"/>
          <w:sz w:val="16"/>
          <w:szCs w:val="16"/>
        </w:rPr>
        <w:t xml:space="preserve">Figure 8 — </w:t>
      </w:r>
      <w:r>
        <w:rPr>
          <w:rFonts w:ascii="Calibri" w:cs="Calibri" w:eastAsia="Calibri" w:hAnsi="Calibri"/>
          <w:i/>
          <w:iCs/>
          <w:color w:val="5B6B7B"/>
          <w:sz w:val="16"/>
          <w:szCs w:val="16"/>
        </w:rPr>
        <w:t xml:space="preserve">The fifteen largest brand clusters by URL count.</w:t>
      </w:r>
    </w:p>
    <w:p>
      <w:pPr>
        <w:spacing w:after="0" w:before="80"/>
      </w:pPr>
      <w:r>
        <w:drawing>
          <wp:inline distT="0" distB="0" distL="0" distR="0">
            <wp:extent cx="6096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1895475"/>
                    </a:xfrm>
                    <a:prstGeom prst="rect">
                      <a:avLst/>
                    </a:prstGeom>
                  </pic:spPr>
                </pic:pic>
              </a:graphicData>
            </a:graphic>
          </wp:inline>
        </w:drawing>
      </w:r>
    </w:p>
    <w:p>
      <w:pPr>
        <w:spacing w:after="220" w:before="60"/>
      </w:pPr>
      <w:r>
        <w:rPr>
          <w:rFonts w:ascii="Calibri" w:cs="Calibri" w:eastAsia="Calibri" w:hAnsi="Calibri"/>
          <w:b/>
          <w:bCs/>
          <w:color w:val="5B6B7B"/>
          <w:sz w:val="16"/>
          <w:szCs w:val="16"/>
        </w:rPr>
        <w:t xml:space="preserve">Figure 9 — </w:t>
      </w:r>
      <w:r>
        <w:rPr>
          <w:rFonts w:ascii="Calibri" w:cs="Calibri" w:eastAsia="Calibri" w:hAnsi="Calibri"/>
          <w:i/>
          <w:iCs/>
          <w:color w:val="5B6B7B"/>
          <w:sz w:val="16"/>
          <w:szCs w:val="16"/>
        </w:rPr>
        <w:t xml:space="preserve">Cumulative share of gambling URLs by cluster rank, with a reference line at 50 per cent.</w:t>
      </w:r>
    </w:p>
    <w:p>
      <w:pPr>
        <w:pStyle w:val="Heading2"/>
        <w:spacing w:after="120" w:before="220"/>
      </w:pPr>
      <w:r>
        <w:rPr>
          <w:rFonts w:ascii="Calibri" w:cs="Calibri" w:eastAsia="Calibri" w:hAnsi="Calibri"/>
          <w:b/>
          <w:bCs/>
          <w:color w:val="1F3F63"/>
          <w:sz w:val="24"/>
          <w:szCs w:val="24"/>
        </w:rPr>
        <w:t xml:space="preserve">4.2 Cluster by subcategory</w:t>
      </w:r>
    </w:p>
    <w:p>
      <w:pPr>
        <w:spacing w:after="120" w:before="0"/>
      </w:pPr>
      <w:r>
        <w:rPr>
          <w:rFonts w:ascii="Calibri" w:cs="Calibri" w:eastAsia="Calibri" w:hAnsi="Calibri"/>
          <w:color w:val="16202B"/>
          <w:sz w:val="20"/>
          <w:szCs w:val="20"/>
        </w:rPr>
        <w:t xml:space="preserve">Table 7 crosses the twenty largest clusters against the product subcategories. A cluster occupying more than one column is a multi-product operator; those rows read as horizontal bands.</w:t>
      </w:r>
    </w:p>
    <w:tbl>
      <w:tblPr>
        <w:tblW w:type="dxa" w:w="9638"/>
        <w:tblBorders>
          <w:top w:val="single" w:color="C9D2DB" w:sz="4"/>
          <w:left w:val="single" w:color="C9D2DB" w:sz="4"/>
          <w:bottom w:val="single" w:color="C9D2DB" w:sz="4"/>
          <w:right w:val="single" w:color="C9D2DB" w:sz="4"/>
          <w:insideH w:val="single" w:color="C9D2DB" w:sz="4"/>
          <w:insideV w:val="single" w:color="C9D2DB" w:sz="4"/>
        </w:tblBorders>
      </w:tblPr>
      <w:tblGrid>
        <w:gridCol w:w="2400"/>
        <w:gridCol w:w="950"/>
        <w:gridCol w:w="950"/>
        <w:gridCol w:w="950"/>
        <w:gridCol w:w="950"/>
        <w:gridCol w:w="950"/>
        <w:gridCol w:w="950"/>
        <w:gridCol w:w="950"/>
        <w:gridCol w:w="588"/>
      </w:tblGrid>
      <w:tr>
        <w:trPr>
          <w:tblHeader/>
        </w:trPr>
        <w:tc>
          <w:tcPr>
            <w:tcW w:type="dxa" w:w="24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Cluster</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Football Betting</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Slots</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Casino</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General Gambling</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Playing card</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Lottery</w:t>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Baccarat</w:t>
            </w:r>
          </w:p>
        </w:tc>
        <w:tc>
          <w:tcPr>
            <w:tcW w:type="dxa" w:w="588"/>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Total</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moenas</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7</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7</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ufabet</w:t>
            </w:r>
          </w:p>
        </w:tc>
        <w:tc>
          <w:tcPr>
            <w:tcW w:type="dxa" w:w="950"/>
            <w:shd w:fill="3C5878"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6</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D0D6DE"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7</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ccsmm</w:t>
            </w:r>
          </w:p>
        </w:tc>
        <w:tc>
          <w:tcPr>
            <w:tcW w:type="dxa" w:w="950"/>
            <w:shd w:fill="5A718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5</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5</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cedardc</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5A718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5</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5</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tnfish</w:t>
            </w:r>
          </w:p>
        </w:tc>
        <w:tc>
          <w:tcPr>
            <w:tcW w:type="dxa" w:w="950"/>
            <w:shd w:fill="5A718C"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5</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5</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cora</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778BA1"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4</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esfr</w:t>
            </w:r>
          </w:p>
        </w:tc>
        <w:tc>
          <w:tcPr>
            <w:tcW w:type="dxa" w:w="950"/>
            <w:shd w:fill="778BA1"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4</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qpfc</w:t>
            </w:r>
          </w:p>
        </w:tc>
        <w:tc>
          <w:tcPr>
            <w:tcW w:type="dxa" w:w="950"/>
            <w:shd w:fill="778BA1"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4</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n66d</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95A4B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3</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s3ptube</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95A4B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3</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tsars</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95A4B5"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3</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ufa</w:t>
            </w:r>
          </w:p>
        </w:tc>
        <w:tc>
          <w:tcPr>
            <w:tcW w:type="dxa" w:w="950"/>
            <w:shd w:fill="D0D6DE"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1</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B2BDC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855sky</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B2BDC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aster</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B2BDC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casino</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B2BDC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fontshulaw</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B2BDC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happyluke</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B2BDC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infinitdenim</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B2BDC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lightingmetropolis</w:t>
            </w:r>
          </w:p>
        </w:tc>
        <w:tc>
          <w:tcPr>
            <w:tcW w:type="dxa" w:w="950"/>
            <w:shd w:fill="B2BDC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mrpacho</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B2BDCA"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16202B"/>
                <w:sz w:val="16"/>
                <w:szCs w:val="16"/>
              </w:rPr>
              <w:t xml:space="preserve">2</w:t>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950"/>
            <w:shd w:fill="FFFFFF" w:color="auto" w:val="clear"/>
            <w:tcMar>
              <w:top w:type="dxa" w:w="40"/>
              <w:left w:type="dxa" w:w="80"/>
              <w:bottom w:type="dxa" w:w="40"/>
              <w:right w:type="dxa" w:w="80"/>
            </w:tcMar>
            <w:vAlign w:val="center"/>
          </w:tcPr>
          <w:p>
            <w:pPr>
              <w:spacing w:after="0" w:before="0"/>
              <w:jc w:val="right"/>
            </w:pPr>
            <w:r>
              <w:rPr>
                <w:rFonts w:ascii="Calibri" w:cs="Calibri" w:eastAsia="Calibri" w:hAnsi="Calibri"/>
                <w:b w:val="false"/>
                <w:bCs w:val="false"/>
                <w:color w:val="B9C2CC"/>
                <w:sz w:val="16"/>
                <w:szCs w:val="16"/>
              </w:rPr>
              <w:t xml:space="preserve"/>
            </w:r>
          </w:p>
        </w:tc>
        <w:tc>
          <w:tcPr>
            <w:tcW w:type="dxa" w:w="58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w:t>
            </w:r>
          </w:p>
        </w:tc>
      </w:tr>
    </w:tbl>
    <w:p>
      <w:pPr>
        <w:spacing w:after="220" w:before="60"/>
      </w:pPr>
      <w:r>
        <w:rPr>
          <w:rFonts w:ascii="Calibri" w:cs="Calibri" w:eastAsia="Calibri" w:hAnsi="Calibri"/>
          <w:b/>
          <w:bCs/>
          <w:color w:val="5B6B7B"/>
          <w:sz w:val="16"/>
          <w:szCs w:val="16"/>
        </w:rPr>
        <w:t xml:space="preserve">Table 7 — </w:t>
      </w:r>
      <w:r>
        <w:rPr>
          <w:rFonts w:ascii="Calibri" w:cs="Calibri" w:eastAsia="Calibri" w:hAnsi="Calibri"/>
          <w:i/>
          <w:iCs/>
          <w:color w:val="5B6B7B"/>
          <w:sz w:val="16"/>
          <w:szCs w:val="16"/>
        </w:rPr>
        <w:t xml:space="preserve">Brand cluster by product subcategory; cell values are URL counts.</w:t>
      </w:r>
    </w:p>
    <w:p>
      <w:pPr>
        <w:pStyle w:val="Heading2"/>
        <w:spacing w:after="120" w:before="220"/>
      </w:pPr>
      <w:r>
        <w:rPr>
          <w:rFonts w:ascii="Calibri" w:cs="Calibri" w:eastAsia="Calibri" w:hAnsi="Calibri"/>
          <w:b/>
          <w:bCs/>
          <w:color w:val="1F3F63"/>
          <w:sz w:val="24"/>
          <w:szCs w:val="24"/>
        </w:rPr>
        <w:t xml:space="preserve">4.3 Cluster expansion — moenas</w:t>
      </w:r>
    </w:p>
    <w:p>
      <w:pPr>
        <w:spacing w:after="120" w:before="0"/>
      </w:pPr>
      <w:r>
        <w:rPr>
          <w:rFonts w:ascii="Calibri" w:cs="Calibri" w:eastAsia="Calibri" w:hAnsi="Calibri"/>
          <w:color w:val="16202B"/>
          <w:sz w:val="20"/>
          <w:szCs w:val="20"/>
        </w:rPr>
        <w:t xml:space="preserve">moenas is the largest cluster, holding 7 domains across 1 product subcategory. Figure 10 draws the cluster with its member domains; edge style records why each member joined — a solid edge for an asserted seed relationship, dashed for a matching name stem, dotted for a near-miss name merge.</w:t>
      </w:r>
    </w:p>
    <w:p>
      <w:pPr>
        <w:spacing w:after="0" w:before="80"/>
      </w:pPr>
      <w:r>
        <w:drawing>
          <wp:inline distT="0" distB="0" distL="0" distR="0">
            <wp:extent cx="6096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123950"/>
                    </a:xfrm>
                    <a:prstGeom prst="rect">
                      <a:avLst/>
                    </a:prstGeom>
                  </pic:spPr>
                </pic:pic>
              </a:graphicData>
            </a:graphic>
          </wp:inline>
        </w:drawing>
      </w:r>
    </w:p>
    <w:p>
      <w:pPr>
        <w:spacing w:after="220" w:before="60"/>
      </w:pPr>
      <w:r>
        <w:rPr>
          <w:rFonts w:ascii="Calibri" w:cs="Calibri" w:eastAsia="Calibri" w:hAnsi="Calibri"/>
          <w:b/>
          <w:bCs/>
          <w:color w:val="5B6B7B"/>
          <w:sz w:val="16"/>
          <w:szCs w:val="16"/>
        </w:rPr>
        <w:t xml:space="preserve">Figure 10 — </w:t>
      </w:r>
      <w:r>
        <w:rPr>
          <w:rFonts w:ascii="Calibri" w:cs="Calibri" w:eastAsia="Calibri" w:hAnsi="Calibri"/>
          <w:i/>
          <w:iCs/>
          <w:color w:val="5B6B7B"/>
          <w:sz w:val="16"/>
          <w:szCs w:val="16"/>
        </w:rPr>
        <w:t xml:space="preserve">Members of the moenas cluster, with the basis on which each joined.</w:t>
      </w:r>
    </w:p>
    <w:p>
      <w:pPr>
        <w:pStyle w:val="Heading2"/>
        <w:spacing w:after="120" w:before="220"/>
      </w:pPr>
      <w:r>
        <w:rPr>
          <w:rFonts w:ascii="Calibri" w:cs="Calibri" w:eastAsia="Calibri" w:hAnsi="Calibri"/>
          <w:b/>
          <w:bCs/>
          <w:color w:val="1F3F63"/>
          <w:sz w:val="24"/>
          <w:szCs w:val="24"/>
        </w:rPr>
        <w:t xml:space="preserve">4.4 Clusters spanning several subcategories</w:t>
      </w:r>
    </w:p>
    <w:p>
      <w:pPr>
        <w:spacing w:after="120" w:before="0"/>
      </w:pPr>
      <w:r>
        <w:rPr>
          <w:rFonts w:ascii="Calibri" w:cs="Calibri" w:eastAsia="Calibri" w:hAnsi="Calibri"/>
          <w:color w:val="16202B"/>
          <w:sz w:val="20"/>
          <w:szCs w:val="20"/>
        </w:rPr>
        <w:t xml:space="preserve">Table 8 lists the clusters whose members fall in more than one product subcategory. These are the operators running several product lines behind one brand family, so blocking a single product leaves the rest reachable.</w:t>
      </w:r>
    </w:p>
    <w:tbl>
      <w:tblPr>
        <w:tblW w:type="dxa" w:w="9638"/>
        <w:tblBorders>
          <w:top w:val="single" w:color="C9D2DB" w:sz="4"/>
          <w:left w:val="single" w:color="C9D2DB" w:sz="4"/>
          <w:bottom w:val="single" w:color="C9D2DB" w:sz="4"/>
          <w:right w:val="single" w:color="C9D2DB" w:sz="4"/>
          <w:insideH w:val="single" w:color="C9D2DB" w:sz="4"/>
          <w:insideV w:val="single" w:color="C9D2DB" w:sz="4"/>
        </w:tblBorders>
      </w:tblPr>
      <w:tblGrid>
        <w:gridCol w:w="1800"/>
        <w:gridCol w:w="1200"/>
        <w:gridCol w:w="3400"/>
        <w:gridCol w:w="3238"/>
      </w:tblGrid>
      <w:tr>
        <w:trPr>
          <w:tblHeader/>
        </w:trPr>
        <w:tc>
          <w:tcPr>
            <w:tcW w:type="dxa" w:w="18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Cluster</w:t>
            </w:r>
          </w:p>
        </w:tc>
        <w:tc>
          <w:tcPr>
            <w:tcW w:type="dxa" w:w="120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URLs</w:t>
            </w:r>
          </w:p>
        </w:tc>
        <w:tc>
          <w:tcPr>
            <w:tcW w:type="dxa" w:w="34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Subcategories</w:t>
            </w:r>
          </w:p>
        </w:tc>
        <w:tc>
          <w:tcPr>
            <w:tcW w:type="dxa" w:w="3238"/>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Suffixes</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ufabet</w:t>
            </w:r>
          </w:p>
        </w:tc>
        <w:tc>
          <w:tcPr>
            <w:tcW w:type="dxa" w:w="12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7</w:t>
            </w:r>
          </w:p>
        </w:tc>
        <w:tc>
          <w:tcPr>
            <w:tcW w:type="dxa" w:w="34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Football Betting (6), General Gambling (1)</w:t>
            </w:r>
          </w:p>
        </w:tc>
        <w:tc>
          <w:tcPr>
            <w:tcW w:type="dxa" w:w="3238"/>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.global (1), .menu (1), .vet (1), .fans (1), .me (1), .associates (1), .academy (1)</w:t>
            </w:r>
          </w:p>
        </w:tc>
      </w:tr>
      <w:tr>
        <w:tc>
          <w:tcPr>
            <w:tcW w:type="dxa" w:w="18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ufa</w:t>
            </w:r>
          </w:p>
        </w:tc>
        <w:tc>
          <w:tcPr>
            <w:tcW w:type="dxa" w:w="12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w:t>
            </w:r>
          </w:p>
        </w:tc>
        <w:tc>
          <w:tcPr>
            <w:tcW w:type="dxa" w:w="34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Playing card (2), Football Betting (1)</w:t>
            </w:r>
          </w:p>
        </w:tc>
        <w:tc>
          <w:tcPr>
            <w:tcW w:type="dxa" w:w="3238"/>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.vet (1), .com (1), .club (1)</w:t>
            </w:r>
          </w:p>
        </w:tc>
      </w:tr>
    </w:tbl>
    <w:p>
      <w:pPr>
        <w:spacing w:after="220" w:before="60"/>
      </w:pPr>
      <w:r>
        <w:rPr>
          <w:rFonts w:ascii="Calibri" w:cs="Calibri" w:eastAsia="Calibri" w:hAnsi="Calibri"/>
          <w:b/>
          <w:bCs/>
          <w:color w:val="5B6B7B"/>
          <w:sz w:val="16"/>
          <w:szCs w:val="16"/>
        </w:rPr>
        <w:t xml:space="preserve">Table 8 — </w:t>
      </w:r>
      <w:r>
        <w:rPr>
          <w:rFonts w:ascii="Calibri" w:cs="Calibri" w:eastAsia="Calibri" w:hAnsi="Calibri"/>
          <w:i/>
          <w:iCs/>
          <w:color w:val="5B6B7B"/>
          <w:sz w:val="16"/>
          <w:szCs w:val="16"/>
        </w:rPr>
        <w:t xml:space="preserve">Clusters spanning more than one product subcategory.</w:t>
      </w:r>
    </w:p>
    <w:p>
      <w:pPr>
        <w:pStyle w:val="Heading2"/>
        <w:spacing w:after="120" w:before="220"/>
      </w:pPr>
      <w:r>
        <w:rPr>
          <w:rFonts w:ascii="Calibri" w:cs="Calibri" w:eastAsia="Calibri" w:hAnsi="Calibri"/>
          <w:b/>
          <w:bCs/>
          <w:color w:val="1F3F63"/>
          <w:sz w:val="24"/>
          <w:szCs w:val="24"/>
        </w:rPr>
        <w:t xml:space="preserve">4.5 Clusters rotating top-level domains</w:t>
      </w:r>
    </w:p>
    <w:p>
      <w:pPr>
        <w:spacing w:after="120" w:before="0"/>
      </w:pPr>
      <w:r>
        <w:rPr>
          <w:rFonts w:ascii="Calibri" w:cs="Calibri" w:eastAsia="Calibri" w:hAnsi="Calibri"/>
          <w:color w:val="16202B"/>
          <w:sz w:val="20"/>
          <w:szCs w:val="20"/>
        </w:rPr>
        <w:t xml:space="preserve">14 clusters appear under more than one top-level domain; Table 9 lists the 14 with the widest spread. Rotation of this kind is what makes per-URL blocking expensive: the operator keeps the name and changes the suffix.</w:t>
      </w:r>
    </w:p>
    <w:tbl>
      <w:tblPr>
        <w:tblW w:type="dxa" w:w="9638"/>
        <w:tblBorders>
          <w:top w:val="single" w:color="C9D2DB" w:sz="4"/>
          <w:left w:val="single" w:color="C9D2DB" w:sz="4"/>
          <w:bottom w:val="single" w:color="C9D2DB" w:sz="4"/>
          <w:right w:val="single" w:color="C9D2DB" w:sz="4"/>
          <w:insideH w:val="single" w:color="C9D2DB" w:sz="4"/>
          <w:insideV w:val="single" w:color="C9D2DB" w:sz="4"/>
        </w:tblBorders>
      </w:tblPr>
      <w:tblGrid>
        <w:gridCol w:w="1900"/>
        <w:gridCol w:w="5300"/>
        <w:gridCol w:w="2438"/>
      </w:tblGrid>
      <w:tr>
        <w:trPr>
          <w:tblHeader/>
        </w:trPr>
        <w:tc>
          <w:tcPr>
            <w:tcW w:type="dxa" w:w="19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Cluster</w:t>
            </w:r>
          </w:p>
        </w:tc>
        <w:tc>
          <w:tcPr>
            <w:tcW w:type="dxa" w:w="53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Suffixes</w:t>
            </w:r>
          </w:p>
        </w:tc>
        <w:tc>
          <w:tcPr>
            <w:tcW w:type="dxa" w:w="2438"/>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Counts</w:t>
            </w:r>
          </w:p>
        </w:tc>
      </w:tr>
      <w:tr>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ufabet</w:t>
            </w:r>
          </w:p>
        </w:tc>
        <w:tc>
          <w:tcPr>
            <w:tcW w:type="dxa" w:w="53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.global, .menu, .vet, .fans, .me, .associates, .academy</w:t>
            </w:r>
          </w:p>
        </w:tc>
        <w:tc>
          <w:tcPr>
            <w:tcW w:type="dxa" w:w="24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1, 1, 1, 1, 1, 1, 1</w:t>
            </w:r>
          </w:p>
        </w:tc>
      </w:tr>
      <w:tr>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qpfc</w:t>
            </w:r>
          </w:p>
        </w:tc>
        <w:tc>
          <w:tcPr>
            <w:tcW w:type="dxa" w:w="53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.com, .info, .org</w:t>
            </w:r>
          </w:p>
        </w:tc>
        <w:tc>
          <w:tcPr>
            <w:tcW w:type="dxa" w:w="2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2, 1, 1</w:t>
            </w:r>
          </w:p>
        </w:tc>
      </w:tr>
      <w:tr>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ufa</w:t>
            </w:r>
          </w:p>
        </w:tc>
        <w:tc>
          <w:tcPr>
            <w:tcW w:type="dxa" w:w="53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.vet, .com, .club</w:t>
            </w:r>
          </w:p>
        </w:tc>
        <w:tc>
          <w:tcPr>
            <w:tcW w:type="dxa" w:w="24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1, 1, 1</w:t>
            </w:r>
          </w:p>
        </w:tc>
      </w:tr>
      <w:tr>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ccsmm</w:t>
            </w:r>
          </w:p>
        </w:tc>
        <w:tc>
          <w:tcPr>
            <w:tcW w:type="dxa" w:w="53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.net, .com</w:t>
            </w:r>
          </w:p>
        </w:tc>
        <w:tc>
          <w:tcPr>
            <w:tcW w:type="dxa" w:w="2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1, 4</w:t>
            </w:r>
          </w:p>
        </w:tc>
      </w:tr>
      <w:tr>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cedardc</w:t>
            </w:r>
          </w:p>
        </w:tc>
        <w:tc>
          <w:tcPr>
            <w:tcW w:type="dxa" w:w="53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.com, .org</w:t>
            </w:r>
          </w:p>
        </w:tc>
        <w:tc>
          <w:tcPr>
            <w:tcW w:type="dxa" w:w="24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4, 1</w:t>
            </w:r>
          </w:p>
        </w:tc>
      </w:tr>
      <w:tr>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tnfish</w:t>
            </w:r>
          </w:p>
        </w:tc>
        <w:tc>
          <w:tcPr>
            <w:tcW w:type="dxa" w:w="53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.com, .org</w:t>
            </w:r>
          </w:p>
        </w:tc>
        <w:tc>
          <w:tcPr>
            <w:tcW w:type="dxa" w:w="2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4, 1</w:t>
            </w:r>
          </w:p>
        </w:tc>
      </w:tr>
      <w:tr>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cora</w:t>
            </w:r>
          </w:p>
        </w:tc>
        <w:tc>
          <w:tcPr>
            <w:tcW w:type="dxa" w:w="53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.com, .org</w:t>
            </w:r>
          </w:p>
        </w:tc>
        <w:tc>
          <w:tcPr>
            <w:tcW w:type="dxa" w:w="24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3, 1</w:t>
            </w:r>
          </w:p>
        </w:tc>
      </w:tr>
      <w:tr>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esfr</w:t>
            </w:r>
          </w:p>
        </w:tc>
        <w:tc>
          <w:tcPr>
            <w:tcW w:type="dxa" w:w="53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.com, .org</w:t>
            </w:r>
          </w:p>
        </w:tc>
        <w:tc>
          <w:tcPr>
            <w:tcW w:type="dxa" w:w="2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3, 1</w:t>
            </w:r>
          </w:p>
        </w:tc>
      </w:tr>
      <w:tr>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n66d</w:t>
            </w:r>
          </w:p>
        </w:tc>
        <w:tc>
          <w:tcPr>
            <w:tcW w:type="dxa" w:w="53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.com, .dev</w:t>
            </w:r>
          </w:p>
        </w:tc>
        <w:tc>
          <w:tcPr>
            <w:tcW w:type="dxa" w:w="24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2, 1</w:t>
            </w:r>
          </w:p>
        </w:tc>
      </w:tr>
      <w:tr>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s3ptube</w:t>
            </w:r>
          </w:p>
        </w:tc>
        <w:tc>
          <w:tcPr>
            <w:tcW w:type="dxa" w:w="53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.com, .net</w:t>
            </w:r>
          </w:p>
        </w:tc>
        <w:tc>
          <w:tcPr>
            <w:tcW w:type="dxa" w:w="2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2, 1</w:t>
            </w:r>
          </w:p>
        </w:tc>
      </w:tr>
      <w:tr>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855sky</w:t>
            </w:r>
          </w:p>
        </w:tc>
        <w:tc>
          <w:tcPr>
            <w:tcW w:type="dxa" w:w="53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.com, .net</w:t>
            </w:r>
          </w:p>
        </w:tc>
        <w:tc>
          <w:tcPr>
            <w:tcW w:type="dxa" w:w="24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1, 1</w:t>
            </w:r>
          </w:p>
        </w:tc>
      </w:tr>
      <w:tr>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casino</w:t>
            </w:r>
          </w:p>
        </w:tc>
        <w:tc>
          <w:tcPr>
            <w:tcW w:type="dxa" w:w="53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.com, .org</w:t>
            </w:r>
          </w:p>
        </w:tc>
        <w:tc>
          <w:tcPr>
            <w:tcW w:type="dxa" w:w="2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1, 1</w:t>
            </w:r>
          </w:p>
        </w:tc>
      </w:tr>
      <w:tr>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msslot</w:t>
            </w:r>
          </w:p>
        </w:tc>
        <w:tc>
          <w:tcPr>
            <w:tcW w:type="dxa" w:w="53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.net, .com</w:t>
            </w:r>
          </w:p>
        </w:tc>
        <w:tc>
          <w:tcPr>
            <w:tcW w:type="dxa" w:w="2438"/>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1, 1</w:t>
            </w:r>
          </w:p>
        </w:tc>
      </w:tr>
      <w:tr>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ufagool</w:t>
            </w:r>
          </w:p>
        </w:tc>
        <w:tc>
          <w:tcPr>
            <w:tcW w:type="dxa" w:w="53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.com, .net</w:t>
            </w:r>
          </w:p>
        </w:tc>
        <w:tc>
          <w:tcPr>
            <w:tcW w:type="dxa" w:w="2438"/>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1, 1</w:t>
            </w:r>
          </w:p>
        </w:tc>
      </w:tr>
    </w:tbl>
    <w:p>
      <w:pPr>
        <w:spacing w:after="220" w:before="60"/>
      </w:pPr>
      <w:r>
        <w:rPr>
          <w:rFonts w:ascii="Calibri" w:cs="Calibri" w:eastAsia="Calibri" w:hAnsi="Calibri"/>
          <w:b/>
          <w:bCs/>
          <w:color w:val="5B6B7B"/>
          <w:sz w:val="16"/>
          <w:szCs w:val="16"/>
        </w:rPr>
        <w:t xml:space="preserve">Table 9 — </w:t>
      </w:r>
      <w:r>
        <w:rPr>
          <w:rFonts w:ascii="Calibri" w:cs="Calibri" w:eastAsia="Calibri" w:hAnsi="Calibri"/>
          <w:i/>
          <w:iCs/>
          <w:color w:val="5B6B7B"/>
          <w:sz w:val="16"/>
          <w:szCs w:val="16"/>
        </w:rPr>
        <w:t xml:space="preserve">Clusters appearing under more than one top-level domain.</w:t>
      </w:r>
    </w:p>
    <w:p>
      <w:pPr>
        <w:pStyle w:val="Heading2"/>
        <w:spacing w:after="120" w:before="220"/>
      </w:pPr>
      <w:r>
        <w:rPr>
          <w:rFonts w:ascii="Calibri" w:cs="Calibri" w:eastAsia="Calibri" w:hAnsi="Calibri"/>
          <w:b/>
          <w:bCs/>
          <w:color w:val="1F3F63"/>
          <w:sz w:val="24"/>
          <w:szCs w:val="24"/>
        </w:rPr>
        <w:t xml:space="preserve">4.6 Possible operator linkage</w:t>
      </w:r>
    </w:p>
    <w:p>
      <w:pPr>
        <w:spacing w:after="120" w:before="0"/>
      </w:pPr>
      <w:r>
        <w:rPr>
          <w:rFonts w:ascii="Calibri" w:cs="Calibri" w:eastAsia="Calibri" w:hAnsi="Calibri"/>
          <w:color w:val="16202B"/>
          <w:sz w:val="20"/>
          <w:szCs w:val="20"/>
        </w:rPr>
        <w:t xml:space="preserve">Two clusters sharing an unusual signal-keyword fingerprint may be the same operator even when their names differ. This is a lead for an analyst, not a clustering decision: shared promotional vocabulary is common across unrelated operators using the same affiliate templates, and no cluster was ever merged on this signal.</w:t>
      </w:r>
    </w:p>
    <w:p>
      <w:pPr>
        <w:spacing w:after="120" w:before="0"/>
      </w:pPr>
      <w:r>
        <w:rPr>
          <w:rFonts w:ascii="Calibri" w:cs="Calibri" w:eastAsia="Calibri" w:hAnsi="Calibri"/>
          <w:i/>
          <w:iCs/>
          <w:color w:val="5B6B7B"/>
          <w:sz w:val="18"/>
          <w:szCs w:val="18"/>
        </w:rPr>
        <w:t xml:space="preserve">No cluster pair shares a signal-keyword fingerprint of more than one term. 7 pairs reached the similarity threshold on a single shared keyword only; a one-term overlap is not a fingerprint, so those pairs are withheld rather than presented as leads.</w:t>
      </w:r>
    </w:p>
    <w:p>
      <w:pPr>
        <w:pStyle w:val="Heading2"/>
        <w:spacing w:after="120" w:before="220"/>
      </w:pPr>
      <w:r>
        <w:rPr>
          <w:rFonts w:ascii="Calibri" w:cs="Calibri" w:eastAsia="Calibri" w:hAnsi="Calibri"/>
          <w:b/>
          <w:bCs/>
          <w:color w:val="1F3F63"/>
          <w:sz w:val="24"/>
          <w:szCs w:val="24"/>
        </w:rPr>
        <w:t xml:space="preserve">4.7 Naming conventions</w:t>
      </w:r>
    </w:p>
    <w:p>
      <w:pPr>
        <w:spacing w:after="120" w:before="0"/>
      </w:pPr>
      <w:r>
        <w:rPr>
          <w:rFonts w:ascii="Calibri" w:cs="Calibri" w:eastAsia="Calibri" w:hAnsi="Calibri"/>
          <w:color w:val="16202B"/>
          <w:sz w:val="20"/>
          <w:szCs w:val="20"/>
        </w:rPr>
        <w:t xml:space="preserve">The domain names inside the largest clusters were examined for recurring structure. The findings below are drawn from those names alone.</w:t>
      </w:r>
    </w:p>
    <w:p>
      <w:pPr>
        <w:pStyle w:val="ListParagraph"/>
        <w:numPr>
          <w:ilvl w:val="0"/>
          <w:numId w:val="1"/>
        </w:numPr>
        <w:spacing w:after="40" w:before="40"/>
      </w:pPr>
      <w:r>
        <w:rPr>
          <w:rFonts w:ascii="Calibri" w:cs="Calibri" w:eastAsia="Calibri" w:hAnsi="Calibri"/>
          <w:color w:val="16202B"/>
          <w:sz w:val="20"/>
          <w:szCs w:val="20"/>
        </w:rPr>
        <w:t xml:space="preserve">Recurring tokens: «bet» in 7 names, «th» in 5 names, «casino» in 2 names — evidence of a templated naming scheme.</w:t>
      </w:r>
    </w:p>
    <w:p>
      <w:pPr>
        <w:pStyle w:val="ListParagraph"/>
        <w:numPr>
          <w:ilvl w:val="0"/>
          <w:numId w:val="1"/>
        </w:numPr>
        <w:spacing w:after="40" w:before="40"/>
      </w:pPr>
      <w:r>
        <w:rPr>
          <w:rFonts w:ascii="Calibri" w:cs="Calibri" w:eastAsia="Calibri" w:hAnsi="Calibri"/>
          <w:color w:val="16202B"/>
          <w:sz w:val="20"/>
          <w:szCs w:val="20"/>
        </w:rPr>
        <w:t xml:space="preserve">TLD switching: .com (53), .org (6), .net (5), .vet (2) — the operator rotates top-level domains.</w:t>
      </w:r>
    </w:p>
    <w:p>
      <w:pPr>
        <w:pStyle w:val="ListParagraph"/>
        <w:numPr>
          <w:ilvl w:val="0"/>
          <w:numId w:val="1"/>
        </w:numPr>
        <w:spacing w:after="40" w:before="40"/>
      </w:pPr>
      <w:r>
        <w:rPr>
          <w:rFonts w:ascii="Calibri" w:cs="Calibri" w:eastAsia="Calibri" w:hAnsi="Calibri"/>
          <w:color w:val="16202B"/>
          <w:sz w:val="20"/>
          <w:szCs w:val="20"/>
        </w:rPr>
        <w:t xml:space="preserve">75 distinct domains across 23 brand clusters.</w:t>
      </w:r>
    </w:p>
    <w:p>
      <w:pPr>
        <w:pStyle w:val="Heading2"/>
        <w:spacing w:after="120" w:before="220"/>
      </w:pPr>
      <w:r>
        <w:rPr>
          <w:rFonts w:ascii="Calibri" w:cs="Calibri" w:eastAsia="Calibri" w:hAnsi="Calibri"/>
          <w:b/>
          <w:bCs/>
          <w:color w:val="1F3F63"/>
          <w:sz w:val="24"/>
          <w:szCs w:val="24"/>
        </w:rPr>
        <w:t xml:space="preserve">4.8 How the estate is reached</w:t>
      </w:r>
    </w:p>
    <w:p>
      <w:pPr>
        <w:spacing w:after="120" w:before="0"/>
      </w:pPr>
      <w:r>
        <w:rPr>
          <w:rFonts w:ascii="Calibri" w:cs="Calibri" w:eastAsia="Calibri" w:hAnsi="Calibri"/>
          <w:color w:val="16202B"/>
          <w:sz w:val="20"/>
          <w:szCs w:val="20"/>
        </w:rPr>
        <w:t xml:space="preserve">Of the 118 gambling URLs, 70 (59.3 per cent) were reached directly, 48 (40.7 per cent) sit behind a redirect chain and 0 (0.0 per cent) were identified by the crawler as variants of another domain. The busiest redirect source, localcoffeemontclair.com, points at 6 distinct gambling destinations; Figure 11 draws them.</w:t>
      </w:r>
    </w:p>
    <w:p>
      <w:pPr>
        <w:spacing w:after="0" w:before="80"/>
      </w:pPr>
      <w:r>
        <w:drawing>
          <wp:inline distT="0" distB="0" distL="0" distR="0">
            <wp:extent cx="6096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019175"/>
                    </a:xfrm>
                    <a:prstGeom prst="rect">
                      <a:avLst/>
                    </a:prstGeom>
                  </pic:spPr>
                </pic:pic>
              </a:graphicData>
            </a:graphic>
          </wp:inline>
        </w:drawing>
      </w:r>
    </w:p>
    <w:p>
      <w:pPr>
        <w:spacing w:after="220" w:before="60"/>
      </w:pPr>
      <w:r>
        <w:rPr>
          <w:rFonts w:ascii="Calibri" w:cs="Calibri" w:eastAsia="Calibri" w:hAnsi="Calibri"/>
          <w:b/>
          <w:bCs/>
          <w:color w:val="5B6B7B"/>
          <w:sz w:val="16"/>
          <w:szCs w:val="16"/>
        </w:rPr>
        <w:t xml:space="preserve">Figure 11 — </w:t>
      </w:r>
      <w:r>
        <w:rPr>
          <w:rFonts w:ascii="Calibri" w:cs="Calibri" w:eastAsia="Calibri" w:hAnsi="Calibri"/>
          <w:i/>
          <w:iCs/>
          <w:color w:val="5B6B7B"/>
          <w:sz w:val="16"/>
          <w:szCs w:val="16"/>
        </w:rPr>
        <w:t xml:space="preserve">Gambling destinations reached by redirect from localcoffeemontclair.com.</w:t>
      </w:r>
    </w:p>
    <w:p>
      <w:pPr>
        <w:pStyle w:val="Heading1"/>
        <w:spacing w:after="120" w:before="320"/>
      </w:pPr>
      <w:r>
        <w:rPr>
          <w:rFonts w:ascii="Calibri" w:cs="Calibri" w:eastAsia="Calibri" w:hAnsi="Calibri"/>
          <w:b/>
          <w:bCs/>
          <w:color w:val="1F3F63"/>
          <w:sz w:val="30"/>
          <w:szCs w:val="30"/>
        </w:rPr>
        <w:t xml:space="preserve">5. Ranking</w:t>
      </w:r>
    </w:p>
    <w:p>
      <w:pPr>
        <w:spacing w:after="120" w:before="0"/>
      </w:pPr>
      <w:r>
        <w:rPr>
          <w:rFonts w:ascii="Calibri" w:cs="Calibri" w:eastAsia="Calibri" w:hAnsi="Calibri"/>
          <w:color w:val="16202B"/>
          <w:sz w:val="20"/>
          <w:szCs w:val="20"/>
        </w:rPr>
        <w:t xml:space="preserve">74 gambling rows carry a numeric popularity rank. Table 10 lists the fifteen most popular, ascending. Rank is a proxy for reach, so the head of this table is where blocking removes the most traffic per action.</w:t>
      </w:r>
    </w:p>
    <w:tbl>
      <w:tblPr>
        <w:tblW w:type="dxa" w:w="9638"/>
        <w:tblBorders>
          <w:top w:val="single" w:color="C9D2DB" w:sz="4"/>
          <w:left w:val="single" w:color="C9D2DB" w:sz="4"/>
          <w:bottom w:val="single" w:color="C9D2DB" w:sz="4"/>
          <w:right w:val="single" w:color="C9D2DB" w:sz="4"/>
          <w:insideH w:val="single" w:color="C9D2DB" w:sz="4"/>
          <w:insideV w:val="single" w:color="C9D2DB" w:sz="4"/>
        </w:tblBorders>
      </w:tblPr>
      <w:tblGrid>
        <w:gridCol w:w="1400"/>
        <w:gridCol w:w="2900"/>
        <w:gridCol w:w="1900"/>
        <w:gridCol w:w="2000"/>
        <w:gridCol w:w="1438"/>
      </w:tblGrid>
      <w:tr>
        <w:trPr>
          <w:tblHeader/>
        </w:trPr>
        <w:tc>
          <w:tcPr>
            <w:tcW w:type="dxa" w:w="1400"/>
            <w:shd w:fill="1F3F63" w:color="auto" w:val="clear"/>
            <w:tcMar>
              <w:top w:type="dxa" w:w="40"/>
              <w:left w:type="dxa" w:w="80"/>
              <w:bottom w:type="dxa" w:w="40"/>
              <w:right w:type="dxa" w:w="80"/>
            </w:tcMar>
            <w:vAlign w:val="center"/>
          </w:tcPr>
          <w:p>
            <w:pPr>
              <w:spacing w:after="0" w:before="0"/>
              <w:jc w:val="right"/>
            </w:pPr>
            <w:r>
              <w:rPr>
                <w:rFonts w:ascii="Calibri" w:cs="Calibri" w:eastAsia="Calibri" w:hAnsi="Calibri"/>
                <w:b/>
                <w:bCs/>
                <w:color w:val="FFFFFF"/>
                <w:sz w:val="16"/>
                <w:szCs w:val="16"/>
              </w:rPr>
              <w:t xml:space="preserve">Rank</w:t>
            </w:r>
          </w:p>
        </w:tc>
        <w:tc>
          <w:tcPr>
            <w:tcW w:type="dxa" w:w="29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Domain</w:t>
            </w:r>
          </w:p>
        </w:tc>
        <w:tc>
          <w:tcPr>
            <w:tcW w:type="dxa" w:w="19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Cluster</w:t>
            </w:r>
          </w:p>
        </w:tc>
        <w:tc>
          <w:tcPr>
            <w:tcW w:type="dxa" w:w="2000"/>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Subcategory</w:t>
            </w:r>
          </w:p>
        </w:tc>
        <w:tc>
          <w:tcPr>
            <w:tcW w:type="dxa" w:w="1438"/>
            <w:shd w:fill="1F3F63"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Source</w:t>
            </w:r>
          </w:p>
        </w:tc>
      </w:tr>
      <w:tr>
        <w:tc>
          <w:tcPr>
            <w:tcW w:type="dxa" w:w="14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10,413</w:t>
            </w:r>
          </w:p>
        </w:tc>
        <w:tc>
          <w:tcPr>
            <w:tcW w:type="dxa" w:w="29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casino.org</w:t>
            </w:r>
          </w:p>
        </w:tc>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casino</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Casino</w:t>
            </w:r>
          </w:p>
        </w:tc>
        <w:tc>
          <w:tcPr>
            <w:tcW w:type="dxa" w:w="1438"/>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14,494</w:t>
            </w:r>
          </w:p>
        </w:tc>
        <w:tc>
          <w:tcPr>
            <w:tcW w:type="dxa" w:w="29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speed-manga.net</w:t>
            </w:r>
          </w:p>
        </w:tc>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speedmanga</w:t>
            </w:r>
          </w:p>
        </w:tc>
        <w:tc>
          <w:tcPr>
            <w:tcW w:type="dxa" w:w="20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Football Betting</w:t>
            </w:r>
          </w:p>
        </w:tc>
        <w:tc>
          <w:tcPr>
            <w:tcW w:type="dxa" w:w="1438"/>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21,520</w:t>
            </w:r>
          </w:p>
        </w:tc>
        <w:tc>
          <w:tcPr>
            <w:tcW w:type="dxa" w:w="29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casino.com</w:t>
            </w:r>
          </w:p>
        </w:tc>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casino</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Casino</w:t>
            </w:r>
          </w:p>
        </w:tc>
        <w:tc>
          <w:tcPr>
            <w:tcW w:type="dxa" w:w="1438"/>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25,994</w:t>
            </w:r>
          </w:p>
        </w:tc>
        <w:tc>
          <w:tcPr>
            <w:tcW w:type="dxa" w:w="29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newsbtc.com</w:t>
            </w:r>
          </w:p>
        </w:tc>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newsbtc</w:t>
            </w:r>
          </w:p>
        </w:tc>
        <w:tc>
          <w:tcPr>
            <w:tcW w:type="dxa" w:w="20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Casino</w:t>
            </w:r>
          </w:p>
        </w:tc>
        <w:tc>
          <w:tcPr>
            <w:tcW w:type="dxa" w:w="1438"/>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37,150</w:t>
            </w:r>
          </w:p>
        </w:tc>
        <w:tc>
          <w:tcPr>
            <w:tcW w:type="dxa" w:w="29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roobet.com</w:t>
            </w:r>
          </w:p>
        </w:tc>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roobet</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Playing card</w:t>
            </w:r>
          </w:p>
        </w:tc>
        <w:tc>
          <w:tcPr>
            <w:tcW w:type="dxa" w:w="1438"/>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61,102</w:t>
            </w:r>
          </w:p>
        </w:tc>
        <w:tc>
          <w:tcPr>
            <w:tcW w:type="dxa" w:w="29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dafabet.com</w:t>
            </w:r>
          </w:p>
        </w:tc>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dafabet</w:t>
            </w:r>
          </w:p>
        </w:tc>
        <w:tc>
          <w:tcPr>
            <w:tcW w:type="dxa" w:w="20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Lottery</w:t>
            </w:r>
          </w:p>
        </w:tc>
        <w:tc>
          <w:tcPr>
            <w:tcW w:type="dxa" w:w="1438"/>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196,658</w:t>
            </w:r>
          </w:p>
        </w:tc>
        <w:tc>
          <w:tcPr>
            <w:tcW w:type="dxa" w:w="29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mansionbet.com</w:t>
            </w:r>
          </w:p>
        </w:tc>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mansionbet</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General Gambling</w:t>
            </w:r>
          </w:p>
        </w:tc>
        <w:tc>
          <w:tcPr>
            <w:tcW w:type="dxa" w:w="1438"/>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231,062</w:t>
            </w:r>
          </w:p>
        </w:tc>
        <w:tc>
          <w:tcPr>
            <w:tcW w:type="dxa" w:w="29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themecentury.com</w:t>
            </w:r>
          </w:p>
        </w:tc>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themecentury</w:t>
            </w:r>
          </w:p>
        </w:tc>
        <w:tc>
          <w:tcPr>
            <w:tcW w:type="dxa" w:w="20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General Gambling</w:t>
            </w:r>
          </w:p>
        </w:tc>
        <w:tc>
          <w:tcPr>
            <w:tcW w:type="dxa" w:w="1438"/>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231,062</w:t>
            </w:r>
          </w:p>
        </w:tc>
        <w:tc>
          <w:tcPr>
            <w:tcW w:type="dxa" w:w="29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n66d.com</w:t>
            </w:r>
          </w:p>
        </w:tc>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themecentury</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General Gambling</w:t>
            </w:r>
          </w:p>
        </w:tc>
        <w:tc>
          <w:tcPr>
            <w:tcW w:type="dxa" w:w="1438"/>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Redirect</w:t>
            </w:r>
          </w:p>
        </w:tc>
      </w:tr>
      <w:tr>
        <w:tc>
          <w:tcPr>
            <w:tcW w:type="dxa" w:w="14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231,062</w:t>
            </w:r>
          </w:p>
        </w:tc>
        <w:tc>
          <w:tcPr>
            <w:tcW w:type="dxa" w:w="29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ambking1234.dev</w:t>
            </w:r>
          </w:p>
        </w:tc>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themecentury</w:t>
            </w:r>
          </w:p>
        </w:tc>
        <w:tc>
          <w:tcPr>
            <w:tcW w:type="dxa" w:w="20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General Gambling</w:t>
            </w:r>
          </w:p>
        </w:tc>
        <w:tc>
          <w:tcPr>
            <w:tcW w:type="dxa" w:w="1438"/>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Redirect</w:t>
            </w:r>
          </w:p>
        </w:tc>
      </w:tr>
      <w:tr>
        <w:tc>
          <w:tcPr>
            <w:tcW w:type="dxa" w:w="14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272,990</w:t>
            </w:r>
          </w:p>
        </w:tc>
        <w:tc>
          <w:tcPr>
            <w:tcW w:type="dxa" w:w="29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rabona.com</w:t>
            </w:r>
          </w:p>
        </w:tc>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rabona</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Football Betting</w:t>
            </w:r>
          </w:p>
        </w:tc>
        <w:tc>
          <w:tcPr>
            <w:tcW w:type="dxa" w:w="1438"/>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316,600</w:t>
            </w:r>
          </w:p>
        </w:tc>
        <w:tc>
          <w:tcPr>
            <w:tcW w:type="dxa" w:w="29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cobracasino.com</w:t>
            </w:r>
          </w:p>
        </w:tc>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cobracasino</w:t>
            </w:r>
          </w:p>
        </w:tc>
        <w:tc>
          <w:tcPr>
            <w:tcW w:type="dxa" w:w="20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Slots</w:t>
            </w:r>
          </w:p>
        </w:tc>
        <w:tc>
          <w:tcPr>
            <w:tcW w:type="dxa" w:w="1438"/>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322,801</w:t>
            </w:r>
          </w:p>
        </w:tc>
        <w:tc>
          <w:tcPr>
            <w:tcW w:type="dxa" w:w="29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slotsia.com</w:t>
            </w:r>
          </w:p>
        </w:tc>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slotsia</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Slots</w:t>
            </w:r>
          </w:p>
        </w:tc>
        <w:tc>
          <w:tcPr>
            <w:tcW w:type="dxa" w:w="1438"/>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shd w:fill="F5F8FB" w:color="auto" w:val="clear"/>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378,201</w:t>
            </w:r>
          </w:p>
        </w:tc>
        <w:tc>
          <w:tcPr>
            <w:tcW w:type="dxa" w:w="2900"/>
            <w:shd w:fill="F5F8FB" w:color="auto" w:val="clear"/>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tsars.com</w:t>
            </w:r>
          </w:p>
        </w:tc>
        <w:tc>
          <w:tcPr>
            <w:tcW w:type="dxa" w:w="19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tsars</w:t>
            </w:r>
          </w:p>
        </w:tc>
        <w:tc>
          <w:tcPr>
            <w:tcW w:type="dxa" w:w="2000"/>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Slots</w:t>
            </w:r>
          </w:p>
        </w:tc>
        <w:tc>
          <w:tcPr>
            <w:tcW w:type="dxa" w:w="1438"/>
            <w:shd w:fill="F5F8FB" w:color="auto" w:val="clear"/>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Manual</w:t>
            </w:r>
          </w:p>
        </w:tc>
      </w:tr>
      <w:tr>
        <w:tc>
          <w:tcPr>
            <w:tcW w:type="dxa" w:w="1400"/>
            <w:tcMar>
              <w:top w:type="dxa" w:w="40"/>
              <w:left w:type="dxa" w:w="80"/>
              <w:bottom w:type="dxa" w:w="40"/>
              <w:right w:type="dxa" w:w="80"/>
            </w:tcMar>
            <w:vAlign w:val="center"/>
          </w:tcPr>
          <w:p>
            <w:pPr>
              <w:spacing w:after="0" w:before="0"/>
              <w:jc w:val="right"/>
            </w:pPr>
            <w:r>
              <w:rPr>
                <w:rFonts w:ascii="Calibri" w:cs="Calibri" w:eastAsia="Calibri" w:hAnsi="Calibri"/>
                <w:color w:val="16202B"/>
                <w:sz w:val="16"/>
                <w:szCs w:val="16"/>
              </w:rPr>
              <w:t xml:space="preserve">378,201</w:t>
            </w:r>
          </w:p>
        </w:tc>
        <w:tc>
          <w:tcPr>
            <w:tcW w:type="dxa" w:w="2900"/>
            <w:tcMar>
              <w:top w:type="dxa" w:w="40"/>
              <w:left w:type="dxa" w:w="80"/>
              <w:bottom w:type="dxa" w:w="40"/>
              <w:right w:type="dxa" w:w="80"/>
            </w:tcMar>
            <w:vAlign w:val="center"/>
          </w:tcPr>
          <w:p>
            <w:pPr>
              <w:spacing w:after="0" w:before="0"/>
            </w:pPr>
            <w:r>
              <w:rPr>
                <w:rFonts w:ascii="Consolas" w:cs="Consolas" w:eastAsia="Consolas" w:hAnsi="Consolas"/>
                <w:color w:val="16202B"/>
                <w:sz w:val="16"/>
                <w:szCs w:val="16"/>
              </w:rPr>
              <w:t xml:space="preserve">go2tssars.com</w:t>
            </w:r>
          </w:p>
        </w:tc>
        <w:tc>
          <w:tcPr>
            <w:tcW w:type="dxa" w:w="19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tsars</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Slots</w:t>
            </w:r>
          </w:p>
        </w:tc>
        <w:tc>
          <w:tcPr>
            <w:tcW w:type="dxa" w:w="1438"/>
            <w:tcMar>
              <w:top w:type="dxa" w:w="40"/>
              <w:left w:type="dxa" w:w="80"/>
              <w:bottom w:type="dxa" w:w="40"/>
              <w:right w:type="dxa" w:w="80"/>
            </w:tcMar>
            <w:vAlign w:val="center"/>
          </w:tcPr>
          <w:p>
            <w:pPr>
              <w:spacing w:after="0" w:before="0"/>
            </w:pPr>
            <w:r>
              <w:rPr>
                <w:rFonts w:ascii="Calibri" w:cs="Calibri" w:eastAsia="Calibri" w:hAnsi="Calibri"/>
                <w:color w:val="16202B"/>
                <w:sz w:val="16"/>
                <w:szCs w:val="16"/>
              </w:rPr>
              <w:t xml:space="preserve">Redirect</w:t>
            </w:r>
          </w:p>
        </w:tc>
      </w:tr>
    </w:tbl>
    <w:p>
      <w:pPr>
        <w:spacing w:after="220" w:before="60"/>
      </w:pPr>
      <w:r>
        <w:rPr>
          <w:rFonts w:ascii="Calibri" w:cs="Calibri" w:eastAsia="Calibri" w:hAnsi="Calibri"/>
          <w:b/>
          <w:bCs/>
          <w:color w:val="5B6B7B"/>
          <w:sz w:val="16"/>
          <w:szCs w:val="16"/>
        </w:rPr>
        <w:t xml:space="preserve">Table 10 — </w:t>
      </w:r>
      <w:r>
        <w:rPr>
          <w:rFonts w:ascii="Calibri" w:cs="Calibri" w:eastAsia="Calibri" w:hAnsi="Calibri"/>
          <w:i/>
          <w:iCs/>
          <w:color w:val="5B6B7B"/>
          <w:sz w:val="16"/>
          <w:szCs w:val="16"/>
        </w:rPr>
        <w:t xml:space="preserve">The fifteen most popular gambling sites by numeric rank.</w:t>
      </w:r>
    </w:p>
    <w:p>
      <w:pPr>
        <w:pStyle w:val="Heading1"/>
        <w:spacing w:after="120" w:before="320"/>
      </w:pPr>
      <w:r>
        <w:rPr>
          <w:rFonts w:ascii="Calibri" w:cs="Calibri" w:eastAsia="Calibri" w:hAnsi="Calibri"/>
          <w:b/>
          <w:bCs/>
          <w:color w:val="1F3F63"/>
          <w:sz w:val="30"/>
          <w:szCs w:val="30"/>
        </w:rPr>
        <w:t xml:space="preserve">6. Key insights</w:t>
      </w:r>
    </w:p>
    <w:p>
      <w:pPr>
        <w:pStyle w:val="Heading2"/>
        <w:spacing w:after="120" w:before="220"/>
      </w:pPr>
      <w:r>
        <w:rPr>
          <w:rFonts w:ascii="Calibri" w:cs="Calibri" w:eastAsia="Calibri" w:hAnsi="Calibri"/>
          <w:b/>
          <w:bCs/>
          <w:color w:val="1F3F63"/>
          <w:sz w:val="24"/>
          <w:szCs w:val="24"/>
        </w:rPr>
        <w:t xml:space="preserve">6.1 Scale of the analysis</w:t>
      </w:r>
    </w:p>
    <w:p>
      <w:pPr>
        <w:spacing w:after="120" w:before="0"/>
      </w:pPr>
      <w:r>
        <w:rPr>
          <w:rFonts w:ascii="Calibri" w:cs="Calibri" w:eastAsia="Calibri" w:hAnsi="Calibri"/>
          <w:color w:val="16202B"/>
          <w:sz w:val="20"/>
          <w:szCs w:val="20"/>
        </w:rPr>
        <w:t xml:space="preserve">The standard set holds 648 distinct URLs over an evaluation period of 1 day (2026-08-27 → 2026-08-27), of which 118 are gambling sites, 336 are not gambling and 168 were unreachable.</w:t>
      </w:r>
    </w:p>
    <w:p>
      <w:pPr>
        <w:pBdr>
          <w:left w:val="single" w:color="1F3F63" w:sz="18" w:space="8"/>
        </w:pBdr>
        <w:spacing w:after="200" w:before="40"/>
        <w:ind w:left="180"/>
      </w:pPr>
      <w:r>
        <w:rPr>
          <w:rFonts w:ascii="Calibri" w:cs="Calibri" w:eastAsia="Calibri" w:hAnsi="Calibri"/>
          <w:i/>
          <w:iCs/>
          <w:color w:val="35485E"/>
          <w:sz w:val="19"/>
          <w:szCs w:val="19"/>
        </w:rPr>
        <w:t xml:space="preserve">The sample is large enough to reason about patterns, not isolated cases.</w:t>
      </w:r>
    </w:p>
    <w:p>
      <w:pPr>
        <w:pStyle w:val="Heading2"/>
        <w:spacing w:after="120" w:before="220"/>
      </w:pPr>
      <w:r>
        <w:rPr>
          <w:rFonts w:ascii="Calibri" w:cs="Calibri" w:eastAsia="Calibri" w:hAnsi="Calibri"/>
          <w:b/>
          <w:bCs/>
          <w:color w:val="1F3F63"/>
          <w:sz w:val="24"/>
          <w:szCs w:val="24"/>
        </w:rPr>
        <w:t xml:space="preserve">6.2 What is being offered</w:t>
      </w:r>
    </w:p>
    <w:p>
      <w:pPr>
        <w:spacing w:after="120" w:before="0"/>
      </w:pPr>
      <w:r>
        <w:rPr>
          <w:rFonts w:ascii="Calibri" w:cs="Calibri" w:eastAsia="Calibri" w:hAnsi="Calibri"/>
          <w:color w:val="16202B"/>
          <w:sz w:val="20"/>
          <w:szCs w:val="20"/>
        </w:rPr>
        <w:t xml:space="preserve">The three largest product subcategories are Football Betting (38 sites, 32.2 per cent), Slots (35 sites, 29.7 per cent), Casino (19 sites, 16.1 per cent). 9.3 per cent of gambling sites are confirmed as gambling without an evidenced product type. 61.9 per cent of subcategories were inferred from reasoning text rather than matched on a lexicon keyword, and 260 of the 286 distinct lexicon keywords never matched. Because the inferred share exceeds 30 per cent, the lexicon has poor coverage of this dataset and the subcategory figures are indicative only.</w:t>
      </w:r>
    </w:p>
    <w:p>
      <w:pPr>
        <w:pBdr>
          <w:left w:val="single" w:color="1F3F63" w:sz="18" w:space="8"/>
        </w:pBdr>
        <w:spacing w:after="200" w:before="40"/>
        <w:ind w:left="180"/>
      </w:pPr>
      <w:r>
        <w:rPr>
          <w:rFonts w:ascii="Calibri" w:cs="Calibri" w:eastAsia="Calibri" w:hAnsi="Calibri"/>
          <w:i/>
          <w:iCs/>
          <w:color w:val="35485E"/>
          <w:sz w:val="19"/>
          <w:szCs w:val="19"/>
        </w:rPr>
        <w:t xml:space="preserve">Football Betting leads, but at 32.2 per cent of gambling rows the estate is spread across product types rather than concentrated.</w:t>
      </w:r>
    </w:p>
    <w:p>
      <w:pPr>
        <w:pStyle w:val="Heading2"/>
        <w:spacing w:after="120" w:before="220"/>
      </w:pPr>
      <w:r>
        <w:rPr>
          <w:rFonts w:ascii="Calibri" w:cs="Calibri" w:eastAsia="Calibri" w:hAnsi="Calibri"/>
          <w:b/>
          <w:bCs/>
          <w:color w:val="1F3F63"/>
          <w:sz w:val="24"/>
          <w:szCs w:val="24"/>
        </w:rPr>
        <w:t xml:space="preserve">6.3 Brand clustering</w:t>
      </w:r>
    </w:p>
    <w:p>
      <w:pPr>
        <w:spacing w:after="120" w:before="0"/>
      </w:pPr>
      <w:r>
        <w:rPr>
          <w:rFonts w:ascii="Calibri" w:cs="Calibri" w:eastAsia="Calibri" w:hAnsi="Calibri"/>
          <w:color w:val="16202B"/>
          <w:sz w:val="20"/>
          <w:szCs w:val="20"/>
        </w:rPr>
        <w:t xml:space="preserve">66 clusters span the 118 gambling URLs; 23 hold more than one domain and 15 clusters cover half the estate. The largest, moenas, holds 7 domains across 1 product subcategory.</w:t>
      </w:r>
    </w:p>
    <w:p>
      <w:pPr>
        <w:pBdr>
          <w:left w:val="single" w:color="1F3F63" w:sz="18" w:space="8"/>
        </w:pBdr>
        <w:spacing w:after="200" w:before="40"/>
        <w:ind w:left="180"/>
      </w:pPr>
      <w:r>
        <w:rPr>
          <w:rFonts w:ascii="Calibri" w:cs="Calibri" w:eastAsia="Calibri" w:hAnsi="Calibri"/>
          <w:i/>
          <w:iCs/>
          <w:color w:val="35485E"/>
          <w:sz w:val="19"/>
          <w:szCs w:val="19"/>
        </w:rPr>
        <w:t xml:space="preserve">The estate is diffuse: 15 clusters are needed to cover half of it, so per-URL blocking will have limited leverage.</w:t>
      </w:r>
    </w:p>
    <w:p>
      <w:pPr>
        <w:pStyle w:val="Heading2"/>
        <w:spacing w:after="120" w:before="220"/>
      </w:pPr>
      <w:r>
        <w:rPr>
          <w:rFonts w:ascii="Calibri" w:cs="Calibri" w:eastAsia="Calibri" w:hAnsi="Calibri"/>
          <w:b/>
          <w:bCs/>
          <w:color w:val="1F3F63"/>
          <w:sz w:val="24"/>
          <w:szCs w:val="24"/>
        </w:rPr>
        <w:t xml:space="preserve">6.4 How the estate is grown and marketed</w:t>
      </w:r>
    </w:p>
    <w:p>
      <w:pPr>
        <w:spacing w:after="120" w:before="0"/>
      </w:pPr>
      <w:r>
        <w:rPr>
          <w:rFonts w:ascii="Calibri" w:cs="Calibri" w:eastAsia="Calibri" w:hAnsi="Calibri"/>
          <w:color w:val="16202B"/>
          <w:sz w:val="20"/>
          <w:szCs w:val="20"/>
        </w:rPr>
        <w:t xml:space="preserve">0 gambling URLs are crawler-identified variants, 48 sit behind redirect chains and 70 were reached directly. The busiest redirect source, localcoffeemontclair.com, points at 6 destinations. 14 clusters appear under more than one top-level domain. The two most common signal tags are Abbreviations (40.7 per cent) and Marketing &amp; Acquisition (15.3 per cent).</w:t>
      </w:r>
    </w:p>
    <w:p>
      <w:pPr>
        <w:pBdr>
          <w:left w:val="single" w:color="1F3F63" w:sz="18" w:space="8"/>
        </w:pBdr>
        <w:spacing w:after="200" w:before="40"/>
        <w:ind w:left="180"/>
      </w:pPr>
      <w:r>
        <w:rPr>
          <w:rFonts w:ascii="Calibri" w:cs="Calibri" w:eastAsia="Calibri" w:hAnsi="Calibri"/>
          <w:i/>
          <w:iCs/>
          <w:color w:val="35485E"/>
          <w:sz w:val="19"/>
          <w:szCs w:val="19"/>
        </w:rPr>
        <w:t xml:space="preserve">Redirects and TLD rotation keep a stable entry point while the sites behind it are replaced.</w:t>
      </w:r>
    </w:p>
    <w:p>
      <w:pPr>
        <w:pStyle w:val="Heading2"/>
        <w:spacing w:after="120" w:before="220"/>
      </w:pPr>
      <w:r>
        <w:rPr>
          <w:rFonts w:ascii="Calibri" w:cs="Calibri" w:eastAsia="Calibri" w:hAnsi="Calibri"/>
          <w:b/>
          <w:bCs/>
          <w:color w:val="1F3F63"/>
          <w:sz w:val="24"/>
          <w:szCs w:val="24"/>
        </w:rPr>
        <w:t xml:space="preserve">6.5 Enforcement position</w:t>
      </w:r>
    </w:p>
    <w:p>
      <w:pPr>
        <w:spacing w:after="120" w:before="0"/>
      </w:pPr>
      <w:r>
        <w:rPr>
          <w:rFonts w:ascii="Calibri" w:cs="Calibri" w:eastAsia="Calibri" w:hAnsi="Calibri"/>
          <w:color w:val="16202B"/>
          <w:sz w:val="20"/>
          <w:szCs w:val="20"/>
        </w:rPr>
        <w:t xml:space="preserve">No page in this sample carries a regulatory-blocking indicator, so the set appears pre-enforcement. 5 pages matched a blocking phrase only because the crawl met an anti-bot challenge; those are access failures rather than enforcement, and are excluded from the count.</w:t>
      </w:r>
    </w:p>
    <w:p>
      <w:pPr>
        <w:pBdr>
          <w:left w:val="single" w:color="1F3F63" w:sz="18" w:space="8"/>
        </w:pBdr>
        <w:spacing w:after="200" w:before="40"/>
        <w:ind w:left="180"/>
      </w:pPr>
      <w:r>
        <w:rPr>
          <w:rFonts w:ascii="Calibri" w:cs="Calibri" w:eastAsia="Calibri" w:hAnsi="Calibri"/>
          <w:i/>
          <w:iCs/>
          <w:color w:val="35485E"/>
          <w:sz w:val="19"/>
          <w:szCs w:val="19"/>
        </w:rPr>
        <w:t xml:space="preserve">This set is a candidate for a first enforcement pass, prioritised by cluster rather than by URL.</w:t>
      </w:r>
    </w:p>
    <w:p>
      <w:pPr>
        <w:pStyle w:val="Heading1"/>
        <w:spacing w:after="120" w:before="320"/>
      </w:pPr>
      <w:r>
        <w:rPr>
          <w:rFonts w:ascii="Calibri" w:cs="Calibri" w:eastAsia="Calibri" w:hAnsi="Calibri"/>
          <w:b/>
          <w:bCs/>
          <w:color w:val="1F3F63"/>
          <w:sz w:val="30"/>
          <w:szCs w:val="30"/>
        </w:rPr>
        <w:t xml:space="preserve">7. Methodology</w:t>
      </w:r>
    </w:p>
    <w:p>
      <w:pPr>
        <w:spacing w:after="120" w:before="0"/>
      </w:pPr>
      <w:r>
        <w:rPr>
          <w:rFonts w:ascii="Calibri" w:cs="Calibri" w:eastAsia="Calibri" w:hAnsi="Calibri"/>
          <w:color w:val="16202B"/>
          <w:sz w:val="20"/>
          <w:szCs w:val="20"/>
        </w:rPr>
        <w:t xml:space="preserve">Subcategories inferred from reasoning text rather than matched on a lexicon keyword: 61.9 per cent. Gambling sites confirmed without an evidenced product type: 9.3 per cent.</w:t>
      </w:r>
    </w:p>
    <w:p>
      <w:pPr>
        <w:spacing w:after="120" w:before="0"/>
      </w:pPr>
      <w:r>
        <w:rPr>
          <w:rFonts w:ascii="Calibri" w:cs="Calibri" w:eastAsia="Calibri" w:hAnsi="Calibri"/>
          <w:color w:val="16202B"/>
          <w:sz w:val="20"/>
          <w:szCs w:val="20"/>
        </w:rPr>
        <w:t xml:space="preserve">Clustering thresholds: an asserted seed relationship takes precedence; otherwise rows sharing an identical name stem group together; a near-miss merge requires a Jaro–Winkler similarity of at least 0.90 with one stem a prefix of the other, and 0 such merges were applied here. Signal-keyword corroboration is reported at a Jaccard similarity of at least 0.60 and never merges clusters. Percentages are given to one decimal place.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B"/>
        <w:sz w:val="15"/>
        <w:szCs w:val="15"/>
      </w:rPr>
      <w:t xml:space="preserve">Page </w:t>
    </w:r>
    <w:r>
      <w:rPr>
        <w:rFonts w:ascii="Calibri" w:cs="Calibri" w:eastAsia="Calibri" w:hAnsi="Calibri"/>
        <w:color w:val="5B6B7B"/>
        <w:sz w:val="15"/>
        <w:szCs w:val="15"/>
      </w:rPr>
      <w:fldChar w:fldCharType="begin"/>
      <w:instrText xml:space="preserve">PAGE</w:instrText>
      <w:fldChar w:fldCharType="separate"/>
      <w:fldChar w:fldCharType="end"/>
    </w:r>
    <w:r>
      <w:rPr>
        <w:rFonts w:ascii="Calibri" w:cs="Calibri" w:eastAsia="Calibri" w:hAnsi="Calibri"/>
        <w:color w:val="5B6B7B"/>
        <w:sz w:val="15"/>
        <w:szCs w:val="15"/>
      </w:rPr>
      <w:t xml:space="preserve"> of </w:t>
    </w:r>
    <w:r>
      <w:rPr>
        <w:rFonts w:ascii="Calibri" w:cs="Calibri" w:eastAsia="Calibri" w:hAnsi="Calibri"/>
        <w:color w:val="5B6B7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4"/>
      </w:pBdr>
      <w:jc w:val="right"/>
    </w:pPr>
    <w:r>
      <w:rPr>
        <w:rFonts w:ascii="Calibri" w:cs="Calibri" w:eastAsia="Calibri" w:hAnsi="Calibri"/>
        <w:color w:val="5B6B7B"/>
        <w:sz w:val="15"/>
        <w:szCs w:val="15"/>
      </w:rPr>
      <w:t xml:space="preserve">Data Insights &amp; Patterns · Ministry of Digital Economy and Society, Thailand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1c2fea57e9b84d9a4b40c1c28501fcd8dc89e8.png"/><Relationship Id="rId10" Type="http://schemas.openxmlformats.org/officeDocument/2006/relationships/image" Target="media/196091bb715fad8c800a346edf84acf3720f4ad8.png"/><Relationship Id="rId11" Type="http://schemas.openxmlformats.org/officeDocument/2006/relationships/image" Target="media/10a68463aff0c1678bed4484ea620817011a9e98.png"/><Relationship Id="rId12" Type="http://schemas.openxmlformats.org/officeDocument/2006/relationships/image" Target="media/5ef72d579c6395a521303a6e372fcd3b2967b094.png"/><Relationship Id="rId13" Type="http://schemas.openxmlformats.org/officeDocument/2006/relationships/image" Target="media/13fe72ef1590ef07cb93c5d5cdae053c70028cf1.png"/><Relationship Id="rId14" Type="http://schemas.openxmlformats.org/officeDocument/2006/relationships/image" Target="media/fa3331534fd346acc449c6d6a49348553d7645fe.png"/><Relationship Id="rId15" Type="http://schemas.openxmlformats.org/officeDocument/2006/relationships/image" Target="media/0aa0ad466a412c27761e097ea871800cbc47029e.png"/><Relationship Id="rId16" Type="http://schemas.openxmlformats.org/officeDocument/2006/relationships/image" Target="media/2fb31a90d2da092b40d916e6972a72c40c3ac54e.png"/><Relationship Id="rId17" Type="http://schemas.openxmlformats.org/officeDocument/2006/relationships/image" Target="media/a45b8bebf54ffb96f9175abd7b3979d5876fd9db.png"/><Relationship Id="rId18" Type="http://schemas.openxmlformats.org/officeDocument/2006/relationships/image" Target="media/cf387b340d1a8c7fbef05b6f8c7e78d2cec24581.png"/><Relationship Id="rId19" Type="http://schemas.openxmlformats.org/officeDocument/2006/relationships/image" Target="media/bebc47eb596db76ff286114f0c316677d69e811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&amp; Patterns</dc:title>
  <dc:creator>SICPADetect report.custom agent</dc:creator>
  <dc:description>Online gambling estate analysis from a SICPADetect export</dc:description>
  <cp:lastModifiedBy>Un-named</cp:lastModifiedBy>
  <cp:revision>1</cp:revision>
  <dcterms:created xsi:type="dcterms:W3CDTF">2026-09-03T12:10:08.419Z</dcterms:created>
  <dcterms:modified xsi:type="dcterms:W3CDTF">2026-09-03T12:10:08.419Z</dcterms:modified>
</cp:coreProperties>
</file>

<file path=docProps/custom.xml><?xml version="1.0" encoding="utf-8"?>
<Properties xmlns="http://schemas.openxmlformats.org/officeDocument/2006/custom-properties" xmlns:vt="http://schemas.openxmlformats.org/officeDocument/2006/docPropsVTypes"/>
</file>