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right"/>
      </w:pPr>
      <w:r>
        <w:drawing>
          <wp:inline xmlns:a="http://schemas.openxmlformats.org/drawingml/2006/main" xmlns:pic="http://schemas.openxmlformats.org/drawingml/2006/picture">
            <wp:extent cx="792000" cy="779429"/>
            <wp:docPr id="1" name="Picture 1"/>
            <wp:cNvGraphicFramePr>
              <a:graphicFrameLocks noChangeAspect="1"/>
            </wp:cNvGraphicFramePr>
            <a:graphic>
              <a:graphicData uri="http://schemas.openxmlformats.org/drawingml/2006/picture">
                <pic:pic>
                  <pic:nvPicPr>
                    <pic:cNvPr id="0" name="crest.png"/>
                    <pic:cNvPicPr/>
                  </pic:nvPicPr>
                  <pic:blipFill>
                    <a:blip r:embed="rId13"/>
                    <a:stretch>
                      <a:fillRect/>
                    </a:stretch>
                  </pic:blipFill>
                  <pic:spPr>
                    <a:xfrm>
                      <a:off x="0" y="0"/>
                      <a:ext cx="792000" cy="779429"/>
                    </a:xfrm>
                    <a:prstGeom prst="rect"/>
                  </pic:spPr>
                </pic:pic>
              </a:graphicData>
            </a:graphic>
          </wp:inline>
        </w:drawing>
      </w:r>
    </w:p>
    <w:p>
      <w:pPr>
        <w:spacing w:after="0"/>
      </w:pPr>
    </w:p>
    <w:p>
      <w:pPr>
        <w:spacing w:after="0"/>
      </w:pPr>
    </w:p>
    <w:p>
      <w:pPr>
        <w:spacing w:after="0"/>
      </w:pPr>
    </w:p>
    <w:p>
      <w:pPr>
        <w:spacing w:after="120"/>
      </w:pPr>
      <w:r>
        <w:rPr>
          <w:rFonts w:ascii="Calibri" w:hAnsi="Calibri" w:cs="Calibri" w:eastAsia="Calibri"/>
          <w:b/>
          <w:i w:val="0"/>
          <w:color w:val="1F3F63"/>
          <w:sz w:val="60"/>
        </w:rPr>
        <w:t>Data Insights &amp; Patterns</w:t>
      </w:r>
    </w:p>
    <w:p>
      <w:pPr>
        <w:spacing w:after="600"/>
      </w:pPr>
      <w:r>
        <w:rPr>
          <w:rFonts w:ascii="Calibri" w:hAnsi="Calibri" w:cs="Calibri" w:eastAsia="Calibri"/>
          <w:b w:val="0"/>
          <w:i w:val="0"/>
          <w:color w:val="5B6B7B"/>
          <w:sz w:val="24"/>
        </w:rPr>
        <w:t>24,605 URLs · 4 Sep 2026 – 7 Oct 2026</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536"/>
        <w:gridCol w:w="4536"/>
      </w:tblGrid>
      <w:tr>
        <w:tc>
          <w:tcPr>
            <w:tcW w:type="dxa" w:w="2381"/>
            <w:tcMar>
              <w:top w:w="45" w:type="dxa"/>
              <w:start w:w="0" w:type="dxa"/>
              <w:bottom w:w="45" w:type="dxa"/>
              <w:end w:w="113" w:type="dxa"/>
            </w:tcMar>
          </w:tcPr>
          <w:p>
            <w:pPr>
              <w:spacing w:after="0"/>
            </w:pPr>
            <w:r>
              <w:rPr>
                <w:rFonts w:ascii="Calibri" w:hAnsi="Calibri" w:cs="Calibri" w:eastAsia="Calibri"/>
                <w:b w:val="0"/>
                <w:i w:val="0"/>
                <w:color w:val="5B6B7B"/>
                <w:sz w:val="18"/>
              </w:rPr>
              <w:t>Issued to</w:t>
            </w:r>
          </w:p>
        </w:tc>
        <w:tc>
          <w:tcPr>
            <w:tcW w:type="dxa" w:w="6690"/>
            <w:tcMar>
              <w:top w:w="45" w:type="dxa"/>
              <w:start w:w="0" w:type="dxa"/>
              <w:bottom w:w="45" w:type="dxa"/>
              <w:end w:w="0" w:type="dxa"/>
            </w:tcMar>
          </w:tcPr>
          <w:p>
            <w:pPr>
              <w:spacing w:after="0"/>
            </w:pPr>
            <w:r>
              <w:rPr>
                <w:rFonts w:ascii="Calibri" w:hAnsi="Calibri" w:cs="Calibri" w:eastAsia="Calibri"/>
                <w:b/>
                <w:i w:val="0"/>
                <w:color w:val="1B2733"/>
                <w:sz w:val="20"/>
              </w:rPr>
              <w:t>Ministry of Digital Economy and Society, Thailand</w:t>
            </w:r>
          </w:p>
        </w:tc>
      </w:tr>
      <w:tr>
        <w:tc>
          <w:tcPr>
            <w:tcW w:type="dxa" w:w="2381"/>
            <w:tcMar>
              <w:top w:w="45" w:type="dxa"/>
              <w:start w:w="0" w:type="dxa"/>
              <w:bottom w:w="45" w:type="dxa"/>
              <w:end w:w="113" w:type="dxa"/>
            </w:tcMar>
          </w:tcPr>
          <w:p>
            <w:pPr>
              <w:spacing w:after="0"/>
            </w:pPr>
            <w:r>
              <w:rPr>
                <w:rFonts w:ascii="Calibri" w:hAnsi="Calibri" w:cs="Calibri" w:eastAsia="Calibri"/>
                <w:b w:val="0"/>
                <w:i w:val="0"/>
                <w:color w:val="5B6B7B"/>
                <w:sz w:val="18"/>
              </w:rPr>
              <w:t>Prepared by</w:t>
            </w:r>
          </w:p>
        </w:tc>
        <w:tc>
          <w:tcPr>
            <w:tcW w:type="dxa" w:w="6690"/>
            <w:tcMar>
              <w:top w:w="45" w:type="dxa"/>
              <w:start w:w="0" w:type="dxa"/>
              <w:bottom w:w="45" w:type="dxa"/>
              <w:end w:w="0" w:type="dxa"/>
            </w:tcMar>
          </w:tcPr>
          <w:p>
            <w:pPr>
              <w:spacing w:after="0"/>
            </w:pPr>
            <w:r>
              <w:rPr>
                <w:rFonts w:ascii="Calibri" w:hAnsi="Calibri" w:cs="Calibri" w:eastAsia="Calibri"/>
                <w:b/>
                <w:i w:val="0"/>
                <w:color w:val="1B2733"/>
                <w:sz w:val="20"/>
              </w:rPr>
              <w:t>SICPA SA</w:t>
            </w:r>
          </w:p>
        </w:tc>
      </w:tr>
      <w:tr>
        <w:tc>
          <w:tcPr>
            <w:tcW w:type="dxa" w:w="2381"/>
            <w:tcMar>
              <w:top w:w="45" w:type="dxa"/>
              <w:start w:w="0" w:type="dxa"/>
              <w:bottom w:w="45" w:type="dxa"/>
              <w:end w:w="113" w:type="dxa"/>
            </w:tcMar>
          </w:tcPr>
          <w:p>
            <w:pPr>
              <w:spacing w:after="0"/>
            </w:pPr>
            <w:r>
              <w:rPr>
                <w:rFonts w:ascii="Calibri" w:hAnsi="Calibri" w:cs="Calibri" w:eastAsia="Calibri"/>
                <w:b w:val="0"/>
                <w:i w:val="0"/>
                <w:color w:val="5B6B7B"/>
                <w:sz w:val="18"/>
              </w:rPr>
              <w:t>Date of issue</w:t>
            </w:r>
          </w:p>
        </w:tc>
        <w:tc>
          <w:tcPr>
            <w:tcW w:type="dxa" w:w="6690"/>
            <w:tcMar>
              <w:top w:w="45" w:type="dxa"/>
              <w:start w:w="0" w:type="dxa"/>
              <w:bottom w:w="45" w:type="dxa"/>
              <w:end w:w="0" w:type="dxa"/>
            </w:tcMar>
          </w:tcPr>
          <w:p>
            <w:pPr>
              <w:spacing w:after="0"/>
            </w:pPr>
            <w:r>
              <w:rPr>
                <w:rFonts w:ascii="Calibri" w:hAnsi="Calibri" w:cs="Calibri" w:eastAsia="Calibri"/>
                <w:b/>
                <w:i w:val="0"/>
                <w:color w:val="1B2733"/>
                <w:sz w:val="20"/>
              </w:rPr>
              <w:t>07/10/2026</w:t>
            </w:r>
          </w:p>
        </w:tc>
      </w:tr>
      <w:tr>
        <w:tc>
          <w:tcPr>
            <w:tcW w:type="dxa" w:w="2381"/>
            <w:tcMar>
              <w:top w:w="45" w:type="dxa"/>
              <w:start w:w="0" w:type="dxa"/>
              <w:bottom w:w="45" w:type="dxa"/>
              <w:end w:w="113" w:type="dxa"/>
            </w:tcMar>
          </w:tcPr>
          <w:p>
            <w:pPr>
              <w:spacing w:after="0"/>
            </w:pPr>
            <w:r>
              <w:rPr>
                <w:rFonts w:ascii="Calibri" w:hAnsi="Calibri" w:cs="Calibri" w:eastAsia="Calibri"/>
                <w:b w:val="0"/>
                <w:i w:val="0"/>
                <w:color w:val="5B6B7B"/>
                <w:sz w:val="18"/>
              </w:rPr>
              <w:t>Source system</w:t>
            </w:r>
          </w:p>
        </w:tc>
        <w:tc>
          <w:tcPr>
            <w:tcW w:type="dxa" w:w="6690"/>
            <w:tcMar>
              <w:top w:w="45" w:type="dxa"/>
              <w:start w:w="0" w:type="dxa"/>
              <w:bottom w:w="45" w:type="dxa"/>
              <w:end w:w="0" w:type="dxa"/>
            </w:tcMar>
          </w:tcPr>
          <w:p>
            <w:pPr>
              <w:spacing w:after="0"/>
            </w:pPr>
            <w:r>
              <w:rPr>
                <w:rFonts w:ascii="Calibri" w:hAnsi="Calibri" w:cs="Calibri" w:eastAsia="Calibri"/>
                <w:b/>
                <w:i w:val="0"/>
                <w:color w:val="1B2733"/>
                <w:sz w:val="20"/>
              </w:rPr>
              <w:t>SICPADetect · lexicon Gambling_Keywords_Full_English_Categories_V1</w:t>
            </w:r>
          </w:p>
        </w:tc>
      </w:tr>
    </w:tbl>
    <w:p>
      <w:r>
        <w:br w:type="page"/>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01" w:name="c1001"/>
            <w:pPr>
              <w:keepNext/>
              <w:keepLines/>
              <w:spacing w:after="60"/>
            </w:pPr>
            <w:bookmarkEnd w:id="1001"/>
            <w:r>
              <w:rPr>
                <w:rFonts w:ascii="Calibri" w:hAnsi="Calibri" w:cs="Calibri" w:eastAsia="Calibri"/>
                <w:b/>
                <w:i w:val="0"/>
                <w:color w:val="1F3F63"/>
                <w:sz w:val="26"/>
              </w:rPr>
              <w:t>Contents</w:t>
            </w:r>
          </w:p>
          <w:p>
            <w:pPr>
              <w:spacing w:after="20" w:before="100"/>
              <w:ind w:left="0"/>
            </w:pPr>
            <w:hyperlink w:anchor="c1002">
              <w:r>
                <w:rPr>
                  <w:rFonts w:ascii="Calibri" w:hAnsi="Calibri" w:cs="Calibri"/>
                  <w:b/>
                  <w:sz w:val="22"/>
                </w:rPr>
                <w:t xml:space="preserve">Executive Summary</w:t>
              </w:r>
            </w:hyperlink>
          </w:p>
          <w:p>
            <w:pPr>
              <w:spacing w:after="20"/>
              <w:ind w:left="283"/>
            </w:pPr>
            <w:hyperlink w:anchor="c1003">
              <w:r>
                <w:rPr>
                  <w:rFonts w:ascii="Calibri" w:hAnsi="Calibri" w:cs="Calibri"/>
                  <w:sz w:val="20"/>
                </w:rPr>
                <w:t xml:space="preserve">Executive summary</w:t>
              </w:r>
            </w:hyperlink>
          </w:p>
          <w:p>
            <w:pPr>
              <w:spacing w:after="20"/>
              <w:ind w:left="624"/>
            </w:pPr>
            <w:r>
              <w:rPr>
                <w:rFonts w:ascii="Calibri" w:hAnsi="Calibri" w:cs="Calibri" w:eastAsia="Calibri"/>
                <w:b w:val="0"/>
                <w:i w:val="0"/>
                <w:color w:val="1B2733"/>
                <w:sz w:val="19"/>
              </w:rPr>
              <w:t>Insights and trends</w:t>
            </w:r>
          </w:p>
          <w:p>
            <w:pPr>
              <w:spacing w:after="20"/>
              <w:ind w:left="624"/>
            </w:pPr>
            <w:r>
              <w:rPr>
                <w:rFonts w:ascii="Calibri" w:hAnsi="Calibri" w:cs="Calibri" w:eastAsia="Calibri"/>
                <w:b w:val="0"/>
                <w:i w:val="0"/>
                <w:color w:val="1B2733"/>
                <w:sz w:val="19"/>
              </w:rPr>
              <w:t>Key figures</w:t>
            </w:r>
          </w:p>
          <w:p>
            <w:pPr>
              <w:spacing w:after="20" w:before="100"/>
              <w:ind w:left="0"/>
            </w:pPr>
            <w:hyperlink w:anchor="c1004">
              <w:r>
                <w:rPr>
                  <w:rFonts w:ascii="Calibri" w:hAnsi="Calibri" w:cs="Calibri"/>
                  <w:b/>
                  <w:sz w:val="22"/>
                </w:rPr>
                <w:t xml:space="preserve">Model Insights</w:t>
              </w:r>
            </w:hyperlink>
          </w:p>
          <w:p>
            <w:pPr>
              <w:spacing w:after="20"/>
              <w:ind w:left="283"/>
            </w:pPr>
            <w:hyperlink w:anchor="c1005">
              <w:r>
                <w:rPr>
                  <w:rFonts w:ascii="Calibri" w:hAnsi="Calibri" w:cs="Calibri"/>
                  <w:sz w:val="20"/>
                </w:rPr>
                <w:t xml:space="preserve">Introduction</w:t>
              </w:r>
            </w:hyperlink>
          </w:p>
          <w:p>
            <w:pPr>
              <w:spacing w:after="20"/>
              <w:ind w:left="283"/>
            </w:pPr>
            <w:hyperlink w:anchor="c1006">
              <w:r>
                <w:rPr>
                  <w:rFonts w:ascii="Calibri" w:hAnsi="Calibri" w:cs="Calibri"/>
                  <w:sz w:val="20"/>
                </w:rPr>
                <w:t xml:space="preserve">Executive Summary</w:t>
              </w:r>
            </w:hyperlink>
          </w:p>
          <w:p>
            <w:pPr>
              <w:spacing w:after="20"/>
              <w:ind w:left="283"/>
            </w:pPr>
            <w:hyperlink w:anchor="c1007">
              <w:r>
                <w:rPr>
                  <w:rFonts w:ascii="Calibri" w:hAnsi="Calibri" w:cs="Calibri"/>
                  <w:sz w:val="20"/>
                </w:rPr>
                <w:t xml:space="preserve">Overall and per class results</w:t>
              </w:r>
            </w:hyperlink>
          </w:p>
          <w:p>
            <w:pPr>
              <w:spacing w:after="20"/>
              <w:ind w:left="283"/>
            </w:pPr>
            <w:hyperlink w:anchor="c1008">
              <w:r>
                <w:rPr>
                  <w:rFonts w:ascii="Calibri" w:hAnsi="Calibri" w:cs="Calibri"/>
                  <w:sz w:val="20"/>
                </w:rPr>
                <w:t xml:space="preserve">Error Analysis</w:t>
              </w:r>
            </w:hyperlink>
          </w:p>
          <w:p>
            <w:pPr>
              <w:spacing w:after="20"/>
              <w:ind w:left="283"/>
            </w:pPr>
            <w:hyperlink w:anchor="c1009">
              <w:r>
                <w:rPr>
                  <w:rFonts w:ascii="Calibri" w:hAnsi="Calibri" w:cs="Calibri"/>
                  <w:sz w:val="20"/>
                </w:rPr>
                <w:t xml:space="preserve">Segments and Confidence</w:t>
              </w:r>
            </w:hyperlink>
          </w:p>
          <w:p>
            <w:pPr>
              <w:spacing w:after="20" w:before="100"/>
              <w:ind w:left="0"/>
            </w:pPr>
            <w:hyperlink w:anchor="c1010">
              <w:r>
                <w:rPr>
                  <w:rFonts w:ascii="Calibri" w:hAnsi="Calibri" w:cs="Calibri"/>
                  <w:b/>
                  <w:sz w:val="22"/>
                </w:rPr>
                <w:t xml:space="preserve">Data Analysis</w:t>
              </w:r>
            </w:hyperlink>
          </w:p>
          <w:p>
            <w:pPr>
              <w:spacing w:after="20"/>
              <w:ind w:left="283"/>
            </w:pPr>
            <w:hyperlink w:anchor="c1011">
              <w:r>
                <w:rPr>
                  <w:rFonts w:ascii="Calibri" w:hAnsi="Calibri" w:cs="Calibri"/>
                  <w:sz w:val="20"/>
                </w:rPr>
                <w:t xml:space="preserve">10 most prominent gambling sites in Thailand</w:t>
              </w:r>
            </w:hyperlink>
          </w:p>
          <w:p>
            <w:pPr>
              <w:spacing w:after="20"/>
              <w:ind w:left="624"/>
            </w:pPr>
            <w:hyperlink w:anchor="c1012">
              <w:r>
                <w:rPr>
                  <w:rFonts w:ascii="Calibri" w:hAnsi="Calibri" w:cs="Calibri"/>
                  <w:sz w:val="19"/>
                </w:rPr>
                <w:t xml:space="preserve">10 most prominent gambling sites in Thailand</w:t>
              </w:r>
            </w:hyperlink>
          </w:p>
          <w:p>
            <w:pPr>
              <w:spacing w:after="20"/>
              <w:ind w:left="283"/>
            </w:pPr>
            <w:hyperlink w:anchor="c1013">
              <w:r>
                <w:rPr>
                  <w:rFonts w:ascii="Calibri" w:hAnsi="Calibri" w:cs="Calibri"/>
                  <w:sz w:val="20"/>
                </w:rPr>
                <w:t xml:space="preserve">The numbers</w:t>
              </w:r>
            </w:hyperlink>
          </w:p>
          <w:p>
            <w:pPr>
              <w:spacing w:after="20"/>
              <w:ind w:left="624"/>
            </w:pPr>
            <w:r>
              <w:rPr>
                <w:rFonts w:ascii="Calibri" w:hAnsi="Calibri" w:cs="Calibri" w:eastAsia="Calibri"/>
                <w:b w:val="0"/>
                <w:i w:val="0"/>
                <w:color w:val="1B2733"/>
                <w:sz w:val="19"/>
              </w:rPr>
              <w:t>Key counts</w:t>
            </w:r>
          </w:p>
          <w:p>
            <w:pPr>
              <w:spacing w:after="20"/>
              <w:ind w:left="624"/>
            </w:pPr>
            <w:hyperlink w:anchor="c1014">
              <w:r>
                <w:rPr>
                  <w:rFonts w:ascii="Calibri" w:hAnsi="Calibri" w:cs="Calibri"/>
                  <w:sz w:val="19"/>
                </w:rPr>
                <w:t xml:space="preserve">URLs analyzed per day</w:t>
              </w:r>
            </w:hyperlink>
          </w:p>
          <w:p>
            <w:pPr>
              <w:spacing w:after="20"/>
              <w:ind w:left="624"/>
            </w:pPr>
            <w:hyperlink w:anchor="c1015">
              <w:r>
                <w:rPr>
                  <w:rFonts w:ascii="Calibri" w:hAnsi="Calibri" w:cs="Calibri"/>
                  <w:sz w:val="19"/>
                </w:rPr>
                <w:t xml:space="preserve">Status distribution</w:t>
              </w:r>
            </w:hyperlink>
          </w:p>
          <w:p>
            <w:pPr>
              <w:spacing w:after="20"/>
              <w:ind w:left="624"/>
            </w:pPr>
            <w:hyperlink w:anchor="c1016">
              <w:r>
                <w:rPr>
                  <w:rFonts w:ascii="Calibri" w:hAnsi="Calibri" w:cs="Calibri"/>
                  <w:sz w:val="19"/>
                </w:rPr>
                <w:t xml:space="preserve">Top 10 URL suffixes</w:t>
              </w:r>
            </w:hyperlink>
          </w:p>
          <w:p>
            <w:pPr>
              <w:spacing w:after="20"/>
              <w:ind w:left="283"/>
            </w:pPr>
            <w:hyperlink w:anchor="c1017">
              <w:r>
                <w:rPr>
                  <w:rFonts w:ascii="Calibri" w:hAnsi="Calibri" w:cs="Calibri"/>
                  <w:sz w:val="20"/>
                </w:rPr>
                <w:t xml:space="preserve">Subcategories</w:t>
              </w:r>
            </w:hyperlink>
          </w:p>
          <w:p>
            <w:pPr>
              <w:spacing w:after="20"/>
              <w:ind w:left="624"/>
            </w:pPr>
            <w:hyperlink w:anchor="c1018">
              <w:r>
                <w:rPr>
                  <w:rFonts w:ascii="Calibri" w:hAnsi="Calibri" w:cs="Calibri"/>
                  <w:sz w:val="19"/>
                </w:rPr>
                <w:t xml:space="preserve">Gambling sites by product subcategory</w:t>
              </w:r>
            </w:hyperlink>
          </w:p>
          <w:p>
            <w:pPr>
              <w:spacing w:after="20"/>
              <w:ind w:left="624"/>
            </w:pPr>
            <w:hyperlink w:anchor="c1019">
              <w:r>
                <w:rPr>
                  <w:rFonts w:ascii="Calibri" w:hAnsi="Calibri" w:cs="Calibri"/>
                  <w:sz w:val="19"/>
                </w:rPr>
                <w:t xml:space="preserve">Assignment method by subcategory</w:t>
              </w:r>
            </w:hyperlink>
          </w:p>
          <w:p>
            <w:pPr>
              <w:spacing w:after="20"/>
              <w:ind w:left="624"/>
            </w:pPr>
            <w:hyperlink w:anchor="c1020">
              <w:r>
                <w:rPr>
                  <w:rFonts w:ascii="Calibri" w:hAnsi="Calibri" w:cs="Calibri"/>
                  <w:sz w:val="19"/>
                </w:rPr>
                <w:t xml:space="preserve">Subcategory table</w:t>
              </w:r>
            </w:hyperlink>
          </w:p>
          <w:p>
            <w:pPr>
              <w:spacing w:after="20"/>
              <w:ind w:left="624"/>
            </w:pPr>
            <w:hyperlink w:anchor="c1021">
              <w:r>
                <w:rPr>
                  <w:rFonts w:ascii="Calibri" w:hAnsi="Calibri" w:cs="Calibri"/>
                  <w:sz w:val="19"/>
                </w:rPr>
                <w:t xml:space="preserve">Heat map — Keyword × subcategory</w:t>
              </w:r>
            </w:hyperlink>
          </w:p>
          <w:p>
            <w:pPr>
              <w:spacing w:after="20"/>
              <w:ind w:left="624"/>
            </w:pPr>
            <w:hyperlink w:anchor="c1022">
              <w:r>
                <w:rPr>
                  <w:rFonts w:ascii="Calibri" w:hAnsi="Calibri" w:cs="Calibri"/>
                  <w:sz w:val="19"/>
                </w:rPr>
                <w:t xml:space="preserve">Heat map — Signal tag × subcategory</w:t>
              </w:r>
            </w:hyperlink>
          </w:p>
          <w:p>
            <w:pPr>
              <w:spacing w:after="20"/>
              <w:ind w:left="283"/>
            </w:pPr>
            <w:hyperlink w:anchor="c1023">
              <w:r>
                <w:rPr>
                  <w:rFonts w:ascii="Calibri" w:hAnsi="Calibri" w:cs="Calibri"/>
                  <w:sz w:val="20"/>
                </w:rPr>
                <w:t xml:space="preserve">Brands and clustering</w:t>
              </w:r>
            </w:hyperlink>
          </w:p>
          <w:p>
            <w:pPr>
              <w:spacing w:after="20"/>
              <w:ind w:left="624"/>
            </w:pPr>
            <w:hyperlink w:anchor="c1024">
              <w:r>
                <w:rPr>
                  <w:rFonts w:ascii="Calibri" w:hAnsi="Calibri" w:cs="Calibri"/>
                  <w:sz w:val="19"/>
                </w:rPr>
                <w:t xml:space="preserve">What brand clusters are</w:t>
              </w:r>
            </w:hyperlink>
          </w:p>
          <w:p>
            <w:pPr>
              <w:spacing w:after="20"/>
              <w:ind w:left="624"/>
            </w:pPr>
            <w:r>
              <w:rPr>
                <w:rFonts w:ascii="Calibri" w:hAnsi="Calibri" w:cs="Calibri" w:eastAsia="Calibri"/>
                <w:b w:val="0"/>
                <w:i w:val="0"/>
                <w:color w:val="1B2733"/>
                <w:sz w:val="19"/>
              </w:rPr>
              <w:t>Cluster counts</w:t>
            </w:r>
          </w:p>
          <w:p>
            <w:pPr>
              <w:spacing w:after="20"/>
              <w:ind w:left="624"/>
            </w:pPr>
            <w:hyperlink w:anchor="c1025">
              <w:r>
                <w:rPr>
                  <w:rFonts w:ascii="Calibri" w:hAnsi="Calibri" w:cs="Calibri"/>
                  <w:sz w:val="19"/>
                </w:rPr>
                <w:t xml:space="preserve">Top 15 brand clusters by URL count</w:t>
              </w:r>
            </w:hyperlink>
          </w:p>
          <w:p>
            <w:pPr>
              <w:spacing w:after="20"/>
              <w:ind w:left="624"/>
            </w:pPr>
            <w:hyperlink w:anchor="c1026">
              <w:r>
                <w:rPr>
                  <w:rFonts w:ascii="Calibri" w:hAnsi="Calibri" w:cs="Calibri"/>
                  <w:sz w:val="19"/>
                </w:rPr>
                <w:t xml:space="preserve">Heat map — Brand cluster × subcategory</w:t>
              </w:r>
            </w:hyperlink>
          </w:p>
          <w:p>
            <w:pPr>
              <w:spacing w:after="20"/>
              <w:ind w:left="624"/>
            </w:pPr>
            <w:hyperlink w:anchor="c1027">
              <w:r>
                <w:rPr>
                  <w:rFonts w:ascii="Calibri" w:hAnsi="Calibri" w:cs="Calibri"/>
                  <w:sz w:val="19"/>
                </w:rPr>
                <w:t xml:space="preserve">Cluster expansion — jun</w:t>
              </w:r>
            </w:hyperlink>
          </w:p>
          <w:p>
            <w:pPr>
              <w:spacing w:after="20"/>
              <w:ind w:left="624"/>
            </w:pPr>
            <w:hyperlink w:anchor="c1028">
              <w:r>
                <w:rPr>
                  <w:rFonts w:ascii="Calibri" w:hAnsi="Calibri" w:cs="Calibri"/>
                  <w:sz w:val="19"/>
                </w:rPr>
                <w:t xml:space="preserve">Clusters spanning multiple subcategories</w:t>
              </w:r>
            </w:hyperlink>
          </w:p>
          <w:p>
            <w:pPr>
              <w:spacing w:after="20"/>
              <w:ind w:left="624"/>
            </w:pPr>
            <w:hyperlink w:anchor="c1029">
              <w:r>
                <w:rPr>
                  <w:rFonts w:ascii="Calibri" w:hAnsi="Calibri" w:cs="Calibri"/>
                  <w:sz w:val="19"/>
                </w:rPr>
                <w:t xml:space="preserve">Clusters rotating top-level domains</w:t>
              </w:r>
            </w:hyperlink>
          </w:p>
          <w:p>
            <w:pPr>
              <w:spacing w:after="20"/>
              <w:ind w:left="624"/>
            </w:pPr>
            <w:hyperlink w:anchor="c1030">
              <w:r>
                <w:rPr>
                  <w:rFonts w:ascii="Calibri" w:hAnsi="Calibri" w:cs="Calibri"/>
                  <w:sz w:val="19"/>
                </w:rPr>
                <w:t xml:space="preserve">Possible operator linkage</w:t>
              </w:r>
            </w:hyperlink>
          </w:p>
          <w:p>
            <w:pPr>
              <w:spacing w:after="20"/>
              <w:ind w:left="624"/>
            </w:pPr>
            <w:hyperlink w:anchor="c1031">
              <w:r>
                <w:rPr>
                  <w:rFonts w:ascii="Calibri" w:hAnsi="Calibri" w:cs="Calibri"/>
                  <w:sz w:val="19"/>
                </w:rPr>
                <w:t xml:space="preserve">Naming conventions</w:t>
              </w:r>
            </w:hyperlink>
          </w:p>
          <w:p>
            <w:pPr>
              <w:spacing w:after="20"/>
              <w:ind w:left="624"/>
            </w:pPr>
            <w:r>
              <w:rPr>
                <w:rFonts w:ascii="Calibri" w:hAnsi="Calibri" w:cs="Calibri" w:eastAsia="Calibri"/>
                <w:b w:val="0"/>
                <w:i w:val="0"/>
                <w:color w:val="1B2733"/>
                <w:sz w:val="19"/>
              </w:rPr>
              <w:t>Structure: direct, redirect, variant</w:t>
            </w:r>
          </w:p>
          <w:p>
            <w:pPr>
              <w:spacing w:after="20"/>
              <w:ind w:left="624"/>
            </w:pPr>
            <w:hyperlink w:anchor="c1032">
              <w:r>
                <w:rPr>
                  <w:rFonts w:ascii="Calibri" w:hAnsi="Calibri" w:cs="Calibri"/>
                  <w:sz w:val="19"/>
                </w:rPr>
                <w:t xml:space="preserve">Redirect propagation — www.min88.top</w:t>
              </w:r>
            </w:hyperlink>
          </w:p>
          <w:p>
            <w:pPr>
              <w:spacing w:after="20"/>
              <w:ind w:left="283"/>
            </w:pPr>
            <w:hyperlink w:anchor="c1033">
              <w:r>
                <w:rPr>
                  <w:rFonts w:ascii="Calibri" w:hAnsi="Calibri" w:cs="Calibri"/>
                  <w:sz w:val="20"/>
                </w:rPr>
                <w:t xml:space="preserve">Ranking</w:t>
              </w:r>
            </w:hyperlink>
          </w:p>
          <w:p>
            <w:pPr>
              <w:spacing w:after="20"/>
              <w:ind w:left="624"/>
            </w:pPr>
            <w:hyperlink w:anchor="c1034">
              <w:r>
                <w:rPr>
                  <w:rFonts w:ascii="Calibri" w:hAnsi="Calibri" w:cs="Calibri"/>
                  <w:sz w:val="19"/>
                </w:rPr>
                <w:t xml:space="preserve">Gambling ranking</w:t>
              </w:r>
            </w:hyperlink>
          </w:p>
          <w:p>
            <w:pPr>
              <w:spacing w:after="20"/>
              <w:ind w:left="283"/>
            </w:pPr>
            <w:hyperlink w:anchor="c1035">
              <w:r>
                <w:rPr>
                  <w:rFonts w:ascii="Calibri" w:hAnsi="Calibri" w:cs="Calibri"/>
                  <w:sz w:val="20"/>
                </w:rPr>
                <w:t xml:space="preserve">Key insights</w:t>
              </w:r>
            </w:hyperlink>
          </w:p>
          <w:p>
            <w:pPr>
              <w:spacing w:after="20"/>
              <w:ind w:left="624"/>
            </w:pPr>
            <w:hyperlink w:anchor="c1036">
              <w:r>
                <w:rPr>
                  <w:rFonts w:ascii="Calibri" w:hAnsi="Calibri" w:cs="Calibri"/>
                  <w:sz w:val="19"/>
                </w:rPr>
                <w:t xml:space="preserve">Scale of the analysis</w:t>
              </w:r>
            </w:hyperlink>
          </w:p>
          <w:p>
            <w:pPr>
              <w:spacing w:after="20"/>
              <w:ind w:left="624"/>
            </w:pPr>
            <w:hyperlink w:anchor="c1037">
              <w:r>
                <w:rPr>
                  <w:rFonts w:ascii="Calibri" w:hAnsi="Calibri" w:cs="Calibri"/>
                  <w:sz w:val="19"/>
                </w:rPr>
                <w:t xml:space="preserve">What is being offered</w:t>
              </w:r>
            </w:hyperlink>
          </w:p>
          <w:p>
            <w:pPr>
              <w:spacing w:after="20"/>
              <w:ind w:left="624"/>
            </w:pPr>
            <w:hyperlink w:anchor="c1038">
              <w:r>
                <w:rPr>
                  <w:rFonts w:ascii="Calibri" w:hAnsi="Calibri" w:cs="Calibri"/>
                  <w:sz w:val="19"/>
                </w:rPr>
                <w:t xml:space="preserve">Brand clustering</w:t>
              </w:r>
            </w:hyperlink>
          </w:p>
          <w:p>
            <w:pPr>
              <w:spacing w:after="20"/>
              <w:ind w:left="624"/>
            </w:pPr>
            <w:hyperlink w:anchor="c1039">
              <w:r>
                <w:rPr>
                  <w:rFonts w:ascii="Calibri" w:hAnsi="Calibri" w:cs="Calibri"/>
                  <w:sz w:val="19"/>
                </w:rPr>
                <w:t xml:space="preserve">How the estate is grown and marketed</w:t>
              </w:r>
            </w:hyperlink>
          </w:p>
          <w:p>
            <w:pPr>
              <w:spacing w:after="20"/>
              <w:ind w:left="624"/>
            </w:pPr>
            <w:hyperlink w:anchor="c1040">
              <w:r>
                <w:rPr>
                  <w:rFonts w:ascii="Calibri" w:hAnsi="Calibri" w:cs="Calibri"/>
                  <w:sz w:val="19"/>
                </w:rPr>
                <w:t xml:space="preserve">Enforcement position</w:t>
              </w:r>
            </w:hyperlink>
          </w:p>
        </w:tc>
      </w:tr>
    </w:tbl>
    <w:p>
      <w:pPr>
        <w:spacing w:after="60"/>
      </w:pPr>
    </w:p>
    <w:p>
      <w:r>
        <w:br w:type="page"/>
      </w:r>
    </w:p>
    <w:p>
      <w:bookmarkStart w:id="1002" w:name="c1002"/>
      <w:pPr>
        <w:pStyle w:val="Heading1"/>
      </w:pPr>
      <w:bookmarkEnd w:id="1002"/>
      <w:r>
        <w:rPr>
          <w:rFonts w:ascii="Calibri" w:hAnsi="Calibri" w:cs="Calibri" w:eastAsia="Calibri"/>
          <w:b/>
          <w:i w:val="0"/>
          <w:color w:val="1F3F63"/>
          <w:sz w:val="34"/>
        </w:rPr>
        <w:t>Executive Summary</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03" w:name="c1003"/>
            <w:pPr>
              <w:keepNext/>
              <w:keepLines/>
              <w:spacing w:after="60"/>
            </w:pPr>
            <w:bookmarkEnd w:id="1003"/>
            <w:r>
              <w:rPr>
                <w:rFonts w:ascii="Calibri" w:hAnsi="Calibri" w:cs="Calibri" w:eastAsia="Calibri"/>
                <w:b/>
                <w:i w:val="0"/>
                <w:color w:val="1F3F63"/>
                <w:sz w:val="26"/>
              </w:rPr>
              <w:t>Executive summary</w:t>
            </w:r>
          </w:p>
          <w:p>
            <w:pPr>
              <w:spacing w:after="60"/>
            </w:pPr>
            <w:r>
              <w:rPr>
                <w:rFonts w:ascii="Calibri" w:hAnsi="Calibri" w:cs="Calibri" w:eastAsia="Calibri"/>
                <w:b/>
                <w:i w:val="0"/>
                <w:color w:val="1F3F63"/>
                <w:sz w:val="21"/>
              </w:rPr>
              <w:t>Insights and trends</w:t>
            </w:r>
          </w:p>
          <w:p>
            <w:pPr>
              <w:spacing w:after="100"/>
            </w:pPr>
            <w:r>
              <w:rPr>
                <w:rFonts w:ascii="Calibri" w:hAnsi="Calibri" w:cs="Calibri" w:eastAsia="Calibri"/>
                <w:b w:val="0"/>
                <w:i w:val="0"/>
                <w:color w:val="1B2733"/>
                <w:sz w:val="20"/>
              </w:rPr>
              <w:t>This report covers 24,605 distinct URLs analysed over a single evaluation period. Just under half of them are classified as gambling and the rest are not. The sample is large enough to describe patterns across the estate rather than individual cases.</w:t>
            </w:r>
          </w:p>
          <w:p>
            <w:pPr>
              <w:spacing w:after="100"/>
            </w:pPr>
            <w:r>
              <w:rPr>
                <w:rFonts w:ascii="Calibri" w:hAnsi="Calibri" w:cs="Calibri" w:eastAsia="Calibri"/>
                <w:b w:val="0"/>
                <w:i w:val="0"/>
                <w:color w:val="1B2733"/>
                <w:sz w:val="20"/>
              </w:rPr>
              <w:t>By product type the estate leans towards casino and slots, with a further quarter confirmed as gambling but carrying no evidenced product type. These figures are indicative only: the lexicon is written in Thai while the descriptions here are predominantly English, so most assignments rest on reasoning inference rather than on a lexicon match.</w:t>
            </w:r>
          </w:p>
          <w:p>
            <w:pPr>
              <w:spacing w:after="100"/>
            </w:pPr>
            <w:r>
              <w:rPr>
                <w:rFonts w:ascii="Calibri" w:hAnsi="Calibri" w:cs="Calibri" w:eastAsia="Calibri"/>
                <w:b w:val="0"/>
                <w:i w:val="0"/>
                <w:color w:val="1B2733"/>
                <w:sz w:val="20"/>
              </w:rPr>
              <w:t>The estate is diffuse rather than concentrated. 1,533 brand clusters were identified, most of them holding more than one domain, and it takes 166 of them to cover half the gambling URLs. No single operator dominates.</w:t>
            </w:r>
          </w:p>
          <w:p>
            <w:pPr>
              <w:spacing w:after="100"/>
            </w:pPr>
            <w:r>
              <w:rPr>
                <w:rFonts w:ascii="Calibri" w:hAnsi="Calibri" w:cs="Calibri" w:eastAsia="Calibri"/>
                <w:b w:val="0"/>
                <w:i w:val="0"/>
                <w:color w:val="1B2733"/>
                <w:sz w:val="20"/>
              </w:rPr>
              <w:t>Growth is overwhelmingly mechanical. The great majority of gambling URLs were reached as crawler identified variants of a domain already known, a smaller group sits behind redirect chains and few were reached directly. Many clusters rotate across more than one top level domain, and provider branding is the most common signal recorded.</w:t>
            </w:r>
          </w:p>
          <w:p>
            <w:pPr>
              <w:spacing w:after="100"/>
            </w:pPr>
            <w:r>
              <w:rPr>
                <w:rFonts w:ascii="Calibri" w:hAnsi="Calibri" w:cs="Calibri" w:eastAsia="Calibri"/>
                <w:b w:val="0"/>
                <w:i w:val="0"/>
                <w:color w:val="1B2733"/>
                <w:sz w:val="20"/>
              </w:rPr>
              <w:t>Volume across the 34 days of the period is uneven, concentrated in bursts rather than spread evenly. The series records when URLs were analysed, not when the sites appeared.</w:t>
            </w:r>
          </w:p>
          <w:p>
            <w:pPr>
              <w:spacing w:after="100"/>
            </w:pPr>
            <w:r>
              <w:rPr>
                <w:rFonts w:ascii="Calibri" w:hAnsi="Calibri" w:cs="Calibri" w:eastAsia="Calibri"/>
                <w:b w:val="0"/>
                <w:i w:val="0"/>
                <w:color w:val="1B2733"/>
                <w:sz w:val="20"/>
              </w:rPr>
              <w:t>Enforcement is at an early stage: 7 pages in the sample already carry regulatory blocking indicators, against an estate of several thousand gambling URLs.</w:t>
            </w:r>
          </w:p>
          <w:p>
            <w:pPr>
              <w:spacing w:after="60"/>
            </w:pPr>
            <w:r>
              <w:rPr>
                <w:rFonts w:ascii="Calibri" w:hAnsi="Calibri" w:cs="Calibri" w:eastAsia="Calibri"/>
                <w:b/>
                <w:i w:val="0"/>
                <w:color w:val="1F3F63"/>
                <w:sz w:val="21"/>
              </w:rPr>
              <w:t>Key figures</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938" w:type="dxa"/>
            </w:tblPr>
            <w:tblGrid>
              <w:gridCol w:w="3288"/>
              <w:gridCol w:w="4649"/>
            </w:tblGrid>
            <w:tr>
              <w:tc>
                <w:tcPr>
                  <w:tcW w:type="dxa" w:w="3288"/>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Reporting figure</w:t>
                  </w:r>
                </w:p>
              </w:tc>
              <w:tc>
                <w:tcPr>
                  <w:tcW w:type="dxa" w:w="4649"/>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Value</w:t>
                  </w:r>
                </w:p>
              </w:tc>
            </w:tr>
            <w:tr>
              <w:tc>
                <w:tcPr>
                  <w:tcW w:type="dxa" w:w="3288"/>
                  <w:tcMar>
                    <w:top w:w="56" w:type="dxa"/>
                    <w:start w:w="85" w:type="dxa"/>
                    <w:bottom w:w="56" w:type="dxa"/>
                    <w:end w:w="85" w:type="dxa"/>
                  </w:tcMar>
                </w:tcPr>
                <w:p>
                  <w:pPr>
                    <w:spacing w:after="0"/>
                  </w:pPr>
                  <w:r>
                    <w:rPr>
                      <w:rFonts w:ascii="Calibri" w:hAnsi="Calibri" w:cs="Calibri" w:eastAsia="Calibri"/>
                      <w:b w:val="0"/>
                      <w:i w:val="0"/>
                      <w:color w:val="1B2733"/>
                      <w:sz w:val="18"/>
                    </w:rPr>
                    <w:t>URLs analysed</w:t>
                  </w:r>
                </w:p>
              </w:tc>
              <w:tc>
                <w:tcPr>
                  <w:tcW w:type="dxa" w:w="4649"/>
                  <w:tcMar>
                    <w:top w:w="56" w:type="dxa"/>
                    <w:start w:w="85" w:type="dxa"/>
                    <w:bottom w:w="56" w:type="dxa"/>
                    <w:end w:w="85" w:type="dxa"/>
                  </w:tcMar>
                </w:tcPr>
                <w:p>
                  <w:pPr>
                    <w:spacing w:after="0"/>
                  </w:pPr>
                  <w:r>
                    <w:rPr>
                      <w:rFonts w:ascii="Calibri" w:hAnsi="Calibri" w:cs="Calibri" w:eastAsia="Calibri"/>
                      <w:b w:val="0"/>
                      <w:i w:val="0"/>
                      <w:color w:val="1B2733"/>
                      <w:sz w:val="18"/>
                    </w:rPr>
                    <w:t>24,605</w:t>
                  </w:r>
                </w:p>
              </w:tc>
            </w:tr>
            <w:tr>
              <w:tc>
                <w:tcPr>
                  <w:tcW w:type="dxa" w:w="3288"/>
                  <w:tcMar>
                    <w:top w:w="56" w:type="dxa"/>
                    <w:start w:w="85" w:type="dxa"/>
                    <w:bottom w:w="56" w:type="dxa"/>
                    <w:end w:w="85" w:type="dxa"/>
                  </w:tcMar>
                </w:tcPr>
                <w:p>
                  <w:pPr>
                    <w:spacing w:after="0"/>
                  </w:pPr>
                  <w:r>
                    <w:rPr>
                      <w:rFonts w:ascii="Calibri" w:hAnsi="Calibri" w:cs="Calibri" w:eastAsia="Calibri"/>
                      <w:b w:val="0"/>
                      <w:i w:val="0"/>
                      <w:color w:val="1B2733"/>
                      <w:sz w:val="18"/>
                    </w:rPr>
                    <w:t>Gambling sites</w:t>
                  </w:r>
                </w:p>
              </w:tc>
              <w:tc>
                <w:tcPr>
                  <w:tcW w:type="dxa" w:w="4649"/>
                  <w:tcMar>
                    <w:top w:w="56" w:type="dxa"/>
                    <w:start w:w="85" w:type="dxa"/>
                    <w:bottom w:w="56" w:type="dxa"/>
                    <w:end w:w="85" w:type="dxa"/>
                  </w:tcMar>
                </w:tcPr>
                <w:p>
                  <w:pPr>
                    <w:spacing w:after="0"/>
                  </w:pPr>
                  <w:r>
                    <w:rPr>
                      <w:rFonts w:ascii="Calibri" w:hAnsi="Calibri" w:cs="Calibri" w:eastAsia="Calibri"/>
                      <w:b w:val="0"/>
                      <w:i w:val="0"/>
                      <w:color w:val="1B2733"/>
                      <w:sz w:val="18"/>
                    </w:rPr>
                    <w:t>11,648  (47.3% of the estate)</w:t>
                  </w:r>
                </w:p>
              </w:tc>
            </w:tr>
            <w:tr>
              <w:tc>
                <w:tcPr>
                  <w:tcW w:type="dxa" w:w="3288"/>
                  <w:tcMar>
                    <w:top w:w="56" w:type="dxa"/>
                    <w:start w:w="85" w:type="dxa"/>
                    <w:bottom w:w="56" w:type="dxa"/>
                    <w:end w:w="85" w:type="dxa"/>
                  </w:tcMar>
                </w:tcPr>
                <w:p>
                  <w:pPr>
                    <w:spacing w:after="0"/>
                  </w:pPr>
                  <w:r>
                    <w:rPr>
                      <w:rFonts w:ascii="Calibri" w:hAnsi="Calibri" w:cs="Calibri" w:eastAsia="Calibri"/>
                      <w:b w:val="0"/>
                      <w:i w:val="0"/>
                      <w:color w:val="1B2733"/>
                      <w:sz w:val="18"/>
                    </w:rPr>
                    <w:t>Not gambling</w:t>
                  </w:r>
                </w:p>
              </w:tc>
              <w:tc>
                <w:tcPr>
                  <w:tcW w:type="dxa" w:w="4649"/>
                  <w:tcMar>
                    <w:top w:w="56" w:type="dxa"/>
                    <w:start w:w="85" w:type="dxa"/>
                    <w:bottom w:w="56" w:type="dxa"/>
                    <w:end w:w="85" w:type="dxa"/>
                  </w:tcMar>
                </w:tcPr>
                <w:p>
                  <w:pPr>
                    <w:spacing w:after="0"/>
                  </w:pPr>
                  <w:r>
                    <w:rPr>
                      <w:rFonts w:ascii="Calibri" w:hAnsi="Calibri" w:cs="Calibri" w:eastAsia="Calibri"/>
                      <w:b w:val="0"/>
                      <w:i w:val="0"/>
                      <w:color w:val="1B2733"/>
                      <w:sz w:val="18"/>
                    </w:rPr>
                    <w:t>12,957</w:t>
                  </w:r>
                </w:p>
              </w:tc>
            </w:tr>
            <w:tr>
              <w:tc>
                <w:tcPr>
                  <w:tcW w:type="dxa" w:w="3288"/>
                  <w:tcMar>
                    <w:top w:w="56" w:type="dxa"/>
                    <w:start w:w="85" w:type="dxa"/>
                    <w:bottom w:w="56" w:type="dxa"/>
                    <w:end w:w="85" w:type="dxa"/>
                  </w:tcMar>
                </w:tcPr>
                <w:p>
                  <w:pPr>
                    <w:spacing w:after="0"/>
                  </w:pPr>
                  <w:r>
                    <w:rPr>
                      <w:rFonts w:ascii="Calibri" w:hAnsi="Calibri" w:cs="Calibri" w:eastAsia="Calibri"/>
                      <w:b w:val="0"/>
                      <w:i w:val="0"/>
                      <w:color w:val="1B2733"/>
                      <w:sz w:val="18"/>
                    </w:rPr>
                    <w:t>Brand clusters identified</w:t>
                  </w:r>
                </w:p>
              </w:tc>
              <w:tc>
                <w:tcPr>
                  <w:tcW w:type="dxa" w:w="4649"/>
                  <w:tcMar>
                    <w:top w:w="56" w:type="dxa"/>
                    <w:start w:w="85" w:type="dxa"/>
                    <w:bottom w:w="56" w:type="dxa"/>
                    <w:end w:w="85" w:type="dxa"/>
                  </w:tcMar>
                </w:tcPr>
                <w:p>
                  <w:pPr>
                    <w:spacing w:after="0"/>
                  </w:pPr>
                  <w:r>
                    <w:rPr>
                      <w:rFonts w:ascii="Calibri" w:hAnsi="Calibri" w:cs="Calibri" w:eastAsia="Calibri"/>
                      <w:b w:val="0"/>
                      <w:i w:val="0"/>
                      <w:color w:val="1B2733"/>
                      <w:sz w:val="18"/>
                    </w:rPr>
                    <w:t>1,533, of which 1,030 hold more than one domain</w:t>
                  </w:r>
                </w:p>
              </w:tc>
            </w:tr>
            <w:tr>
              <w:tc>
                <w:tcPr>
                  <w:tcW w:type="dxa" w:w="3288"/>
                  <w:tcMar>
                    <w:top w:w="56" w:type="dxa"/>
                    <w:start w:w="85" w:type="dxa"/>
                    <w:bottom w:w="56" w:type="dxa"/>
                    <w:end w:w="85" w:type="dxa"/>
                  </w:tcMar>
                </w:tcPr>
                <w:p>
                  <w:pPr>
                    <w:spacing w:after="0"/>
                  </w:pPr>
                  <w:r>
                    <w:rPr>
                      <w:rFonts w:ascii="Calibri" w:hAnsi="Calibri" w:cs="Calibri" w:eastAsia="Calibri"/>
                      <w:b w:val="0"/>
                      <w:i w:val="0"/>
                      <w:color w:val="1B2733"/>
                      <w:sz w:val="18"/>
                    </w:rPr>
                    <w:t>Clusters covering half the gambling URLs</w:t>
                  </w:r>
                </w:p>
              </w:tc>
              <w:tc>
                <w:tcPr>
                  <w:tcW w:type="dxa" w:w="4649"/>
                  <w:tcMar>
                    <w:top w:w="56" w:type="dxa"/>
                    <w:start w:w="85" w:type="dxa"/>
                    <w:bottom w:w="56" w:type="dxa"/>
                    <w:end w:w="85" w:type="dxa"/>
                  </w:tcMar>
                </w:tcPr>
                <w:p>
                  <w:pPr>
                    <w:spacing w:after="0"/>
                  </w:pPr>
                  <w:r>
                    <w:rPr>
                      <w:rFonts w:ascii="Calibri" w:hAnsi="Calibri" w:cs="Calibri" w:eastAsia="Calibri"/>
                      <w:b w:val="0"/>
                      <w:i w:val="0"/>
                      <w:color w:val="1B2733"/>
                      <w:sz w:val="18"/>
                    </w:rPr>
                    <w:t>166</w:t>
                  </w:r>
                </w:p>
              </w:tc>
            </w:tr>
            <w:tr>
              <w:tc>
                <w:tcPr>
                  <w:tcW w:type="dxa" w:w="3288"/>
                  <w:tcMar>
                    <w:top w:w="56" w:type="dxa"/>
                    <w:start w:w="85" w:type="dxa"/>
                    <w:bottom w:w="56" w:type="dxa"/>
                    <w:end w:w="85" w:type="dxa"/>
                  </w:tcMar>
                </w:tcPr>
                <w:p>
                  <w:pPr>
                    <w:spacing w:after="0"/>
                  </w:pPr>
                  <w:r>
                    <w:rPr>
                      <w:rFonts w:ascii="Calibri" w:hAnsi="Calibri" w:cs="Calibri" w:eastAsia="Calibri"/>
                      <w:b w:val="0"/>
                      <w:i w:val="0"/>
                      <w:color w:val="1B2733"/>
                      <w:sz w:val="18"/>
                    </w:rPr>
                    <w:t>Largest brand cluster</w:t>
                  </w:r>
                </w:p>
              </w:tc>
              <w:tc>
                <w:tcPr>
                  <w:tcW w:type="dxa" w:w="4649"/>
                  <w:tcMar>
                    <w:top w:w="56" w:type="dxa"/>
                    <w:start w:w="85" w:type="dxa"/>
                    <w:bottom w:w="56" w:type="dxa"/>
                    <w:end w:w="85" w:type="dxa"/>
                  </w:tcMar>
                </w:tcPr>
                <w:p>
                  <w:pPr>
                    <w:spacing w:after="0"/>
                  </w:pPr>
                  <w:r>
                    <w:rPr>
                      <w:rFonts w:ascii="Calibri" w:hAnsi="Calibri" w:cs="Calibri" w:eastAsia="Calibri"/>
                      <w:b w:val="0"/>
                      <w:i w:val="0"/>
                      <w:color w:val="1B2733"/>
                      <w:sz w:val="18"/>
                    </w:rPr>
                    <w:t>jun  (568 URLs, 4.9% of gambling rows)</w:t>
                  </w:r>
                </w:p>
              </w:tc>
            </w:tr>
            <w:tr>
              <w:tc>
                <w:tcPr>
                  <w:tcW w:type="dxa" w:w="3288"/>
                  <w:tcMar>
                    <w:top w:w="56" w:type="dxa"/>
                    <w:start w:w="85" w:type="dxa"/>
                    <w:bottom w:w="56" w:type="dxa"/>
                    <w:end w:w="85" w:type="dxa"/>
                  </w:tcMar>
                </w:tcPr>
                <w:p>
                  <w:pPr>
                    <w:spacing w:after="0"/>
                  </w:pPr>
                  <w:r>
                    <w:rPr>
                      <w:rFonts w:ascii="Calibri" w:hAnsi="Calibri" w:cs="Calibri" w:eastAsia="Calibri"/>
                      <w:b w:val="0"/>
                      <w:i w:val="0"/>
                      <w:color w:val="1B2733"/>
                      <w:sz w:val="18"/>
                    </w:rPr>
                    <w:t>Dominant product subcategory</w:t>
                  </w:r>
                </w:p>
              </w:tc>
              <w:tc>
                <w:tcPr>
                  <w:tcW w:type="dxa" w:w="4649"/>
                  <w:tcMar>
                    <w:top w:w="56" w:type="dxa"/>
                    <w:start w:w="85" w:type="dxa"/>
                    <w:bottom w:w="56" w:type="dxa"/>
                    <w:end w:w="85" w:type="dxa"/>
                  </w:tcMar>
                </w:tcPr>
                <w:p>
                  <w:pPr>
                    <w:spacing w:after="0"/>
                  </w:pPr>
                  <w:r>
                    <w:rPr>
                      <w:rFonts w:ascii="Calibri" w:hAnsi="Calibri" w:cs="Calibri" w:eastAsia="Calibri"/>
                      <w:b w:val="0"/>
                      <w:i w:val="0"/>
                      <w:color w:val="1B2733"/>
                      <w:sz w:val="18"/>
                    </w:rPr>
                    <w:t>Casino  (3,671, 31.5% of gambling rows)</w:t>
                  </w:r>
                </w:p>
              </w:tc>
            </w:tr>
            <w:tr>
              <w:tc>
                <w:tcPr>
                  <w:tcW w:type="dxa" w:w="3288"/>
                  <w:tcMar>
                    <w:top w:w="56" w:type="dxa"/>
                    <w:start w:w="85" w:type="dxa"/>
                    <w:bottom w:w="56" w:type="dxa"/>
                    <w:end w:w="85" w:type="dxa"/>
                  </w:tcMar>
                </w:tcPr>
                <w:p>
                  <w:pPr>
                    <w:spacing w:after="0"/>
                  </w:pPr>
                  <w:r>
                    <w:rPr>
                      <w:rFonts w:ascii="Calibri" w:hAnsi="Calibri" w:cs="Calibri" w:eastAsia="Calibri"/>
                      <w:b w:val="0"/>
                      <w:i w:val="0"/>
                      <w:color w:val="1B2733"/>
                      <w:sz w:val="18"/>
                    </w:rPr>
                    <w:t>Most common signal tag</w:t>
                  </w:r>
                </w:p>
              </w:tc>
              <w:tc>
                <w:tcPr>
                  <w:tcW w:type="dxa" w:w="4649"/>
                  <w:tcMar>
                    <w:top w:w="56" w:type="dxa"/>
                    <w:start w:w="85" w:type="dxa"/>
                    <w:bottom w:w="56" w:type="dxa"/>
                    <w:end w:w="85" w:type="dxa"/>
                  </w:tcMar>
                </w:tcPr>
                <w:p>
                  <w:pPr>
                    <w:spacing w:after="0"/>
                  </w:pPr>
                  <w:r>
                    <w:rPr>
                      <w:rFonts w:ascii="Calibri" w:hAnsi="Calibri" w:cs="Calibri" w:eastAsia="Calibri"/>
                      <w:b w:val="0"/>
                      <w:i w:val="0"/>
                      <w:color w:val="1B2733"/>
                      <w:sz w:val="18"/>
                    </w:rPr>
                    <w:t>Abbreviations  (3,572, 30.7% of gambling rows)</w:t>
                  </w:r>
                </w:p>
              </w:tc>
            </w:tr>
            <w:tr>
              <w:tc>
                <w:tcPr>
                  <w:tcW w:type="dxa" w:w="3288"/>
                  <w:tcMar>
                    <w:top w:w="56" w:type="dxa"/>
                    <w:start w:w="85" w:type="dxa"/>
                    <w:bottom w:w="56" w:type="dxa"/>
                    <w:end w:w="85" w:type="dxa"/>
                  </w:tcMar>
                </w:tcPr>
                <w:p>
                  <w:pPr>
                    <w:spacing w:after="0"/>
                  </w:pPr>
                  <w:r>
                    <w:rPr>
                      <w:rFonts w:ascii="Calibri" w:hAnsi="Calibri" w:cs="Calibri" w:eastAsia="Calibri"/>
                      <w:b w:val="0"/>
                      <w:i w:val="0"/>
                      <w:color w:val="1B2733"/>
                      <w:sz w:val="18"/>
                    </w:rPr>
                    <w:t>Sites showing blocking indicators</w:t>
                  </w:r>
                </w:p>
              </w:tc>
              <w:tc>
                <w:tcPr>
                  <w:tcW w:type="dxa" w:w="4649"/>
                  <w:tcMar>
                    <w:top w:w="56" w:type="dxa"/>
                    <w:start w:w="85" w:type="dxa"/>
                    <w:bottom w:w="56" w:type="dxa"/>
                    <w:end w:w="85" w:type="dxa"/>
                  </w:tcMar>
                </w:tcPr>
                <w:p>
                  <w:pPr>
                    <w:spacing w:after="0"/>
                  </w:pPr>
                  <w:r>
                    <w:rPr>
                      <w:rFonts w:ascii="Calibri" w:hAnsi="Calibri" w:cs="Calibri" w:eastAsia="Calibri"/>
                      <w:b w:val="0"/>
                      <w:i w:val="0"/>
                      <w:color w:val="1B2733"/>
                      <w:sz w:val="18"/>
                    </w:rPr>
                    <w:t>7</w:t>
                  </w:r>
                </w:p>
              </w:tc>
            </w:tr>
            <w:tr>
              <w:tc>
                <w:tcPr>
                  <w:tcW w:type="dxa" w:w="3288"/>
                  <w:tcMar>
                    <w:top w:w="56" w:type="dxa"/>
                    <w:start w:w="85" w:type="dxa"/>
                    <w:bottom w:w="56" w:type="dxa"/>
                    <w:end w:w="85" w:type="dxa"/>
                  </w:tcMar>
                </w:tcPr>
                <w:p>
                  <w:pPr>
                    <w:spacing w:after="0"/>
                  </w:pPr>
                  <w:r>
                    <w:rPr>
                      <w:rFonts w:ascii="Calibri" w:hAnsi="Calibri" w:cs="Calibri" w:eastAsia="Calibri"/>
                      <w:b w:val="0"/>
                      <w:i w:val="0"/>
                      <w:color w:val="1B2733"/>
                      <w:sz w:val="18"/>
                    </w:rPr>
                    <w:t>Subcategory assignment: keyword versus inferred</w:t>
                  </w:r>
                </w:p>
              </w:tc>
              <w:tc>
                <w:tcPr>
                  <w:tcW w:type="dxa" w:w="4649"/>
                  <w:tcMar>
                    <w:top w:w="56" w:type="dxa"/>
                    <w:start w:w="85" w:type="dxa"/>
                    <w:bottom w:w="56" w:type="dxa"/>
                    <w:end w:w="85" w:type="dxa"/>
                  </w:tcMar>
                </w:tcPr>
                <w:p>
                  <w:pPr>
                    <w:spacing w:after="0"/>
                  </w:pPr>
                  <w:r>
                    <w:rPr>
                      <w:rFonts w:ascii="Calibri" w:hAnsi="Calibri" w:cs="Calibri" w:eastAsia="Calibri"/>
                      <w:b w:val="0"/>
                      <w:i w:val="0"/>
                      <w:color w:val="1B2733"/>
                      <w:sz w:val="18"/>
                    </w:rPr>
                    <w:t>428 by lexicon keyword (3.7%), 11,220 by reasoning inference (96.3%)</w:t>
                  </w:r>
                </w:p>
              </w:tc>
            </w:tr>
          </w:tbl>
          <w:p/>
          <w:p>
            <w:pPr>
              <w:spacing w:after="0"/>
            </w:pPr>
            <w:r>
              <w:rPr>
                <w:rFonts w:ascii="Calibri" w:hAnsi="Calibri" w:cs="Calibri" w:eastAsia="Calibri"/>
                <w:b w:val="0"/>
                <w:i/>
                <w:color w:val="5B6B7B"/>
                <w:sz w:val="16"/>
              </w:rPr>
              <w:t>Table 1 — Headline figures for the estate analysed.</w:t>
            </w:r>
          </w:p>
        </w:tc>
      </w:tr>
    </w:tbl>
    <w:p>
      <w:pPr>
        <w:spacing w:after="60"/>
      </w:pPr>
    </w:p>
    <w:p>
      <w:r>
        <w:br w:type="page"/>
      </w:r>
    </w:p>
    <w:p>
      <w:bookmarkStart w:id="1004" w:name="c1004"/>
      <w:pPr>
        <w:pStyle w:val="Heading1"/>
      </w:pPr>
      <w:bookmarkEnd w:id="1004"/>
      <w:r>
        <w:rPr>
          <w:rFonts w:ascii="Calibri" w:hAnsi="Calibri" w:cs="Calibri" w:eastAsia="Calibri"/>
          <w:b/>
          <w:i w:val="0"/>
          <w:color w:val="1F3F63"/>
          <w:sz w:val="34"/>
        </w:rPr>
        <w:t>Model Insights</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05" w:name="c1005"/>
            <w:pPr>
              <w:keepNext/>
              <w:keepLines/>
              <w:spacing w:after="60"/>
            </w:pPr>
            <w:bookmarkEnd w:id="1005"/>
            <w:r>
              <w:rPr>
                <w:rFonts w:ascii="Calibri" w:hAnsi="Calibri" w:cs="Calibri" w:eastAsia="Calibri"/>
                <w:b/>
                <w:i w:val="0"/>
                <w:color w:val="1F3F63"/>
                <w:sz w:val="26"/>
              </w:rPr>
              <w:t>Introduction</w:t>
            </w:r>
          </w:p>
          <w:p>
            <w:pPr>
              <w:spacing w:after="120"/>
            </w:pPr>
            <w:r>
              <w:rPr>
                <w:rFonts w:ascii="Calibri" w:hAnsi="Calibri" w:cs="Calibri" w:eastAsia="Calibri"/>
                <w:b w:val="0"/>
                <w:i w:val="0"/>
                <w:color w:val="1B2733"/>
                <w:sz w:val="20"/>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tbl>
            <w:tblPr>
              <w:tblW w:type="auto" w:w="0"/>
              <w:tblLayout w:type="fixed"/>
              <w:tblLook w:firstColumn="1" w:firstRow="1" w:lastColumn="0" w:lastRow="0" w:noHBand="0" w:noVBand="1" w:val="04A0"/>
              <w:tblBorders>
                <w:top w:val="single" w:sz="4" w:space="0" w:color="E3E9EF"/>
                <w:left w:val="single" w:sz="4" w:space="0" w:color="E3E9EF"/>
                <w:bottom w:val="single" w:sz="4" w:space="0" w:color="E3E9EF"/>
                <w:right w:val="single" w:sz="4" w:space="0" w:color="E3E9EF"/>
                <w:insideH w:val="single" w:sz="4" w:space="0" w:color="E3E9EF"/>
                <w:insideV w:val="single" w:sz="4" w:space="0" w:color="E3E9EF"/>
              </w:tblBorders>
              <w:tblLayout w:type="fixed"/>
              <w:tblW w:w="8618" w:type="dxa"/>
            </w:tblPr>
            <w:tblGrid>
              <w:gridCol w:w="8617"/>
            </w:tblGrid>
            <w:tr>
              <w:tc>
                <w:tcPr>
                  <w:tcW w:type="dxa" w:w="8617"/>
                  <w:shd w:val="clear" w:color="auto" w:fill="FAFBFC"/>
                  <w:tcMar>
                    <w:top w:w="113" w:type="dxa"/>
                    <w:start w:w="113" w:type="dxa"/>
                    <w:bottom w:w="113" w:type="dxa"/>
                    <w:end w:w="113" w:type="dxa"/>
                  </w:tcMar>
                </w:tcPr>
                <w:p>
                  <w:pPr>
                    <w:spacing w:after="0"/>
                  </w:pP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tc>
            </w:tr>
          </w:tbl>
          <w:p/>
          <w:p>
            <w:pPr>
              <w:spacing w:after="0"/>
            </w:pP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06" w:name="c1006"/>
            <w:pPr>
              <w:keepNext/>
              <w:keepLines/>
              <w:spacing w:after="60"/>
            </w:pPr>
            <w:bookmarkEnd w:id="1006"/>
            <w:r>
              <w:rPr>
                <w:rFonts w:ascii="Calibri" w:hAnsi="Calibri" w:cs="Calibri" w:eastAsia="Calibri"/>
                <w:b/>
                <w:i w:val="0"/>
                <w:color w:val="1F3F63"/>
                <w:sz w:val="26"/>
              </w:rPr>
              <w:t>Executive Summary</w:t>
            </w:r>
          </w:p>
          <w:tbl>
            <w:tblPr>
              <w:tblW w:type="auto" w:w="0"/>
              <w:tblLayout w:type="fixed"/>
              <w:tblLook w:firstColumn="1" w:firstRow="1" w:lastColumn="0" w:lastRow="0" w:noHBand="0" w:noVBand="1" w:val="04A0"/>
              <w:tblBorders>
                <w:top w:val="single" w:sz="4" w:space="0" w:color="E3E9EF"/>
                <w:left w:val="single" w:sz="4" w:space="0" w:color="E3E9EF"/>
                <w:bottom w:val="single" w:sz="4" w:space="0" w:color="E3E9EF"/>
                <w:right w:val="single" w:sz="4" w:space="0" w:color="E3E9EF"/>
                <w:insideH w:val="single" w:sz="4" w:space="0" w:color="E3E9EF"/>
                <w:insideV w:val="single" w:sz="4" w:space="0" w:color="E3E9EF"/>
              </w:tblBorders>
              <w:tblLayout w:type="fixed"/>
              <w:tblW w:w="8618" w:type="dxa"/>
            </w:tblPr>
            <w:tblGrid>
              <w:gridCol w:w="8617"/>
            </w:tblGrid>
            <w:tr>
              <w:tc>
                <w:tcPr>
                  <w:tcW w:type="dxa" w:w="8617"/>
                  <w:shd w:val="clear" w:color="auto" w:fill="FAFBFC"/>
                  <w:tcMar>
                    <w:top w:w="113" w:type="dxa"/>
                    <w:start w:w="113" w:type="dxa"/>
                    <w:bottom w:w="113" w:type="dxa"/>
                    <w:end w:w="113" w:type="dxa"/>
                  </w:tcMar>
                </w:tcPr>
                <w:p>
                  <w:pPr>
                    <w:spacing w:after="0"/>
                  </w:pP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tc>
            </w:tr>
          </w:tbl>
          <w:p/>
          <w:p>
            <w:pPr>
              <w:spacing w:after="0"/>
            </w:pP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07" w:name="c1007"/>
            <w:pPr>
              <w:keepNext/>
              <w:keepLines/>
              <w:spacing w:after="60"/>
            </w:pPr>
            <w:bookmarkEnd w:id="1007"/>
            <w:r>
              <w:rPr>
                <w:rFonts w:ascii="Calibri" w:hAnsi="Calibri" w:cs="Calibri" w:eastAsia="Calibri"/>
                <w:b/>
                <w:i w:val="0"/>
                <w:color w:val="1F3F63"/>
                <w:sz w:val="26"/>
              </w:rPr>
              <w:t>Overall and per class results</w:t>
            </w:r>
          </w:p>
          <w:tbl>
            <w:tblPr>
              <w:tblW w:type="auto" w:w="0"/>
              <w:tblLayout w:type="fixed"/>
              <w:tblLook w:firstColumn="1" w:firstRow="1" w:lastColumn="0" w:lastRow="0" w:noHBand="0" w:noVBand="1" w:val="04A0"/>
              <w:tblBorders>
                <w:top w:val="single" w:sz="4" w:space="0" w:color="E3E9EF"/>
                <w:left w:val="single" w:sz="4" w:space="0" w:color="E3E9EF"/>
                <w:bottom w:val="single" w:sz="4" w:space="0" w:color="E3E9EF"/>
                <w:right w:val="single" w:sz="4" w:space="0" w:color="E3E9EF"/>
                <w:insideH w:val="single" w:sz="4" w:space="0" w:color="E3E9EF"/>
                <w:insideV w:val="single" w:sz="4" w:space="0" w:color="E3E9EF"/>
              </w:tblBorders>
              <w:tblLayout w:type="fixed"/>
              <w:tblW w:w="8618" w:type="dxa"/>
            </w:tblPr>
            <w:tblGrid>
              <w:gridCol w:w="8617"/>
            </w:tblGrid>
            <w:tr>
              <w:tc>
                <w:tcPr>
                  <w:tcW w:type="dxa" w:w="8617"/>
                  <w:shd w:val="clear" w:color="auto" w:fill="FAFBFC"/>
                  <w:tcMar>
                    <w:top w:w="113" w:type="dxa"/>
                    <w:start w:w="113" w:type="dxa"/>
                    <w:bottom w:w="113" w:type="dxa"/>
                    <w:end w:w="113" w:type="dxa"/>
                  </w:tcMar>
                </w:tcPr>
                <w:p>
                  <w:pPr>
                    <w:spacing w:after="0"/>
                  </w:pP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tc>
            </w:tr>
          </w:tbl>
          <w:p/>
          <w:p>
            <w:pPr>
              <w:spacing w:after="0"/>
            </w:pP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08" w:name="c1008"/>
            <w:pPr>
              <w:keepNext/>
              <w:keepLines/>
              <w:spacing w:after="60"/>
            </w:pPr>
            <w:bookmarkEnd w:id="1008"/>
            <w:r>
              <w:rPr>
                <w:rFonts w:ascii="Calibri" w:hAnsi="Calibri" w:cs="Calibri" w:eastAsia="Calibri"/>
                <w:b/>
                <w:i w:val="0"/>
                <w:color w:val="1F3F63"/>
                <w:sz w:val="26"/>
              </w:rPr>
              <w:t>Error Analysis</w:t>
            </w:r>
          </w:p>
          <w:tbl>
            <w:tblPr>
              <w:tblW w:type="auto" w:w="0"/>
              <w:tblLayout w:type="fixed"/>
              <w:tblLook w:firstColumn="1" w:firstRow="1" w:lastColumn="0" w:lastRow="0" w:noHBand="0" w:noVBand="1" w:val="04A0"/>
              <w:tblBorders>
                <w:top w:val="single" w:sz="4" w:space="0" w:color="E3E9EF"/>
                <w:left w:val="single" w:sz="4" w:space="0" w:color="E3E9EF"/>
                <w:bottom w:val="single" w:sz="4" w:space="0" w:color="E3E9EF"/>
                <w:right w:val="single" w:sz="4" w:space="0" w:color="E3E9EF"/>
                <w:insideH w:val="single" w:sz="4" w:space="0" w:color="E3E9EF"/>
                <w:insideV w:val="single" w:sz="4" w:space="0" w:color="E3E9EF"/>
              </w:tblBorders>
              <w:tblLayout w:type="fixed"/>
              <w:tblW w:w="8618" w:type="dxa"/>
            </w:tblPr>
            <w:tblGrid>
              <w:gridCol w:w="8617"/>
            </w:tblGrid>
            <w:tr>
              <w:tc>
                <w:tcPr>
                  <w:tcW w:type="dxa" w:w="8617"/>
                  <w:shd w:val="clear" w:color="auto" w:fill="FAFBFC"/>
                  <w:tcMar>
                    <w:top w:w="113" w:type="dxa"/>
                    <w:start w:w="113" w:type="dxa"/>
                    <w:bottom w:w="113" w:type="dxa"/>
                    <w:end w:w="113" w:type="dxa"/>
                  </w:tcMar>
                </w:tcPr>
                <w:p>
                  <w:pPr>
                    <w:spacing w:after="0"/>
                  </w:pP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tc>
            </w:tr>
          </w:tbl>
          <w:p/>
          <w:p>
            <w:pPr>
              <w:spacing w:after="0"/>
            </w:pP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09" w:name="c1009"/>
            <w:pPr>
              <w:keepNext/>
              <w:keepLines/>
              <w:spacing w:after="60"/>
            </w:pPr>
            <w:bookmarkEnd w:id="1009"/>
            <w:r>
              <w:rPr>
                <w:rFonts w:ascii="Calibri" w:hAnsi="Calibri" w:cs="Calibri" w:eastAsia="Calibri"/>
                <w:b/>
                <w:i w:val="0"/>
                <w:color w:val="1F3F63"/>
                <w:sz w:val="26"/>
              </w:rPr>
              <w:t>Segments and Confidence</w:t>
            </w:r>
          </w:p>
          <w:tbl>
            <w:tblPr>
              <w:tblW w:type="auto" w:w="0"/>
              <w:tblLayout w:type="fixed"/>
              <w:tblLook w:firstColumn="1" w:firstRow="1" w:lastColumn="0" w:lastRow="0" w:noHBand="0" w:noVBand="1" w:val="04A0"/>
              <w:tblBorders>
                <w:top w:val="single" w:sz="4" w:space="0" w:color="E3E9EF"/>
                <w:left w:val="single" w:sz="4" w:space="0" w:color="E3E9EF"/>
                <w:bottom w:val="single" w:sz="4" w:space="0" w:color="E3E9EF"/>
                <w:right w:val="single" w:sz="4" w:space="0" w:color="E3E9EF"/>
                <w:insideH w:val="single" w:sz="4" w:space="0" w:color="E3E9EF"/>
                <w:insideV w:val="single" w:sz="4" w:space="0" w:color="E3E9EF"/>
              </w:tblBorders>
              <w:tblLayout w:type="fixed"/>
              <w:tblW w:w="8618" w:type="dxa"/>
            </w:tblPr>
            <w:tblGrid>
              <w:gridCol w:w="8617"/>
            </w:tblGrid>
            <w:tr>
              <w:tc>
                <w:tcPr>
                  <w:tcW w:type="dxa" w:w="8617"/>
                  <w:shd w:val="clear" w:color="auto" w:fill="FAFBFC"/>
                  <w:tcMar>
                    <w:top w:w="113" w:type="dxa"/>
                    <w:start w:w="113" w:type="dxa"/>
                    <w:bottom w:w="113" w:type="dxa"/>
                    <w:end w:w="113" w:type="dxa"/>
                  </w:tcMar>
                </w:tcPr>
                <w:p>
                  <w:pPr>
                    <w:spacing w:after="0"/>
                  </w:pP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p>
                  <w:pPr>
                    <w:spacing w:after="0"/>
                  </w:pPr>
                  <w:r>
                    <w:rPr>
                      <w:rFonts w:ascii="Calibri" w:hAnsi="Calibri" w:cs="Calibri" w:eastAsia="Calibri"/>
                      <w:b w:val="0"/>
                      <w:i w:val="0"/>
                      <w:color w:val="1B2733"/>
                      <w:sz w:val="20"/>
                    </w:rPr>
                  </w:r>
                </w:p>
              </w:tc>
            </w:tr>
          </w:tbl>
          <w:p/>
          <w:p>
            <w:pPr>
              <w:spacing w:after="0"/>
            </w:pPr>
          </w:p>
        </w:tc>
      </w:tr>
    </w:tbl>
    <w:p>
      <w:pPr>
        <w:spacing w:after="60"/>
      </w:pPr>
    </w:p>
    <w:p>
      <w:r>
        <w:br w:type="page"/>
      </w:r>
    </w:p>
    <w:p>
      <w:bookmarkStart w:id="1010" w:name="c1010"/>
      <w:pPr>
        <w:pStyle w:val="Heading1"/>
      </w:pPr>
      <w:bookmarkEnd w:id="1010"/>
      <w:r>
        <w:rPr>
          <w:rFonts w:ascii="Calibri" w:hAnsi="Calibri" w:cs="Calibri" w:eastAsia="Calibri"/>
          <w:b/>
          <w:i w:val="0"/>
          <w:color w:val="1F3F63"/>
          <w:sz w:val="34"/>
        </w:rPr>
        <w:t>Data Analysis</w:t>
      </w:r>
    </w:p>
    <w:p>
      <w:bookmarkStart w:id="1011" w:name="c1011"/>
      <w:pPr>
        <w:pStyle w:val="Heading2"/>
      </w:pPr>
      <w:bookmarkEnd w:id="1011"/>
      <w:r>
        <w:rPr>
          <w:rFonts w:ascii="Calibri" w:hAnsi="Calibri" w:cs="Calibri" w:eastAsia="Calibri"/>
          <w:b/>
          <w:i w:val="0"/>
          <w:color w:val="1F3F63"/>
          <w:sz w:val="26"/>
        </w:rPr>
        <w:t>10 most prominent gambling sites in Thailand</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12" w:name="c1012"/>
            <w:pPr>
              <w:keepNext/>
              <w:keepLines/>
              <w:spacing w:after="60"/>
            </w:pPr>
            <w:bookmarkEnd w:id="1012"/>
            <w:r>
              <w:rPr>
                <w:rFonts w:ascii="Calibri" w:hAnsi="Calibri" w:cs="Calibri" w:eastAsia="Calibri"/>
                <w:b/>
                <w:i w:val="0"/>
                <w:color w:val="1B2733"/>
                <w:sz w:val="22"/>
              </w:rPr>
              <w:t>10 most prominent gambling sites in Thailand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938" w:type="dxa"/>
            </w:tblPr>
            <w:tblGrid>
              <w:gridCol w:w="680"/>
              <w:gridCol w:w="1361"/>
              <w:gridCol w:w="1134"/>
              <w:gridCol w:w="850"/>
              <w:gridCol w:w="1020"/>
              <w:gridCol w:w="1587"/>
              <w:gridCol w:w="1304"/>
            </w:tblGrid>
            <w:tr>
              <w:tc>
                <w:tcPr>
                  <w:tcW w:type="dxa" w:w="680"/>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4"/>
                    </w:rPr>
                    <w:t>Rank</w:t>
                  </w:r>
                </w:p>
              </w:tc>
              <w:tc>
                <w:tcPr>
                  <w:tcW w:type="dxa" w:w="136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4"/>
                    </w:rPr>
                    <w:t>URL</w:t>
                  </w:r>
                </w:p>
              </w:tc>
              <w:tc>
                <w:tcPr>
                  <w:tcW w:type="dxa" w:w="1134"/>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4"/>
                    </w:rPr>
                    <w:t>Domain</w:t>
                  </w:r>
                </w:p>
              </w:tc>
              <w:tc>
                <w:tcPr>
                  <w:tcW w:type="dxa" w:w="850"/>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4"/>
                    </w:rPr>
                    <w:t>Brand cluster</w:t>
                  </w:r>
                </w:p>
              </w:tc>
              <w:tc>
                <w:tcPr>
                  <w:tcW w:type="dxa" w:w="1020"/>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4"/>
                    </w:rPr>
                    <w:t>Subcategory</w:t>
                  </w:r>
                </w:p>
              </w:tc>
              <w:tc>
                <w:tcPr>
                  <w:tcW w:type="dxa" w:w="1587"/>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4"/>
                    </w:rPr>
                    <w:t>Thai-targeting evidence</w:t>
                  </w:r>
                </w:p>
              </w:tc>
              <w:tc>
                <w:tcPr>
                  <w:tcW w:type="dxa" w:w="1304"/>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4"/>
                    </w:rPr>
                    <w:t>Source</w:t>
                  </w:r>
                </w:p>
              </w:tc>
            </w:tr>
            <w:tr>
              <w:tc>
                <w:tcPr>
                  <w:tcW w:type="dxa" w:w="680"/>
                  <w:tcMar>
                    <w:top w:w="56" w:type="dxa"/>
                    <w:start w:w="85" w:type="dxa"/>
                    <w:bottom w:w="56" w:type="dxa"/>
                    <w:end w:w="85" w:type="dxa"/>
                  </w:tcMar>
                </w:tcPr>
                <w:p>
                  <w:pPr>
                    <w:spacing w:after="0"/>
                  </w:pPr>
                  <w:r>
                    <w:rPr>
                      <w:rFonts w:ascii="Calibri" w:hAnsi="Calibri" w:cs="Calibri" w:eastAsia="Calibri"/>
                      <w:b w:val="0"/>
                      <w:i w:val="0"/>
                      <w:color w:val="1B2733"/>
                      <w:sz w:val="15"/>
                    </w:rPr>
                    <w:t>221,001</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5"/>
                    </w:rPr>
                    <w:t>https://suriyathai.net/</w:t>
                  </w:r>
                </w:p>
              </w:tc>
              <w:tc>
                <w:tcPr>
                  <w:tcW w:type="dxa" w:w="1134"/>
                  <w:tcMar>
                    <w:top w:w="56" w:type="dxa"/>
                    <w:start w:w="85" w:type="dxa"/>
                    <w:bottom w:w="56" w:type="dxa"/>
                    <w:end w:w="85" w:type="dxa"/>
                  </w:tcMar>
                </w:tcPr>
                <w:p>
                  <w:pPr>
                    <w:spacing w:after="0"/>
                  </w:pPr>
                  <w:r>
                    <w:rPr>
                      <w:rFonts w:ascii="Calibri" w:hAnsi="Calibri" w:cs="Calibri" w:eastAsia="Calibri"/>
                      <w:b w:val="0"/>
                      <w:i w:val="0"/>
                      <w:color w:val="1B2733"/>
                      <w:sz w:val="15"/>
                    </w:rPr>
                    <w:t>suriyathai.net</w:t>
                  </w:r>
                </w:p>
              </w:tc>
              <w:tc>
                <w:tcPr>
                  <w:tcW w:type="dxa" w:w="850"/>
                  <w:tcMar>
                    <w:top w:w="56" w:type="dxa"/>
                    <w:start w:w="85" w:type="dxa"/>
                    <w:bottom w:w="56" w:type="dxa"/>
                    <w:end w:w="85" w:type="dxa"/>
                  </w:tcMar>
                </w:tcPr>
                <w:p>
                  <w:pPr>
                    <w:spacing w:after="0"/>
                  </w:pPr>
                  <w:r>
                    <w:rPr>
                      <w:rFonts w:ascii="Calibri" w:hAnsi="Calibri" w:cs="Calibri" w:eastAsia="Calibri"/>
                      <w:b w:val="0"/>
                      <w:i w:val="0"/>
                      <w:color w:val="1B2733"/>
                      <w:sz w:val="15"/>
                    </w:rPr>
                    <w:t>suriya</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5"/>
                    </w:rPr>
                    <w:t>General Gambling</w:t>
                  </w:r>
                </w:p>
              </w:tc>
              <w:tc>
                <w:tcPr>
                  <w:tcW w:type="dxa" w:w="1587"/>
                  <w:tcMar>
                    <w:top w:w="56" w:type="dxa"/>
                    <w:start w:w="85" w:type="dxa"/>
                    <w:bottom w:w="56" w:type="dxa"/>
                    <w:end w:w="85" w:type="dxa"/>
                  </w:tcMar>
                </w:tcPr>
                <w:p>
                  <w:pPr>
                    <w:spacing w:after="0"/>
                  </w:pPr>
                  <w:r>
                    <w:rPr>
                      <w:rFonts w:ascii="Calibri" w:hAnsi="Calibri" w:cs="Calibri" w:eastAsia="Calibri"/>
                      <w:b w:val="0"/>
                      <w:i w:val="0"/>
                      <w:color w:val="1B2733"/>
                      <w:sz w:val="15"/>
                    </w:rPr>
                    <w:t xml:space="preserve">Thai script: </w:t>
                  </w:r>
                  <w:r>
                    <w:rPr>
                      <w:rFonts w:ascii="Leelawadee UI" w:hAnsi="Leelawadee UI" w:cs="Leelawadee UI" w:eastAsia="Leelawadee UI"/>
                      <w:b w:val="0"/>
                      <w:i w:val="0"/>
                      <w:color w:val="1B2733"/>
                      <w:sz w:val="15"/>
                    </w:rPr>
                    <w:t>สมัครสมาชิก</w:t>
                  </w:r>
                </w:p>
              </w:tc>
              <w:tc>
                <w:tcPr>
                  <w:tcW w:type="dxa" w:w="1304"/>
                  <w:tcMar>
                    <w:top w:w="56" w:type="dxa"/>
                    <w:start w:w="85" w:type="dxa"/>
                    <w:bottom w:w="56" w:type="dxa"/>
                    <w:end w:w="85" w:type="dxa"/>
                  </w:tcMar>
                </w:tcPr>
                <w:p>
                  <w:pPr>
                    <w:spacing w:after="0"/>
                  </w:pPr>
                  <w:r>
                    <w:rPr>
                      <w:rFonts w:ascii="Calibri" w:hAnsi="Calibri" w:cs="Calibri" w:eastAsia="Calibri"/>
                      <w:b w:val="0"/>
                      <w:i w:val="0"/>
                      <w:color w:val="1B2733"/>
                      <w:sz w:val="15"/>
                    </w:rPr>
                    <w:t>Manual</w:t>
                  </w:r>
                </w:p>
              </w:tc>
            </w:tr>
            <w:tr>
              <w:tc>
                <w:tcPr>
                  <w:tcW w:type="dxa" w:w="680"/>
                  <w:tcMar>
                    <w:top w:w="56" w:type="dxa"/>
                    <w:start w:w="85" w:type="dxa"/>
                    <w:bottom w:w="56" w:type="dxa"/>
                    <w:end w:w="85" w:type="dxa"/>
                  </w:tcMar>
                </w:tcPr>
                <w:p>
                  <w:pPr>
                    <w:spacing w:after="0"/>
                  </w:pPr>
                  <w:r>
                    <w:rPr>
                      <w:rFonts w:ascii="Calibri" w:hAnsi="Calibri" w:cs="Calibri" w:eastAsia="Calibri"/>
                      <w:b w:val="0"/>
                      <w:i w:val="0"/>
                      <w:color w:val="1B2733"/>
                      <w:sz w:val="15"/>
                    </w:rPr>
                    <w:t>733,816</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5"/>
                    </w:rPr>
                    <w:t>https://707jili.com/</w:t>
                  </w:r>
                </w:p>
              </w:tc>
              <w:tc>
                <w:tcPr>
                  <w:tcW w:type="dxa" w:w="1134"/>
                  <w:tcMar>
                    <w:top w:w="56" w:type="dxa"/>
                    <w:start w:w="85" w:type="dxa"/>
                    <w:bottom w:w="56" w:type="dxa"/>
                    <w:end w:w="85" w:type="dxa"/>
                  </w:tcMar>
                </w:tcPr>
                <w:p>
                  <w:pPr>
                    <w:spacing w:after="0"/>
                  </w:pPr>
                  <w:r>
                    <w:rPr>
                      <w:rFonts w:ascii="Calibri" w:hAnsi="Calibri" w:cs="Calibri" w:eastAsia="Calibri"/>
                      <w:b w:val="0"/>
                      <w:i w:val="0"/>
                      <w:color w:val="1B2733"/>
                      <w:sz w:val="15"/>
                    </w:rPr>
                    <w:t>707jili.com</w:t>
                  </w:r>
                </w:p>
              </w:tc>
              <w:tc>
                <w:tcPr>
                  <w:tcW w:type="dxa" w:w="850"/>
                  <w:tcMar>
                    <w:top w:w="56" w:type="dxa"/>
                    <w:start w:w="85" w:type="dxa"/>
                    <w:bottom w:w="56" w:type="dxa"/>
                    <w:end w:w="85" w:type="dxa"/>
                  </w:tcMar>
                </w:tcPr>
                <w:p>
                  <w:pPr>
                    <w:spacing w:after="0"/>
                  </w:pPr>
                  <w:r>
                    <w:rPr>
                      <w:rFonts w:ascii="Calibri" w:hAnsi="Calibri" w:cs="Calibri" w:eastAsia="Calibri"/>
                      <w:b w:val="0"/>
                      <w:i w:val="0"/>
                      <w:color w:val="1B2733"/>
                      <w:sz w:val="15"/>
                    </w:rPr>
                    <w:t>707jili</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5"/>
                    </w:rPr>
                    <w:t>Slots</w:t>
                  </w:r>
                </w:p>
              </w:tc>
              <w:tc>
                <w:tcPr>
                  <w:tcW w:type="dxa" w:w="1587"/>
                  <w:tcMar>
                    <w:top w:w="56" w:type="dxa"/>
                    <w:start w:w="85" w:type="dxa"/>
                    <w:bottom w:w="56" w:type="dxa"/>
                    <w:end w:w="85" w:type="dxa"/>
                  </w:tcMar>
                </w:tcPr>
                <w:p>
                  <w:pPr>
                    <w:spacing w:after="0"/>
                  </w:pPr>
                  <w:r>
                    <w:rPr>
                      <w:rFonts w:ascii="Calibri" w:hAnsi="Calibri" w:cs="Calibri" w:eastAsia="Calibri"/>
                      <w:b w:val="0"/>
                      <w:i w:val="0"/>
                      <w:color w:val="1B2733"/>
                      <w:sz w:val="15"/>
                    </w:rPr>
                    <w:t xml:space="preserve">Thai script: </w:t>
                  </w:r>
                  <w:r>
                    <w:rPr>
                      <w:rFonts w:ascii="Leelawadee UI" w:hAnsi="Leelawadee UI" w:cs="Leelawadee UI" w:eastAsia="Leelawadee UI"/>
                      <w:b w:val="0"/>
                      <w:i w:val="0"/>
                      <w:color w:val="1B2733"/>
                      <w:sz w:val="15"/>
                    </w:rPr>
                    <w:t>สล็อตออนไลน์</w:t>
                  </w:r>
                  <w:r>
                    <w:rPr>
                      <w:rFonts w:ascii="Calibri" w:hAnsi="Calibri" w:cs="Calibri" w:eastAsia="Calibri"/>
                      <w:b w:val="0"/>
                      <w:i w:val="0"/>
                      <w:color w:val="1B2733"/>
                      <w:sz w:val="15"/>
                    </w:rPr>
                    <w:t xml:space="preserve"> </w:t>
                  </w:r>
                  <w:r>
                    <w:rPr>
                      <w:rFonts w:ascii="Leelawadee UI" w:hAnsi="Leelawadee UI" w:cs="Leelawadee UI" w:eastAsia="Leelawadee UI"/>
                      <w:b w:val="0"/>
                      <w:i w:val="0"/>
                      <w:color w:val="1B2733"/>
                      <w:sz w:val="15"/>
                    </w:rPr>
                    <w:t>สล็อตเว็บตรง</w:t>
                  </w:r>
                </w:p>
              </w:tc>
              <w:tc>
                <w:tcPr>
                  <w:tcW w:type="dxa" w:w="1304"/>
                  <w:tcMar>
                    <w:top w:w="56" w:type="dxa"/>
                    <w:start w:w="85" w:type="dxa"/>
                    <w:bottom w:w="56" w:type="dxa"/>
                    <w:end w:w="85" w:type="dxa"/>
                  </w:tcMar>
                </w:tcPr>
                <w:p>
                  <w:pPr>
                    <w:spacing w:after="0"/>
                  </w:pPr>
                  <w:r>
                    <w:rPr>
                      <w:rFonts w:ascii="Calibri" w:hAnsi="Calibri" w:cs="Calibri" w:eastAsia="Calibri"/>
                      <w:b w:val="0"/>
                      <w:i w:val="0"/>
                      <w:color w:val="1B2733"/>
                      <w:sz w:val="15"/>
                    </w:rPr>
                    <w:t>Variant · referrer: 707jili.vip</w:t>
                  </w:r>
                </w:p>
              </w:tc>
            </w:tr>
            <w:tr>
              <w:tc>
                <w:tcPr>
                  <w:tcW w:type="dxa" w:w="680"/>
                  <w:tcMar>
                    <w:top w:w="56" w:type="dxa"/>
                    <w:start w:w="85" w:type="dxa"/>
                    <w:bottom w:w="56" w:type="dxa"/>
                    <w:end w:w="85" w:type="dxa"/>
                  </w:tcMar>
                </w:tcPr>
                <w:p>
                  <w:pPr>
                    <w:spacing w:after="0"/>
                  </w:pPr>
                  <w:r>
                    <w:rPr>
                      <w:rFonts w:ascii="Calibri" w:hAnsi="Calibri" w:cs="Calibri" w:eastAsia="Calibri"/>
                      <w:b w:val="0"/>
                      <w:i w:val="0"/>
                      <w:color w:val="1B2733"/>
                      <w:sz w:val="15"/>
                    </w:rPr>
                    <w:t>739,727</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5"/>
                    </w:rPr>
                    <w:t>https://play-tga.net/</w:t>
                  </w:r>
                </w:p>
              </w:tc>
              <w:tc>
                <w:tcPr>
                  <w:tcW w:type="dxa" w:w="1134"/>
                  <w:tcMar>
                    <w:top w:w="56" w:type="dxa"/>
                    <w:start w:w="85" w:type="dxa"/>
                    <w:bottom w:w="56" w:type="dxa"/>
                    <w:end w:w="85" w:type="dxa"/>
                  </w:tcMar>
                </w:tcPr>
                <w:p>
                  <w:pPr>
                    <w:spacing w:after="0"/>
                  </w:pPr>
                  <w:r>
                    <w:rPr>
                      <w:rFonts w:ascii="Calibri" w:hAnsi="Calibri" w:cs="Calibri" w:eastAsia="Calibri"/>
                      <w:b w:val="0"/>
                      <w:i w:val="0"/>
                      <w:color w:val="1B2733"/>
                      <w:sz w:val="15"/>
                    </w:rPr>
                    <w:t>play-tga.net</w:t>
                  </w:r>
                </w:p>
              </w:tc>
              <w:tc>
                <w:tcPr>
                  <w:tcW w:type="dxa" w:w="850"/>
                  <w:tcMar>
                    <w:top w:w="56" w:type="dxa"/>
                    <w:start w:w="85" w:type="dxa"/>
                    <w:bottom w:w="56" w:type="dxa"/>
                    <w:end w:w="85" w:type="dxa"/>
                  </w:tcMar>
                </w:tcPr>
                <w:p>
                  <w:pPr>
                    <w:spacing w:after="0"/>
                  </w:pPr>
                  <w:r>
                    <w:rPr>
                      <w:rFonts w:ascii="Calibri" w:hAnsi="Calibri" w:cs="Calibri" w:eastAsia="Calibri"/>
                      <w:b w:val="0"/>
                      <w:i w:val="0"/>
                      <w:color w:val="1B2733"/>
                      <w:sz w:val="15"/>
                    </w:rPr>
                    <w:t>playtga</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5"/>
                    </w:rPr>
                    <w:t>Slots</w:t>
                  </w:r>
                </w:p>
              </w:tc>
              <w:tc>
                <w:tcPr>
                  <w:tcW w:type="dxa" w:w="1587"/>
                  <w:tcMar>
                    <w:top w:w="56" w:type="dxa"/>
                    <w:start w:w="85" w:type="dxa"/>
                    <w:bottom w:w="56" w:type="dxa"/>
                    <w:end w:w="85" w:type="dxa"/>
                  </w:tcMar>
                </w:tcPr>
                <w:p>
                  <w:pPr>
                    <w:spacing w:after="0"/>
                  </w:pPr>
                  <w:r>
                    <w:rPr>
                      <w:rFonts w:ascii="Calibri" w:hAnsi="Calibri" w:cs="Calibri" w:eastAsia="Calibri"/>
                      <w:b w:val="0"/>
                      <w:i w:val="0"/>
                      <w:color w:val="1B2733"/>
                      <w:sz w:val="15"/>
                    </w:rPr>
                    <w:t xml:space="preserve">Thai script: </w:t>
                  </w:r>
                  <w:r>
                    <w:rPr>
                      <w:rFonts w:ascii="Leelawadee UI" w:hAnsi="Leelawadee UI" w:cs="Leelawadee UI" w:eastAsia="Leelawadee UI"/>
                      <w:b w:val="0"/>
                      <w:i w:val="0"/>
                      <w:color w:val="1B2733"/>
                      <w:sz w:val="15"/>
                    </w:rPr>
                    <w:t>รับโบนัสทุกวัน</w:t>
                  </w:r>
                </w:p>
              </w:tc>
              <w:tc>
                <w:tcPr>
                  <w:tcW w:type="dxa" w:w="1304"/>
                  <w:tcMar>
                    <w:top w:w="56" w:type="dxa"/>
                    <w:start w:w="85" w:type="dxa"/>
                    <w:bottom w:w="56" w:type="dxa"/>
                    <w:end w:w="85" w:type="dxa"/>
                  </w:tcMar>
                </w:tcPr>
                <w:p>
                  <w:pPr>
                    <w:spacing w:after="0"/>
                  </w:pPr>
                  <w:r>
                    <w:rPr>
                      <w:rFonts w:ascii="Calibri" w:hAnsi="Calibri" w:cs="Calibri" w:eastAsia="Calibri"/>
                      <w:b w:val="0"/>
                      <w:i w:val="0"/>
                      <w:color w:val="1B2733"/>
                      <w:sz w:val="15"/>
                    </w:rPr>
                    <w:t>Manual</w:t>
                  </w:r>
                </w:p>
              </w:tc>
            </w:tr>
            <w:tr>
              <w:tc>
                <w:tcPr>
                  <w:tcW w:type="dxa" w:w="680"/>
                  <w:tcMar>
                    <w:top w:w="56" w:type="dxa"/>
                    <w:start w:w="85" w:type="dxa"/>
                    <w:bottom w:w="56" w:type="dxa"/>
                    <w:end w:w="85" w:type="dxa"/>
                  </w:tcMar>
                </w:tcPr>
                <w:p>
                  <w:pPr>
                    <w:spacing w:after="0"/>
                  </w:pPr>
                  <w:r>
                    <w:rPr>
                      <w:rFonts w:ascii="Calibri" w:hAnsi="Calibri" w:cs="Calibri" w:eastAsia="Calibri"/>
                      <w:b w:val="0"/>
                      <w:i w:val="0"/>
                      <w:color w:val="1B2733"/>
                      <w:sz w:val="15"/>
                    </w:rPr>
                    <w:t>756,681</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5"/>
                    </w:rPr>
                    <w:t>https://www.9ufa.vip/</w:t>
                  </w:r>
                </w:p>
              </w:tc>
              <w:tc>
                <w:tcPr>
                  <w:tcW w:type="dxa" w:w="1134"/>
                  <w:tcMar>
                    <w:top w:w="56" w:type="dxa"/>
                    <w:start w:w="85" w:type="dxa"/>
                    <w:bottom w:w="56" w:type="dxa"/>
                    <w:end w:w="85" w:type="dxa"/>
                  </w:tcMar>
                </w:tcPr>
                <w:p>
                  <w:pPr>
                    <w:spacing w:after="0"/>
                  </w:pPr>
                  <w:r>
                    <w:rPr>
                      <w:rFonts w:ascii="Calibri" w:hAnsi="Calibri" w:cs="Calibri" w:eastAsia="Calibri"/>
                      <w:b w:val="0"/>
                      <w:i w:val="0"/>
                      <w:color w:val="1B2733"/>
                      <w:sz w:val="15"/>
                    </w:rPr>
                    <w:t>9ufa.vip</w:t>
                  </w:r>
                </w:p>
              </w:tc>
              <w:tc>
                <w:tcPr>
                  <w:tcW w:type="dxa" w:w="850"/>
                  <w:tcMar>
                    <w:top w:w="56" w:type="dxa"/>
                    <w:start w:w="85" w:type="dxa"/>
                    <w:bottom w:w="56" w:type="dxa"/>
                    <w:end w:w="85" w:type="dxa"/>
                  </w:tcMar>
                </w:tcPr>
                <w:p>
                  <w:pPr>
                    <w:spacing w:after="0"/>
                  </w:pPr>
                  <w:r>
                    <w:rPr>
                      <w:rFonts w:ascii="Calibri" w:hAnsi="Calibri" w:cs="Calibri" w:eastAsia="Calibri"/>
                      <w:b w:val="0"/>
                      <w:i w:val="0"/>
                      <w:color w:val="1B2733"/>
                      <w:sz w:val="15"/>
                    </w:rPr>
                    <w:t>9uf</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5"/>
                    </w:rPr>
                    <w:t>General Gambling</w:t>
                  </w:r>
                </w:p>
              </w:tc>
              <w:tc>
                <w:tcPr>
                  <w:tcW w:type="dxa" w:w="1587"/>
                  <w:tcMar>
                    <w:top w:w="56" w:type="dxa"/>
                    <w:start w:w="85" w:type="dxa"/>
                    <w:bottom w:w="56" w:type="dxa"/>
                    <w:end w:w="85" w:type="dxa"/>
                  </w:tcMar>
                </w:tcPr>
                <w:p>
                  <w:pPr>
                    <w:spacing w:after="0"/>
                  </w:pPr>
                  <w:r>
                    <w:rPr>
                      <w:rFonts w:ascii="Calibri" w:hAnsi="Calibri" w:cs="Calibri" w:eastAsia="Calibri"/>
                      <w:b w:val="0"/>
                      <w:i w:val="0"/>
                      <w:color w:val="1B2733"/>
                      <w:sz w:val="15"/>
                    </w:rPr>
                    <w:t xml:space="preserve">Thai script: </w:t>
                  </w:r>
                  <w:r>
                    <w:rPr>
                      <w:rFonts w:ascii="Leelawadee UI" w:hAnsi="Leelawadee UI" w:cs="Leelawadee UI" w:eastAsia="Leelawadee UI"/>
                      <w:b w:val="0"/>
                      <w:i w:val="0"/>
                      <w:color w:val="1B2733"/>
                      <w:sz w:val="15"/>
                    </w:rPr>
                    <w:t>สมาชิกใหม่</w:t>
                  </w:r>
                  <w:r>
                    <w:rPr>
                      <w:rFonts w:ascii="Calibri" w:hAnsi="Calibri" w:cs="Calibri" w:eastAsia="Calibri"/>
                      <w:b w:val="0"/>
                      <w:i w:val="0"/>
                      <w:color w:val="1B2733"/>
                      <w:sz w:val="15"/>
                    </w:rPr>
                    <w:t xml:space="preserve"> </w:t>
                  </w:r>
                  <w:r>
                    <w:rPr>
                      <w:rFonts w:ascii="Leelawadee UI" w:hAnsi="Leelawadee UI" w:cs="Leelawadee UI" w:eastAsia="Leelawadee UI"/>
                      <w:b w:val="0"/>
                      <w:i w:val="0"/>
                      <w:color w:val="1B2733"/>
                      <w:sz w:val="15"/>
                    </w:rPr>
                    <w:t>เครดิตฟรี</w:t>
                  </w:r>
                </w:p>
              </w:tc>
              <w:tc>
                <w:tcPr>
                  <w:tcW w:type="dxa" w:w="1304"/>
                  <w:tcMar>
                    <w:top w:w="56" w:type="dxa"/>
                    <w:start w:w="85" w:type="dxa"/>
                    <w:bottom w:w="56" w:type="dxa"/>
                    <w:end w:w="85" w:type="dxa"/>
                  </w:tcMar>
                </w:tcPr>
                <w:p>
                  <w:pPr>
                    <w:spacing w:after="0"/>
                  </w:pPr>
                  <w:r>
                    <w:rPr>
                      <w:rFonts w:ascii="Calibri" w:hAnsi="Calibri" w:cs="Calibri" w:eastAsia="Calibri"/>
                      <w:b w:val="0"/>
                      <w:i w:val="0"/>
                      <w:color w:val="1B2733"/>
                      <w:sz w:val="15"/>
                    </w:rPr>
                    <w:t>Manual</w:t>
                  </w:r>
                </w:p>
              </w:tc>
            </w:tr>
            <w:tr>
              <w:tc>
                <w:tcPr>
                  <w:tcW w:type="dxa" w:w="680"/>
                  <w:tcMar>
                    <w:top w:w="56" w:type="dxa"/>
                    <w:start w:w="85" w:type="dxa"/>
                    <w:bottom w:w="56" w:type="dxa"/>
                    <w:end w:w="85" w:type="dxa"/>
                  </w:tcMar>
                </w:tcPr>
                <w:p>
                  <w:pPr>
                    <w:spacing w:after="0"/>
                  </w:pPr>
                  <w:r>
                    <w:rPr>
                      <w:rFonts w:ascii="Calibri" w:hAnsi="Calibri" w:cs="Calibri" w:eastAsia="Calibri"/>
                      <w:b w:val="0"/>
                      <w:i w:val="0"/>
                      <w:color w:val="1B2733"/>
                      <w:sz w:val="15"/>
                    </w:rPr>
                    <w:t>779,002</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5"/>
                    </w:rPr>
                    <w:t>https://dreamworld777.buzz/</w:t>
                  </w:r>
                </w:p>
              </w:tc>
              <w:tc>
                <w:tcPr>
                  <w:tcW w:type="dxa" w:w="1134"/>
                  <w:tcMar>
                    <w:top w:w="56" w:type="dxa"/>
                    <w:start w:w="85" w:type="dxa"/>
                    <w:bottom w:w="56" w:type="dxa"/>
                    <w:end w:w="85" w:type="dxa"/>
                  </w:tcMar>
                </w:tcPr>
                <w:p>
                  <w:pPr>
                    <w:spacing w:after="0"/>
                  </w:pPr>
                  <w:r>
                    <w:rPr>
                      <w:rFonts w:ascii="Calibri" w:hAnsi="Calibri" w:cs="Calibri" w:eastAsia="Calibri"/>
                      <w:b w:val="0"/>
                      <w:i w:val="0"/>
                      <w:color w:val="1B2733"/>
                      <w:sz w:val="15"/>
                    </w:rPr>
                    <w:t>dreamworld777.buzz</w:t>
                  </w:r>
                </w:p>
              </w:tc>
              <w:tc>
                <w:tcPr>
                  <w:tcW w:type="dxa" w:w="850"/>
                  <w:tcMar>
                    <w:top w:w="56" w:type="dxa"/>
                    <w:start w:w="85" w:type="dxa"/>
                    <w:bottom w:w="56" w:type="dxa"/>
                    <w:end w:w="85" w:type="dxa"/>
                  </w:tcMar>
                </w:tcPr>
                <w:p>
                  <w:pPr>
                    <w:spacing w:after="0"/>
                  </w:pPr>
                  <w:r>
                    <w:rPr>
                      <w:rFonts w:ascii="Calibri" w:hAnsi="Calibri" w:cs="Calibri" w:eastAsia="Calibri"/>
                      <w:b w:val="0"/>
                      <w:i w:val="0"/>
                      <w:color w:val="1B2733"/>
                      <w:sz w:val="15"/>
                    </w:rPr>
                    <w:t>dreamworld</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5"/>
                    </w:rPr>
                    <w:t>Playing card</w:t>
                  </w:r>
                </w:p>
              </w:tc>
              <w:tc>
                <w:tcPr>
                  <w:tcW w:type="dxa" w:w="1587"/>
                  <w:tcMar>
                    <w:top w:w="56" w:type="dxa"/>
                    <w:start w:w="85" w:type="dxa"/>
                    <w:bottom w:w="56" w:type="dxa"/>
                    <w:end w:w="85" w:type="dxa"/>
                  </w:tcMar>
                </w:tcPr>
                <w:p>
                  <w:pPr>
                    <w:spacing w:after="0"/>
                  </w:pPr>
                  <w:r>
                    <w:rPr>
                      <w:rFonts w:ascii="Calibri" w:hAnsi="Calibri" w:cs="Calibri" w:eastAsia="Calibri"/>
                      <w:b w:val="0"/>
                      <w:i w:val="0"/>
                      <w:color w:val="1B2733"/>
                      <w:sz w:val="15"/>
                    </w:rPr>
                    <w:t xml:space="preserve">Thai script: </w:t>
                  </w:r>
                  <w:r>
                    <w:rPr>
                      <w:rFonts w:ascii="Leelawadee UI" w:hAnsi="Leelawadee UI" w:cs="Leelawadee UI" w:eastAsia="Leelawadee UI"/>
                      <w:b w:val="0"/>
                      <w:i w:val="0"/>
                      <w:color w:val="1B2733"/>
                      <w:sz w:val="15"/>
                    </w:rPr>
                    <w:t>สล็อต</w:t>
                  </w:r>
                </w:p>
              </w:tc>
              <w:tc>
                <w:tcPr>
                  <w:tcW w:type="dxa" w:w="1304"/>
                  <w:tcMar>
                    <w:top w:w="56" w:type="dxa"/>
                    <w:start w:w="85" w:type="dxa"/>
                    <w:bottom w:w="56" w:type="dxa"/>
                    <w:end w:w="85" w:type="dxa"/>
                  </w:tcMar>
                </w:tcPr>
                <w:p>
                  <w:pPr>
                    <w:spacing w:after="0"/>
                  </w:pPr>
                  <w:r>
                    <w:rPr>
                      <w:rFonts w:ascii="Calibri" w:hAnsi="Calibri" w:cs="Calibri" w:eastAsia="Calibri"/>
                      <w:b w:val="0"/>
                      <w:i w:val="0"/>
                      <w:color w:val="1B2733"/>
                      <w:sz w:val="15"/>
                    </w:rPr>
                    <w:t>Manual</w:t>
                  </w:r>
                </w:p>
              </w:tc>
            </w:tr>
            <w:tr>
              <w:tc>
                <w:tcPr>
                  <w:tcW w:type="dxa" w:w="680"/>
                  <w:tcMar>
                    <w:top w:w="56" w:type="dxa"/>
                    <w:start w:w="85" w:type="dxa"/>
                    <w:bottom w:w="56" w:type="dxa"/>
                    <w:end w:w="85" w:type="dxa"/>
                  </w:tcMar>
                </w:tcPr>
                <w:p>
                  <w:pPr>
                    <w:spacing w:after="0"/>
                  </w:pPr>
                  <w:r>
                    <w:rPr>
                      <w:rFonts w:ascii="Calibri" w:hAnsi="Calibri" w:cs="Calibri" w:eastAsia="Calibri"/>
                      <w:b w:val="0"/>
                      <w:i w:val="0"/>
                      <w:color w:val="1B2733"/>
                      <w:sz w:val="15"/>
                    </w:rPr>
                    <w:t>779,601</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5"/>
                    </w:rPr>
                    <w:t>https://e699zz.com/</w:t>
                  </w:r>
                </w:p>
              </w:tc>
              <w:tc>
                <w:tcPr>
                  <w:tcW w:type="dxa" w:w="1134"/>
                  <w:tcMar>
                    <w:top w:w="56" w:type="dxa"/>
                    <w:start w:w="85" w:type="dxa"/>
                    <w:bottom w:w="56" w:type="dxa"/>
                    <w:end w:w="85" w:type="dxa"/>
                  </w:tcMar>
                </w:tcPr>
                <w:p>
                  <w:pPr>
                    <w:spacing w:after="0"/>
                  </w:pPr>
                  <w:r>
                    <w:rPr>
                      <w:rFonts w:ascii="Calibri" w:hAnsi="Calibri" w:cs="Calibri" w:eastAsia="Calibri"/>
                      <w:b w:val="0"/>
                      <w:i w:val="0"/>
                      <w:color w:val="1B2733"/>
                      <w:sz w:val="15"/>
                    </w:rPr>
                    <w:t>e699zz.com</w:t>
                  </w:r>
                </w:p>
              </w:tc>
              <w:tc>
                <w:tcPr>
                  <w:tcW w:type="dxa" w:w="850"/>
                  <w:tcMar>
                    <w:top w:w="56" w:type="dxa"/>
                    <w:start w:w="85" w:type="dxa"/>
                    <w:bottom w:w="56" w:type="dxa"/>
                    <w:end w:w="85" w:type="dxa"/>
                  </w:tcMar>
                </w:tcPr>
                <w:p>
                  <w:pPr>
                    <w:spacing w:after="0"/>
                  </w:pPr>
                  <w:r>
                    <w:rPr>
                      <w:rFonts w:ascii="Calibri" w:hAnsi="Calibri" w:cs="Calibri" w:eastAsia="Calibri"/>
                      <w:b w:val="0"/>
                      <w:i w:val="0"/>
                      <w:color w:val="1B2733"/>
                      <w:sz w:val="15"/>
                    </w:rPr>
                    <w:t>e699zz</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5"/>
                    </w:rPr>
                    <w:t>Football Betting</w:t>
                  </w:r>
                </w:p>
              </w:tc>
              <w:tc>
                <w:tcPr>
                  <w:tcW w:type="dxa" w:w="1587"/>
                  <w:tcMar>
                    <w:top w:w="56" w:type="dxa"/>
                    <w:start w:w="85" w:type="dxa"/>
                    <w:bottom w:w="56" w:type="dxa"/>
                    <w:end w:w="85" w:type="dxa"/>
                  </w:tcMar>
                </w:tcPr>
                <w:p>
                  <w:pPr>
                    <w:spacing w:after="0"/>
                  </w:pPr>
                  <w:r>
                    <w:rPr>
                      <w:rFonts w:ascii="Calibri" w:hAnsi="Calibri" w:cs="Calibri" w:eastAsia="Calibri"/>
                      <w:b w:val="0"/>
                      <w:i w:val="0"/>
                      <w:color w:val="1B2733"/>
                      <w:sz w:val="15"/>
                    </w:rPr>
                    <w:t xml:space="preserve">Thai script: </w:t>
                  </w:r>
                  <w:r>
                    <w:rPr>
                      <w:rFonts w:ascii="Leelawadee UI" w:hAnsi="Leelawadee UI" w:cs="Leelawadee UI" w:eastAsia="Leelawadee UI"/>
                      <w:b w:val="0"/>
                      <w:i w:val="0"/>
                      <w:color w:val="1B2733"/>
                      <w:sz w:val="15"/>
                    </w:rPr>
                    <w:t>ฝากจันท์</w:t>
                  </w:r>
                </w:p>
              </w:tc>
              <w:tc>
                <w:tcPr>
                  <w:tcW w:type="dxa" w:w="1304"/>
                  <w:tcMar>
                    <w:top w:w="56" w:type="dxa"/>
                    <w:start w:w="85" w:type="dxa"/>
                    <w:bottom w:w="56" w:type="dxa"/>
                    <w:end w:w="85" w:type="dxa"/>
                  </w:tcMar>
                </w:tcPr>
                <w:p>
                  <w:pPr>
                    <w:spacing w:after="0"/>
                  </w:pPr>
                  <w:r>
                    <w:rPr>
                      <w:rFonts w:ascii="Calibri" w:hAnsi="Calibri" w:cs="Calibri" w:eastAsia="Calibri"/>
                      <w:b w:val="0"/>
                      <w:i w:val="0"/>
                      <w:color w:val="1B2733"/>
                      <w:sz w:val="15"/>
                    </w:rPr>
                    <w:t>Manual</w:t>
                  </w:r>
                </w:p>
              </w:tc>
            </w:tr>
            <w:tr>
              <w:tc>
                <w:tcPr>
                  <w:tcW w:type="dxa" w:w="680"/>
                  <w:tcMar>
                    <w:top w:w="56" w:type="dxa"/>
                    <w:start w:w="85" w:type="dxa"/>
                    <w:bottom w:w="56" w:type="dxa"/>
                    <w:end w:w="85" w:type="dxa"/>
                  </w:tcMar>
                </w:tcPr>
                <w:p>
                  <w:pPr>
                    <w:spacing w:after="0"/>
                  </w:pPr>
                  <w:r>
                    <w:rPr>
                      <w:rFonts w:ascii="Calibri" w:hAnsi="Calibri" w:cs="Calibri" w:eastAsia="Calibri"/>
                      <w:b w:val="0"/>
                      <w:i w:val="0"/>
                      <w:color w:val="1B2733"/>
                      <w:sz w:val="15"/>
                    </w:rPr>
                    <w:t>797,918</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5"/>
                    </w:rPr>
                    <w:t>https://jun8891.com/</w:t>
                  </w:r>
                </w:p>
              </w:tc>
              <w:tc>
                <w:tcPr>
                  <w:tcW w:type="dxa" w:w="1134"/>
                  <w:tcMar>
                    <w:top w:w="56" w:type="dxa"/>
                    <w:start w:w="85" w:type="dxa"/>
                    <w:bottom w:w="56" w:type="dxa"/>
                    <w:end w:w="85" w:type="dxa"/>
                  </w:tcMar>
                </w:tcPr>
                <w:p>
                  <w:pPr>
                    <w:spacing w:after="0"/>
                  </w:pPr>
                  <w:r>
                    <w:rPr>
                      <w:rFonts w:ascii="Calibri" w:hAnsi="Calibri" w:cs="Calibri" w:eastAsia="Calibri"/>
                      <w:b w:val="0"/>
                      <w:i w:val="0"/>
                      <w:color w:val="1B2733"/>
                      <w:sz w:val="15"/>
                    </w:rPr>
                    <w:t>jun8891.com</w:t>
                  </w:r>
                </w:p>
              </w:tc>
              <w:tc>
                <w:tcPr>
                  <w:tcW w:type="dxa" w:w="850"/>
                  <w:tcMar>
                    <w:top w:w="56" w:type="dxa"/>
                    <w:start w:w="85" w:type="dxa"/>
                    <w:bottom w:w="56" w:type="dxa"/>
                    <w:end w:w="85" w:type="dxa"/>
                  </w:tcMar>
                </w:tcPr>
                <w:p>
                  <w:pPr>
                    <w:spacing w:after="0"/>
                  </w:pPr>
                  <w:r>
                    <w:rPr>
                      <w:rFonts w:ascii="Calibri" w:hAnsi="Calibri" w:cs="Calibri" w:eastAsia="Calibri"/>
                      <w:b w:val="0"/>
                      <w:i w:val="0"/>
                      <w:color w:val="1B2733"/>
                      <w:sz w:val="15"/>
                    </w:rPr>
                    <w:t>jun</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5"/>
                    </w:rPr>
                    <w:t>Playing card</w:t>
                  </w:r>
                </w:p>
              </w:tc>
              <w:tc>
                <w:tcPr>
                  <w:tcW w:type="dxa" w:w="1587"/>
                  <w:tcMar>
                    <w:top w:w="56" w:type="dxa"/>
                    <w:start w:w="85" w:type="dxa"/>
                    <w:bottom w:w="56" w:type="dxa"/>
                    <w:end w:w="85" w:type="dxa"/>
                  </w:tcMar>
                </w:tcPr>
                <w:p>
                  <w:pPr>
                    <w:spacing w:after="0"/>
                  </w:pPr>
                  <w:r>
                    <w:rPr>
                      <w:rFonts w:ascii="Calibri" w:hAnsi="Calibri" w:cs="Calibri" w:eastAsia="Calibri"/>
                      <w:b w:val="0"/>
                      <w:i w:val="0"/>
                      <w:color w:val="1B2733"/>
                      <w:sz w:val="15"/>
                    </w:rPr>
                    <w:t xml:space="preserve">Thai script: </w:t>
                  </w:r>
                  <w:r>
                    <w:rPr>
                      <w:rFonts w:ascii="Leelawadee UI" w:hAnsi="Leelawadee UI" w:cs="Leelawadee UI" w:eastAsia="Leelawadee UI"/>
                      <w:b w:val="0"/>
                      <w:i w:val="0"/>
                      <w:color w:val="1B2733"/>
                      <w:sz w:val="15"/>
                    </w:rPr>
                    <w:t>สมัครเล่นรับ</w:t>
                  </w:r>
                </w:p>
              </w:tc>
              <w:tc>
                <w:tcPr>
                  <w:tcW w:type="dxa" w:w="1304"/>
                  <w:tcMar>
                    <w:top w:w="56" w:type="dxa"/>
                    <w:start w:w="85" w:type="dxa"/>
                    <w:bottom w:w="56" w:type="dxa"/>
                    <w:end w:w="85" w:type="dxa"/>
                  </w:tcMar>
                </w:tcPr>
                <w:p>
                  <w:pPr>
                    <w:spacing w:after="0"/>
                  </w:pPr>
                  <w:r>
                    <w:rPr>
                      <w:rFonts w:ascii="Calibri" w:hAnsi="Calibri" w:cs="Calibri" w:eastAsia="Calibri"/>
                      <w:b w:val="0"/>
                      <w:i w:val="0"/>
                      <w:color w:val="1B2733"/>
                      <w:sz w:val="15"/>
                    </w:rPr>
                    <w:t>Variant · referrer: jun8888.info</w:t>
                  </w:r>
                </w:p>
              </w:tc>
            </w:tr>
            <w:tr>
              <w:tc>
                <w:tcPr>
                  <w:tcW w:type="dxa" w:w="680"/>
                  <w:tcMar>
                    <w:top w:w="56" w:type="dxa"/>
                    <w:start w:w="85" w:type="dxa"/>
                    <w:bottom w:w="56" w:type="dxa"/>
                    <w:end w:w="85" w:type="dxa"/>
                  </w:tcMar>
                </w:tcPr>
                <w:p>
                  <w:pPr>
                    <w:spacing w:after="0"/>
                  </w:pPr>
                  <w:r>
                    <w:rPr>
                      <w:rFonts w:ascii="Calibri" w:hAnsi="Calibri" w:cs="Calibri" w:eastAsia="Calibri"/>
                      <w:b w:val="0"/>
                      <w:i w:val="0"/>
                      <w:color w:val="1B2733"/>
                      <w:sz w:val="15"/>
                    </w:rPr>
                    <w:t>808,172</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5"/>
                    </w:rPr>
                    <w:t>https://meetang.cc/</w:t>
                  </w:r>
                </w:p>
              </w:tc>
              <w:tc>
                <w:tcPr>
                  <w:tcW w:type="dxa" w:w="1134"/>
                  <w:tcMar>
                    <w:top w:w="56" w:type="dxa"/>
                    <w:start w:w="85" w:type="dxa"/>
                    <w:bottom w:w="56" w:type="dxa"/>
                    <w:end w:w="85" w:type="dxa"/>
                  </w:tcMar>
                </w:tcPr>
                <w:p>
                  <w:pPr>
                    <w:spacing w:after="0"/>
                  </w:pPr>
                  <w:r>
                    <w:rPr>
                      <w:rFonts w:ascii="Calibri" w:hAnsi="Calibri" w:cs="Calibri" w:eastAsia="Calibri"/>
                      <w:b w:val="0"/>
                      <w:i w:val="0"/>
                      <w:color w:val="1B2733"/>
                      <w:sz w:val="15"/>
                    </w:rPr>
                    <w:t>meetang.cc</w:t>
                  </w:r>
                </w:p>
              </w:tc>
              <w:tc>
                <w:tcPr>
                  <w:tcW w:type="dxa" w:w="850"/>
                  <w:tcMar>
                    <w:top w:w="56" w:type="dxa"/>
                    <w:start w:w="85" w:type="dxa"/>
                    <w:bottom w:w="56" w:type="dxa"/>
                    <w:end w:w="85" w:type="dxa"/>
                  </w:tcMar>
                </w:tcPr>
                <w:p>
                  <w:pPr>
                    <w:spacing w:after="0"/>
                  </w:pPr>
                  <w:r>
                    <w:rPr>
                      <w:rFonts w:ascii="Calibri" w:hAnsi="Calibri" w:cs="Calibri" w:eastAsia="Calibri"/>
                      <w:b w:val="0"/>
                      <w:i w:val="0"/>
                      <w:color w:val="1B2733"/>
                      <w:sz w:val="15"/>
                    </w:rPr>
                    <w:t>meetang</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5"/>
                    </w:rPr>
                    <w:t>Slots</w:t>
                  </w:r>
                </w:p>
              </w:tc>
              <w:tc>
                <w:tcPr>
                  <w:tcW w:type="dxa" w:w="1587"/>
                  <w:tcMar>
                    <w:top w:w="56" w:type="dxa"/>
                    <w:start w:w="85" w:type="dxa"/>
                    <w:bottom w:w="56" w:type="dxa"/>
                    <w:end w:w="85" w:type="dxa"/>
                  </w:tcMar>
                </w:tcPr>
                <w:p>
                  <w:pPr>
                    <w:spacing w:after="0"/>
                  </w:pPr>
                  <w:r>
                    <w:rPr>
                      <w:rFonts w:ascii="Calibri" w:hAnsi="Calibri" w:cs="Calibri" w:eastAsia="Calibri"/>
                      <w:b w:val="0"/>
                      <w:i w:val="0"/>
                      <w:color w:val="1B2733"/>
                      <w:sz w:val="15"/>
                    </w:rPr>
                    <w:t xml:space="preserve">Thai script: </w:t>
                  </w:r>
                  <w:r>
                    <w:rPr>
                      <w:rFonts w:ascii="Leelawadee UI" w:hAnsi="Leelawadee UI" w:cs="Leelawadee UI" w:eastAsia="Leelawadee UI"/>
                      <w:b w:val="0"/>
                      <w:i w:val="0"/>
                      <w:color w:val="1B2733"/>
                      <w:sz w:val="15"/>
                    </w:rPr>
                    <w:t>เกมสล็อตสนุกสุดฟิ๊ก</w:t>
                  </w:r>
                </w:p>
              </w:tc>
              <w:tc>
                <w:tcPr>
                  <w:tcW w:type="dxa" w:w="1304"/>
                  <w:tcMar>
                    <w:top w:w="56" w:type="dxa"/>
                    <w:start w:w="85" w:type="dxa"/>
                    <w:bottom w:w="56" w:type="dxa"/>
                    <w:end w:w="85" w:type="dxa"/>
                  </w:tcMar>
                </w:tcPr>
                <w:p>
                  <w:pPr>
                    <w:spacing w:after="0"/>
                  </w:pPr>
                  <w:r>
                    <w:rPr>
                      <w:rFonts w:ascii="Calibri" w:hAnsi="Calibri" w:cs="Calibri" w:eastAsia="Calibri"/>
                      <w:b w:val="0"/>
                      <w:i w:val="0"/>
                      <w:color w:val="1B2733"/>
                      <w:sz w:val="15"/>
                    </w:rPr>
                    <w:t>Manual</w:t>
                  </w:r>
                </w:p>
              </w:tc>
            </w:tr>
            <w:tr>
              <w:tc>
                <w:tcPr>
                  <w:tcW w:type="dxa" w:w="680"/>
                  <w:tcMar>
                    <w:top w:w="56" w:type="dxa"/>
                    <w:start w:w="85" w:type="dxa"/>
                    <w:bottom w:w="56" w:type="dxa"/>
                    <w:end w:w="85" w:type="dxa"/>
                  </w:tcMar>
                </w:tcPr>
                <w:p>
                  <w:pPr>
                    <w:spacing w:after="0"/>
                  </w:pPr>
                  <w:r>
                    <w:rPr>
                      <w:rFonts w:ascii="Calibri" w:hAnsi="Calibri" w:cs="Calibri" w:eastAsia="Calibri"/>
                      <w:b w:val="0"/>
                      <w:i w:val="0"/>
                      <w:color w:val="1B2733"/>
                      <w:sz w:val="15"/>
                    </w:rPr>
                    <w:t>811,629</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5"/>
                    </w:rPr>
                    <w:t>https://mun8.com/</w:t>
                  </w:r>
                </w:p>
              </w:tc>
              <w:tc>
                <w:tcPr>
                  <w:tcW w:type="dxa" w:w="1134"/>
                  <w:tcMar>
                    <w:top w:w="56" w:type="dxa"/>
                    <w:start w:w="85" w:type="dxa"/>
                    <w:bottom w:w="56" w:type="dxa"/>
                    <w:end w:w="85" w:type="dxa"/>
                  </w:tcMar>
                </w:tcPr>
                <w:p>
                  <w:pPr>
                    <w:spacing w:after="0"/>
                  </w:pPr>
                  <w:r>
                    <w:rPr>
                      <w:rFonts w:ascii="Calibri" w:hAnsi="Calibri" w:cs="Calibri" w:eastAsia="Calibri"/>
                      <w:b w:val="0"/>
                      <w:i w:val="0"/>
                      <w:color w:val="1B2733"/>
                      <w:sz w:val="15"/>
                    </w:rPr>
                    <w:t>mun8.com</w:t>
                  </w:r>
                </w:p>
              </w:tc>
              <w:tc>
                <w:tcPr>
                  <w:tcW w:type="dxa" w:w="850"/>
                  <w:tcMar>
                    <w:top w:w="56" w:type="dxa"/>
                    <w:start w:w="85" w:type="dxa"/>
                    <w:bottom w:w="56" w:type="dxa"/>
                    <w:end w:w="85" w:type="dxa"/>
                  </w:tcMar>
                </w:tcPr>
                <w:p>
                  <w:pPr>
                    <w:spacing w:after="0"/>
                  </w:pPr>
                  <w:r>
                    <w:rPr>
                      <w:rFonts w:ascii="Calibri" w:hAnsi="Calibri" w:cs="Calibri" w:eastAsia="Calibri"/>
                      <w:b w:val="0"/>
                      <w:i w:val="0"/>
                      <w:color w:val="1B2733"/>
                      <w:sz w:val="15"/>
                    </w:rPr>
                    <w:t>mun</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5"/>
                    </w:rPr>
                    <w:t>Slots</w:t>
                  </w:r>
                </w:p>
              </w:tc>
              <w:tc>
                <w:tcPr>
                  <w:tcW w:type="dxa" w:w="1587"/>
                  <w:tcMar>
                    <w:top w:w="56" w:type="dxa"/>
                    <w:start w:w="85" w:type="dxa"/>
                    <w:bottom w:w="56" w:type="dxa"/>
                    <w:end w:w="85" w:type="dxa"/>
                  </w:tcMar>
                </w:tcPr>
                <w:p>
                  <w:pPr>
                    <w:spacing w:after="0"/>
                  </w:pPr>
                  <w:r>
                    <w:rPr>
                      <w:rFonts w:ascii="Calibri" w:hAnsi="Calibri" w:cs="Calibri" w:eastAsia="Calibri"/>
                      <w:b w:val="0"/>
                      <w:i w:val="0"/>
                      <w:color w:val="1B2733"/>
                      <w:sz w:val="15"/>
                    </w:rPr>
                    <w:t>Thai currency: THB</w:t>
                  </w:r>
                </w:p>
              </w:tc>
              <w:tc>
                <w:tcPr>
                  <w:tcW w:type="dxa" w:w="1304"/>
                  <w:tcMar>
                    <w:top w:w="56" w:type="dxa"/>
                    <w:start w:w="85" w:type="dxa"/>
                    <w:bottom w:w="56" w:type="dxa"/>
                    <w:end w:w="85" w:type="dxa"/>
                  </w:tcMar>
                </w:tcPr>
                <w:p>
                  <w:pPr>
                    <w:spacing w:after="0"/>
                  </w:pPr>
                  <w:r>
                    <w:rPr>
                      <w:rFonts w:ascii="Calibri" w:hAnsi="Calibri" w:cs="Calibri" w:eastAsia="Calibri"/>
                      <w:b w:val="0"/>
                      <w:i w:val="0"/>
                      <w:color w:val="1B2733"/>
                      <w:sz w:val="15"/>
                    </w:rPr>
                    <w:t>Variant · referrer: mun89.com</w:t>
                  </w:r>
                </w:p>
              </w:tc>
            </w:tr>
            <w:tr>
              <w:tc>
                <w:tcPr>
                  <w:tcW w:type="dxa" w:w="680"/>
                  <w:tcMar>
                    <w:top w:w="56" w:type="dxa"/>
                    <w:start w:w="85" w:type="dxa"/>
                    <w:bottom w:w="56" w:type="dxa"/>
                    <w:end w:w="85" w:type="dxa"/>
                  </w:tcMar>
                </w:tcPr>
                <w:p>
                  <w:pPr>
                    <w:spacing w:after="0"/>
                  </w:pPr>
                  <w:r>
                    <w:rPr>
                      <w:rFonts w:ascii="Calibri" w:hAnsi="Calibri" w:cs="Calibri" w:eastAsia="Calibri"/>
                      <w:b w:val="0"/>
                      <w:i w:val="0"/>
                      <w:color w:val="1B2733"/>
                      <w:sz w:val="15"/>
                    </w:rPr>
                    <w:t>811,871</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5"/>
                    </w:rPr>
                    <w:t>https://mst88.work/</w:t>
                  </w:r>
                </w:p>
              </w:tc>
              <w:tc>
                <w:tcPr>
                  <w:tcW w:type="dxa" w:w="1134"/>
                  <w:tcMar>
                    <w:top w:w="56" w:type="dxa"/>
                    <w:start w:w="85" w:type="dxa"/>
                    <w:bottom w:w="56" w:type="dxa"/>
                    <w:end w:w="85" w:type="dxa"/>
                  </w:tcMar>
                </w:tcPr>
                <w:p>
                  <w:pPr>
                    <w:spacing w:after="0"/>
                  </w:pPr>
                  <w:r>
                    <w:rPr>
                      <w:rFonts w:ascii="Calibri" w:hAnsi="Calibri" w:cs="Calibri" w:eastAsia="Calibri"/>
                      <w:b w:val="0"/>
                      <w:i w:val="0"/>
                      <w:color w:val="1B2733"/>
                      <w:sz w:val="15"/>
                    </w:rPr>
                    <w:t>mst88.work</w:t>
                  </w:r>
                </w:p>
              </w:tc>
              <w:tc>
                <w:tcPr>
                  <w:tcW w:type="dxa" w:w="850"/>
                  <w:tcMar>
                    <w:top w:w="56" w:type="dxa"/>
                    <w:start w:w="85" w:type="dxa"/>
                    <w:bottom w:w="56" w:type="dxa"/>
                    <w:end w:w="85" w:type="dxa"/>
                  </w:tcMar>
                </w:tcPr>
                <w:p>
                  <w:pPr>
                    <w:spacing w:after="0"/>
                  </w:pPr>
                  <w:r>
                    <w:rPr>
                      <w:rFonts w:ascii="Calibri" w:hAnsi="Calibri" w:cs="Calibri" w:eastAsia="Calibri"/>
                      <w:b w:val="0"/>
                      <w:i w:val="0"/>
                      <w:color w:val="1B2733"/>
                      <w:sz w:val="15"/>
                    </w:rPr>
                    <w:t>mst</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5"/>
                    </w:rPr>
                    <w:t>Playing card</w:t>
                  </w:r>
                </w:p>
              </w:tc>
              <w:tc>
                <w:tcPr>
                  <w:tcW w:type="dxa" w:w="1587"/>
                  <w:tcMar>
                    <w:top w:w="56" w:type="dxa"/>
                    <w:start w:w="85" w:type="dxa"/>
                    <w:bottom w:w="56" w:type="dxa"/>
                    <w:end w:w="85" w:type="dxa"/>
                  </w:tcMar>
                </w:tcPr>
                <w:p>
                  <w:pPr>
                    <w:spacing w:after="0"/>
                  </w:pPr>
                  <w:r>
                    <w:rPr>
                      <w:rFonts w:ascii="Calibri" w:hAnsi="Calibri" w:cs="Calibri" w:eastAsia="Calibri"/>
                      <w:b w:val="0"/>
                      <w:i w:val="0"/>
                      <w:color w:val="1B2733"/>
                      <w:sz w:val="15"/>
                    </w:rPr>
                    <w:t xml:space="preserve">Thai script: </w:t>
                  </w:r>
                  <w:r>
                    <w:rPr>
                      <w:rFonts w:ascii="Leelawadee UI" w:hAnsi="Leelawadee UI" w:cs="Leelawadee UI" w:eastAsia="Leelawadee UI"/>
                      <w:b w:val="0"/>
                      <w:i w:val="0"/>
                      <w:color w:val="1B2733"/>
                      <w:sz w:val="15"/>
                    </w:rPr>
                    <w:t>แจกเครดิต</w:t>
                  </w:r>
                </w:p>
              </w:tc>
              <w:tc>
                <w:tcPr>
                  <w:tcW w:type="dxa" w:w="1304"/>
                  <w:tcMar>
                    <w:top w:w="56" w:type="dxa"/>
                    <w:start w:w="85" w:type="dxa"/>
                    <w:bottom w:w="56" w:type="dxa"/>
                    <w:end w:w="85" w:type="dxa"/>
                  </w:tcMar>
                </w:tcPr>
                <w:p>
                  <w:pPr>
                    <w:spacing w:after="0"/>
                  </w:pPr>
                  <w:r>
                    <w:rPr>
                      <w:rFonts w:ascii="Calibri" w:hAnsi="Calibri" w:cs="Calibri" w:eastAsia="Calibri"/>
                      <w:b w:val="0"/>
                      <w:i w:val="0"/>
                      <w:color w:val="1B2733"/>
                      <w:sz w:val="15"/>
                    </w:rPr>
                    <w:t>Redirect · referrer: mst88.site</w:t>
                  </w:r>
                </w:p>
              </w:tc>
            </w:tr>
          </w:tbl>
          <w:p/>
          <w:p>
            <w:pPr>
              <w:spacing w:after="40"/>
            </w:pPr>
            <w:r>
              <w:rPr>
                <w:rFonts w:ascii="Calibri" w:hAnsi="Calibri" w:cs="Calibri" w:eastAsia="Calibri"/>
                <w:b w:val="0"/>
                <w:i w:val="0"/>
                <w:color w:val="5B6B7B"/>
                <w:sz w:val="18"/>
              </w:rPr>
              <w:t>10 otherwise eligible ranked rows were excluded because their description carried a Vietnamese-audience indicator.</w:t>
            </w:r>
          </w:p>
          <w:p>
            <w:pPr>
              <w:spacing w:after="0"/>
            </w:pPr>
            <w:r>
              <w:rPr>
                <w:rFonts w:ascii="Calibri" w:hAnsi="Calibri" w:cs="Calibri" w:eastAsia="Calibri"/>
                <w:b w:val="0"/>
                <w:i/>
                <w:color w:val="5B6B7B"/>
                <w:sz w:val="16"/>
              </w:rPr>
              <w:t>Table 2 — Rank reflects search visibility in the source feed, not harm, reach or revenue.</w:t>
            </w:r>
          </w:p>
        </w:tc>
      </w:tr>
    </w:tbl>
    <w:p>
      <w:pPr>
        <w:spacing w:after="60"/>
      </w:pPr>
    </w:p>
    <w:p>
      <w:r>
        <w:br w:type="page"/>
      </w:r>
    </w:p>
    <w:p>
      <w:bookmarkStart w:id="1013" w:name="c1013"/>
      <w:pPr>
        <w:pStyle w:val="Heading2"/>
      </w:pPr>
      <w:bookmarkEnd w:id="1013"/>
      <w:r>
        <w:rPr>
          <w:rFonts w:ascii="Calibri" w:hAnsi="Calibri" w:cs="Calibri" w:eastAsia="Calibri"/>
          <w:b/>
          <w:i w:val="0"/>
          <w:color w:val="1F3F63"/>
          <w:sz w:val="26"/>
        </w:rPr>
        <w:t>The numbers</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2268"/>
        <w:gridCol w:w="2268"/>
        <w:gridCol w:w="2268"/>
        <w:gridCol w:w="2268"/>
      </w:tblGrid>
      <w:tr>
        <w:trPr>
          <w:cantSplit/>
        </w:trPr>
        <w:tc>
          <w:tcPr>
            <w:tcW w:type="dxa" w:w="2268"/>
            <w:tcMar>
              <w:top w:w="170" w:type="dxa"/>
              <w:start w:w="141" w:type="dxa"/>
              <w:bottom w:w="170" w:type="dxa"/>
              <w:end w:w="141" w:type="dxa"/>
            </w:tcMar>
          </w:tcPr>
          <w:p>
            <w:pPr>
              <w:spacing w:after="20"/>
              <w:jc w:val="center"/>
            </w:pPr>
            <w:r>
              <w:rPr>
                <w:rFonts w:ascii="Calibri" w:hAnsi="Calibri" w:cs="Calibri" w:eastAsia="Calibri"/>
                <w:b/>
                <w:i w:val="0"/>
                <w:color w:val="1F3F63"/>
                <w:sz w:val="34"/>
              </w:rPr>
              <w:t>24,605</w:t>
            </w:r>
          </w:p>
          <w:p>
            <w:pPr>
              <w:spacing w:after="0"/>
              <w:jc w:val="center"/>
            </w:pPr>
            <w:r>
              <w:rPr>
                <w:rFonts w:ascii="Calibri" w:hAnsi="Calibri" w:cs="Calibri" w:eastAsia="Calibri"/>
                <w:b w:val="0"/>
                <w:i w:val="0"/>
                <w:color w:val="5B6B7B"/>
                <w:sz w:val="16"/>
              </w:rPr>
              <w:t>Total URLs analyzed</w:t>
            </w:r>
          </w:p>
        </w:tc>
        <w:tc>
          <w:tcPr>
            <w:tcW w:type="dxa" w:w="2268"/>
            <w:tcMar>
              <w:top w:w="170" w:type="dxa"/>
              <w:start w:w="141" w:type="dxa"/>
              <w:bottom w:w="170" w:type="dxa"/>
              <w:end w:w="141" w:type="dxa"/>
            </w:tcMar>
          </w:tcPr>
          <w:p>
            <w:pPr>
              <w:spacing w:after="20"/>
              <w:jc w:val="center"/>
            </w:pPr>
            <w:r>
              <w:rPr>
                <w:rFonts w:ascii="Calibri" w:hAnsi="Calibri" w:cs="Calibri" w:eastAsia="Calibri"/>
                <w:b/>
                <w:i w:val="0"/>
                <w:color w:val="1F3F63"/>
                <w:sz w:val="34"/>
              </w:rPr>
              <w:t>11,648</w:t>
            </w:r>
          </w:p>
          <w:p>
            <w:pPr>
              <w:spacing w:after="0"/>
              <w:jc w:val="center"/>
            </w:pPr>
            <w:r>
              <w:rPr>
                <w:rFonts w:ascii="Calibri" w:hAnsi="Calibri" w:cs="Calibri" w:eastAsia="Calibri"/>
                <w:b w:val="0"/>
                <w:i w:val="0"/>
                <w:color w:val="5B6B7B"/>
                <w:sz w:val="16"/>
              </w:rPr>
              <w:t>Gambling sites</w:t>
            </w:r>
          </w:p>
        </w:tc>
        <w:tc>
          <w:tcPr>
            <w:tcW w:type="dxa" w:w="2268"/>
            <w:tcMar>
              <w:top w:w="170" w:type="dxa"/>
              <w:start w:w="141" w:type="dxa"/>
              <w:bottom w:w="170" w:type="dxa"/>
              <w:end w:w="141" w:type="dxa"/>
            </w:tcMar>
          </w:tcPr>
          <w:p>
            <w:pPr>
              <w:spacing w:after="20"/>
              <w:jc w:val="center"/>
            </w:pPr>
            <w:r>
              <w:rPr>
                <w:rFonts w:ascii="Calibri" w:hAnsi="Calibri" w:cs="Calibri" w:eastAsia="Calibri"/>
                <w:b/>
                <w:i w:val="0"/>
                <w:color w:val="1F3F63"/>
                <w:sz w:val="34"/>
              </w:rPr>
              <w:t>1,533</w:t>
            </w:r>
          </w:p>
          <w:p>
            <w:pPr>
              <w:spacing w:after="0"/>
              <w:jc w:val="center"/>
            </w:pPr>
            <w:r>
              <w:rPr>
                <w:rFonts w:ascii="Calibri" w:hAnsi="Calibri" w:cs="Calibri" w:eastAsia="Calibri"/>
                <w:b w:val="0"/>
                <w:i w:val="0"/>
                <w:color w:val="5B6B7B"/>
                <w:sz w:val="16"/>
              </w:rPr>
              <w:t>Brand clusters identified</w:t>
            </w:r>
          </w:p>
        </w:tc>
        <w:tc>
          <w:tcPr>
            <w:tcW w:type="dxa" w:w="2268"/>
            <w:tcMar>
              <w:top w:w="170" w:type="dxa"/>
              <w:start w:w="141" w:type="dxa"/>
              <w:bottom w:w="170" w:type="dxa"/>
              <w:end w:w="141" w:type="dxa"/>
            </w:tcMar>
          </w:tcPr>
          <w:p>
            <w:pPr>
              <w:spacing w:after="20"/>
              <w:jc w:val="center"/>
            </w:pPr>
            <w:r>
              <w:rPr>
                <w:rFonts w:ascii="Calibri" w:hAnsi="Calibri" w:cs="Calibri" w:eastAsia="Calibri"/>
                <w:b/>
                <w:i w:val="0"/>
                <w:color w:val="1F3F63"/>
                <w:sz w:val="34"/>
              </w:rPr>
              <w:t>34 days</w:t>
            </w:r>
          </w:p>
          <w:p>
            <w:pPr>
              <w:spacing w:after="0"/>
              <w:jc w:val="center"/>
            </w:pPr>
            <w:r>
              <w:rPr>
                <w:rFonts w:ascii="Calibri" w:hAnsi="Calibri" w:cs="Calibri" w:eastAsia="Calibri"/>
                <w:b w:val="0"/>
                <w:i w:val="0"/>
                <w:color w:val="5B6B7B"/>
                <w:sz w:val="16"/>
              </w:rPr>
              <w:t>Evaluation period</w:t>
              <w:br/>
              <w:t>2026-09-04 → 2026-10-07</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14" w:name="c1014"/>
            <w:pPr>
              <w:keepNext/>
              <w:keepLines/>
              <w:spacing w:after="60"/>
            </w:pPr>
            <w:bookmarkEnd w:id="1014"/>
            <w:r>
              <w:rPr>
                <w:rFonts w:ascii="Calibri" w:hAnsi="Calibri" w:cs="Calibri" w:eastAsia="Calibri"/>
                <w:b/>
                <w:i w:val="0"/>
                <w:color w:val="1B2733"/>
                <w:sz w:val="22"/>
              </w:rPr>
              <w:t>URLs analyzed per day</w:t>
            </w:r>
          </w:p>
          <w:p>
            <w:pPr>
              <w:spacing w:after="80"/>
            </w:pPr>
            <w:r>
              <w:rPr>
                <w:rFonts w:ascii="Calibri" w:hAnsi="Calibri" w:cs="Calibri" w:eastAsia="Calibri"/>
                <w:b w:val="0"/>
                <w:i w:val="0"/>
                <w:color w:val="5B6B7B"/>
                <w:sz w:val="18"/>
              </w:rPr>
              <w:t>Daily count of URLs analysed across the evaluation period. Each point is one calendar day.</w:t>
            </w:r>
          </w:p>
          <w:p>
            <w:pPr>
              <w:spacing w:after="60"/>
              <w:jc w:val="center"/>
            </w:pPr>
            <w:r>
              <w:drawing>
                <wp:inline xmlns:a="http://schemas.openxmlformats.org/drawingml/2006/main" xmlns:pic="http://schemas.openxmlformats.org/drawingml/2006/picture">
                  <wp:extent cx="5040000" cy="2130308"/>
                  <wp:docPr id="2" name="Picture 2"/>
                  <wp:cNvGraphicFramePr>
                    <a:graphicFrameLocks noChangeAspect="1"/>
                  </wp:cNvGraphicFramePr>
                  <a:graphic>
                    <a:graphicData uri="http://schemas.openxmlformats.org/drawingml/2006/picture">
                      <pic:pic>
                        <pic:nvPicPr>
                          <pic:cNvPr id="0" name="c2.png"/>
                          <pic:cNvPicPr/>
                        </pic:nvPicPr>
                        <pic:blipFill>
                          <a:blip r:embed="rId14"/>
                          <a:stretch>
                            <a:fillRect/>
                          </a:stretch>
                        </pic:blipFill>
                        <pic:spPr>
                          <a:xfrm>
                            <a:off x="0" y="0"/>
                            <a:ext cx="5040000" cy="2130308"/>
                          </a:xfrm>
                          <a:prstGeom prst="rect"/>
                        </pic:spPr>
                      </pic:pic>
                    </a:graphicData>
                  </a:graphic>
                </wp:inline>
              </w:drawing>
            </w:r>
          </w:p>
          <w:p>
            <w:pPr>
              <w:spacing w:after="0"/>
            </w:pPr>
            <w:r>
              <w:rPr>
                <w:rFonts w:ascii="Calibri" w:hAnsi="Calibri" w:cs="Calibri" w:eastAsia="Calibri"/>
                <w:b w:val="0"/>
                <w:i/>
                <w:color w:val="5B6B7B"/>
                <w:sz w:val="16"/>
              </w:rPr>
              <w:t>Figure 1 — URLs analysed per calendar day, 2026-09-04 to 2026-10-07.</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15" w:name="c1015"/>
            <w:pPr>
              <w:keepNext/>
              <w:keepLines/>
              <w:spacing w:after="60"/>
            </w:pPr>
            <w:bookmarkEnd w:id="1015"/>
            <w:r>
              <w:rPr>
                <w:rFonts w:ascii="Calibri" w:hAnsi="Calibri" w:cs="Calibri" w:eastAsia="Calibri"/>
                <w:b/>
                <w:i w:val="0"/>
                <w:color w:val="1B2733"/>
                <w:sz w:val="22"/>
              </w:rPr>
              <w:t>Status distribution</w:t>
            </w:r>
          </w:p>
          <w:p>
            <w:pPr>
              <w:spacing w:after="80"/>
            </w:pPr>
            <w:r>
              <w:rPr>
                <w:rFonts w:ascii="Calibri" w:hAnsi="Calibri" w:cs="Calibri" w:eastAsia="Calibri"/>
                <w:b w:val="0"/>
                <w:i w:val="0"/>
                <w:color w:val="5B6B7B"/>
                <w:sz w:val="18"/>
              </w:rPr>
              <w:t>Share of the estate by classification status. Each segment is one status and the table below it carries the counts.</w:t>
            </w:r>
          </w:p>
          <w:p>
            <w:pPr>
              <w:spacing w:after="60"/>
              <w:jc w:val="center"/>
            </w:pPr>
            <w:r>
              <w:drawing>
                <wp:inline xmlns:a="http://schemas.openxmlformats.org/drawingml/2006/main" xmlns:pic="http://schemas.openxmlformats.org/drawingml/2006/picture">
                  <wp:extent cx="5040000" cy="2670668"/>
                  <wp:docPr id="3" name="Picture 3"/>
                  <wp:cNvGraphicFramePr>
                    <a:graphicFrameLocks noChangeAspect="1"/>
                  </wp:cNvGraphicFramePr>
                  <a:graphic>
                    <a:graphicData uri="http://schemas.openxmlformats.org/drawingml/2006/picture">
                      <pic:pic>
                        <pic:nvPicPr>
                          <pic:cNvPr id="0" name="c3.png"/>
                          <pic:cNvPicPr/>
                        </pic:nvPicPr>
                        <pic:blipFill>
                          <a:blip r:embed="rId15"/>
                          <a:stretch>
                            <a:fillRect/>
                          </a:stretch>
                        </pic:blipFill>
                        <pic:spPr>
                          <a:xfrm>
                            <a:off x="0" y="0"/>
                            <a:ext cx="5040000" cy="2670668"/>
                          </a:xfrm>
                          <a:prstGeom prst="rect"/>
                        </pic:spPr>
                      </pic:pic>
                    </a:graphicData>
                  </a:graphic>
                </wp:inline>
              </w:drawing>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938" w:type="dxa"/>
            </w:tblPr>
            <w:tblGrid>
              <w:gridCol w:w="3628"/>
              <w:gridCol w:w="2154"/>
              <w:gridCol w:w="2154"/>
            </w:tblGrid>
            <w:tr>
              <w:tc>
                <w:tcPr>
                  <w:tcW w:type="dxa" w:w="3628"/>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Status</w:t>
                  </w:r>
                </w:p>
              </w:tc>
              <w:tc>
                <w:tcPr>
                  <w:tcW w:type="dxa" w:w="2154"/>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Count</w:t>
                  </w:r>
                </w:p>
              </w:tc>
              <w:tc>
                <w:tcPr>
                  <w:tcW w:type="dxa" w:w="2154"/>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 of estate</w:t>
                  </w:r>
                </w:p>
              </w:tc>
            </w:tr>
            <w:tr>
              <w:tc>
                <w:tcPr>
                  <w:tcW w:type="dxa" w:w="3628"/>
                  <w:tcMar>
                    <w:top w:w="56" w:type="dxa"/>
                    <w:start w:w="85" w:type="dxa"/>
                    <w:bottom w:w="56" w:type="dxa"/>
                    <w:end w:w="85" w:type="dxa"/>
                  </w:tcMar>
                </w:tcPr>
                <w:p>
                  <w:pPr>
                    <w:spacing w:after="0"/>
                  </w:pPr>
                  <w:r>
                    <w:rPr>
                      <w:rFonts w:ascii="Calibri" w:hAnsi="Calibri" w:cs="Calibri" w:eastAsia="Calibri"/>
                      <w:b w:val="0"/>
                      <w:i w:val="0"/>
                      <w:color w:val="1B2733"/>
                      <w:sz w:val="18"/>
                    </w:rPr>
                    <w:t>Not gambling</w:t>
                  </w:r>
                </w:p>
              </w:tc>
              <w:tc>
                <w:tcPr>
                  <w:tcW w:type="dxa" w:w="2154"/>
                  <w:tcMar>
                    <w:top w:w="56" w:type="dxa"/>
                    <w:start w:w="85" w:type="dxa"/>
                    <w:bottom w:w="56" w:type="dxa"/>
                    <w:end w:w="85" w:type="dxa"/>
                  </w:tcMar>
                </w:tcPr>
                <w:p>
                  <w:pPr>
                    <w:spacing w:after="0"/>
                    <w:jc w:val="right"/>
                  </w:pPr>
                  <w:r>
                    <w:rPr>
                      <w:rFonts w:ascii="Calibri" w:hAnsi="Calibri" w:cs="Calibri" w:eastAsia="Calibri"/>
                      <w:b w:val="0"/>
                      <w:i w:val="0"/>
                      <w:color w:val="1B2733"/>
                      <w:sz w:val="18"/>
                    </w:rPr>
                    <w:t>12,957</w:t>
                  </w:r>
                </w:p>
              </w:tc>
              <w:tc>
                <w:tcPr>
                  <w:tcW w:type="dxa" w:w="2154"/>
                  <w:tcMar>
                    <w:top w:w="56" w:type="dxa"/>
                    <w:start w:w="85" w:type="dxa"/>
                    <w:bottom w:w="56" w:type="dxa"/>
                    <w:end w:w="85" w:type="dxa"/>
                  </w:tcMar>
                </w:tcPr>
                <w:p>
                  <w:pPr>
                    <w:spacing w:after="0"/>
                    <w:jc w:val="right"/>
                  </w:pPr>
                  <w:r>
                    <w:rPr>
                      <w:rFonts w:ascii="Calibri" w:hAnsi="Calibri" w:cs="Calibri" w:eastAsia="Calibri"/>
                      <w:b w:val="0"/>
                      <w:i w:val="0"/>
                      <w:color w:val="1B2733"/>
                      <w:sz w:val="18"/>
                    </w:rPr>
                    <w:t>52.7%</w:t>
                  </w:r>
                </w:p>
              </w:tc>
            </w:tr>
            <w:tr>
              <w:tc>
                <w:tcPr>
                  <w:tcW w:type="dxa" w:w="3628"/>
                  <w:tcMar>
                    <w:top w:w="56" w:type="dxa"/>
                    <w:start w:w="85" w:type="dxa"/>
                    <w:bottom w:w="56" w:type="dxa"/>
                    <w:end w:w="85" w:type="dxa"/>
                  </w:tcMar>
                </w:tcPr>
                <w:p>
                  <w:pPr>
                    <w:spacing w:after="0"/>
                  </w:pPr>
                  <w:r>
                    <w:rPr>
                      <w:rFonts w:ascii="Calibri" w:hAnsi="Calibri" w:cs="Calibri" w:eastAsia="Calibri"/>
                      <w:b w:val="0"/>
                      <w:i w:val="0"/>
                      <w:color w:val="1B2733"/>
                      <w:sz w:val="18"/>
                    </w:rPr>
                    <w:t>Gambling</w:t>
                  </w:r>
                </w:p>
              </w:tc>
              <w:tc>
                <w:tcPr>
                  <w:tcW w:type="dxa" w:w="2154"/>
                  <w:tcMar>
                    <w:top w:w="56" w:type="dxa"/>
                    <w:start w:w="85" w:type="dxa"/>
                    <w:bottom w:w="56" w:type="dxa"/>
                    <w:end w:w="85" w:type="dxa"/>
                  </w:tcMar>
                </w:tcPr>
                <w:p>
                  <w:pPr>
                    <w:spacing w:after="0"/>
                    <w:jc w:val="right"/>
                  </w:pPr>
                  <w:r>
                    <w:rPr>
                      <w:rFonts w:ascii="Calibri" w:hAnsi="Calibri" w:cs="Calibri" w:eastAsia="Calibri"/>
                      <w:b w:val="0"/>
                      <w:i w:val="0"/>
                      <w:color w:val="1B2733"/>
                      <w:sz w:val="18"/>
                    </w:rPr>
                    <w:t>11,648</w:t>
                  </w:r>
                </w:p>
              </w:tc>
              <w:tc>
                <w:tcPr>
                  <w:tcW w:type="dxa" w:w="2154"/>
                  <w:tcMar>
                    <w:top w:w="56" w:type="dxa"/>
                    <w:start w:w="85" w:type="dxa"/>
                    <w:bottom w:w="56" w:type="dxa"/>
                    <w:end w:w="85" w:type="dxa"/>
                  </w:tcMar>
                </w:tcPr>
                <w:p>
                  <w:pPr>
                    <w:spacing w:after="0"/>
                    <w:jc w:val="right"/>
                  </w:pPr>
                  <w:r>
                    <w:rPr>
                      <w:rFonts w:ascii="Calibri" w:hAnsi="Calibri" w:cs="Calibri" w:eastAsia="Calibri"/>
                      <w:b w:val="0"/>
                      <w:i w:val="0"/>
                      <w:color w:val="1B2733"/>
                      <w:sz w:val="18"/>
                    </w:rPr>
                    <w:t>47.3%</w:t>
                  </w:r>
                </w:p>
              </w:tc>
            </w:tr>
          </w:tbl>
          <w:p/>
          <w:p>
            <w:pPr>
              <w:spacing w:after="0"/>
            </w:pPr>
            <w:r>
              <w:rPr>
                <w:rFonts w:ascii="Calibri" w:hAnsi="Calibri" w:cs="Calibri" w:eastAsia="Calibri"/>
                <w:b w:val="0"/>
                <w:i/>
                <w:color w:val="5B6B7B"/>
                <w:sz w:val="16"/>
              </w:rPr>
              <w:t>Figure 2 — Classification status across the standard working set.</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16" w:name="c1016"/>
            <w:pPr>
              <w:keepNext/>
              <w:keepLines/>
              <w:spacing w:after="60"/>
            </w:pPr>
            <w:bookmarkEnd w:id="1016"/>
            <w:r>
              <w:rPr>
                <w:rFonts w:ascii="Calibri" w:hAnsi="Calibri" w:cs="Calibri" w:eastAsia="Calibri"/>
                <w:b/>
                <w:i w:val="0"/>
                <w:color w:val="1B2733"/>
                <w:sz w:val="22"/>
              </w:rPr>
              <w:t>Top 10 URL suffixes</w:t>
            </w:r>
          </w:p>
          <w:p>
            <w:pPr>
              <w:spacing w:after="80"/>
            </w:pPr>
            <w:r>
              <w:rPr>
                <w:rFonts w:ascii="Calibri" w:hAnsi="Calibri" w:cs="Calibri" w:eastAsia="Calibri"/>
                <w:b w:val="0"/>
                <w:i w:val="0"/>
                <w:color w:val="5B6B7B"/>
                <w:sz w:val="18"/>
              </w:rPr>
              <w:t>The ten most common URL suffixes in the estate. Bar length is the total count and the table separates the gambling share.</w:t>
            </w:r>
          </w:p>
          <w:p>
            <w:pPr>
              <w:spacing w:after="60"/>
              <w:jc w:val="center"/>
            </w:pPr>
            <w:r>
              <w:drawing>
                <wp:inline xmlns:a="http://schemas.openxmlformats.org/drawingml/2006/main" xmlns:pic="http://schemas.openxmlformats.org/drawingml/2006/picture">
                  <wp:extent cx="5040000" cy="2450886"/>
                  <wp:docPr id="4" name="Picture 4"/>
                  <wp:cNvGraphicFramePr>
                    <a:graphicFrameLocks noChangeAspect="1"/>
                  </wp:cNvGraphicFramePr>
                  <a:graphic>
                    <a:graphicData uri="http://schemas.openxmlformats.org/drawingml/2006/picture">
                      <pic:pic>
                        <pic:nvPicPr>
                          <pic:cNvPr id="0" name="c4.png"/>
                          <pic:cNvPicPr/>
                        </pic:nvPicPr>
                        <pic:blipFill>
                          <a:blip r:embed="rId16"/>
                          <a:stretch>
                            <a:fillRect/>
                          </a:stretch>
                        </pic:blipFill>
                        <pic:spPr>
                          <a:xfrm>
                            <a:off x="0" y="0"/>
                            <a:ext cx="5040000" cy="2450886"/>
                          </a:xfrm>
                          <a:prstGeom prst="rect"/>
                        </pic:spPr>
                      </pic:pic>
                    </a:graphicData>
                  </a:graphic>
                </wp:inline>
              </w:drawing>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938" w:type="dxa"/>
            </w:tblPr>
            <w:tblGrid>
              <w:gridCol w:w="1814"/>
              <w:gridCol w:w="1531"/>
              <w:gridCol w:w="1531"/>
              <w:gridCol w:w="1531"/>
              <w:gridCol w:w="1531"/>
            </w:tblGrid>
            <w:tr>
              <w:tc>
                <w:tcPr>
                  <w:tcW w:type="dxa" w:w="1814"/>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Suffix</w:t>
                  </w:r>
                </w:p>
              </w:tc>
              <w:tc>
                <w:tcPr>
                  <w:tcW w:type="dxa" w:w="153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Total</w:t>
                  </w:r>
                </w:p>
              </w:tc>
              <w:tc>
                <w:tcPr>
                  <w:tcW w:type="dxa" w:w="153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 of all</w:t>
                  </w:r>
                </w:p>
              </w:tc>
              <w:tc>
                <w:tcPr>
                  <w:tcW w:type="dxa" w:w="153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Gambling</w:t>
                  </w:r>
                </w:p>
              </w:tc>
              <w:tc>
                <w:tcPr>
                  <w:tcW w:type="dxa" w:w="153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 gambling</w:t>
                  </w:r>
                </w:p>
              </w:tc>
            </w:tr>
            <w:tr>
              <w:tc>
                <w:tcPr>
                  <w:tcW w:type="dxa" w:w="1814"/>
                  <w:tcMar>
                    <w:top w:w="56" w:type="dxa"/>
                    <w:start w:w="85" w:type="dxa"/>
                    <w:bottom w:w="56" w:type="dxa"/>
                    <w:end w:w="85" w:type="dxa"/>
                  </w:tcMar>
                </w:tcPr>
                <w:p>
                  <w:pPr>
                    <w:spacing w:after="0"/>
                  </w:pPr>
                  <w:r>
                    <w:rPr>
                      <w:rFonts w:ascii="Calibri" w:hAnsi="Calibri" w:cs="Calibri" w:eastAsia="Calibri"/>
                      <w:b w:val="0"/>
                      <w:i w:val="0"/>
                      <w:color w:val="1B2733"/>
                      <w:sz w:val="18"/>
                    </w:rPr>
                    <w:t>.org</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6,100</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24.8%</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11</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0.2%</w:t>
                  </w:r>
                </w:p>
              </w:tc>
            </w:tr>
            <w:tr>
              <w:tc>
                <w:tcPr>
                  <w:tcW w:type="dxa" w:w="1814"/>
                  <w:tcMar>
                    <w:top w:w="56" w:type="dxa"/>
                    <w:start w:w="85" w:type="dxa"/>
                    <w:bottom w:w="56" w:type="dxa"/>
                    <w:end w:w="85" w:type="dxa"/>
                  </w:tcMar>
                </w:tcPr>
                <w:p>
                  <w:pPr>
                    <w:spacing w:after="0"/>
                  </w:pPr>
                  <w:r>
                    <w:rPr>
                      <w:rFonts w:ascii="Calibri" w:hAnsi="Calibri" w:cs="Calibri" w:eastAsia="Calibri"/>
                      <w:b w:val="0"/>
                      <w:i w:val="0"/>
                      <w:color w:val="1B2733"/>
                      <w:sz w:val="18"/>
                    </w:rPr>
                    <w:t>.com</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3,799</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15.4%</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1,661</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43.7%</w:t>
                  </w:r>
                </w:p>
              </w:tc>
            </w:tr>
            <w:tr>
              <w:tc>
                <w:tcPr>
                  <w:tcW w:type="dxa" w:w="1814"/>
                  <w:tcMar>
                    <w:top w:w="56" w:type="dxa"/>
                    <w:start w:w="85" w:type="dxa"/>
                    <w:bottom w:w="56" w:type="dxa"/>
                    <w:end w:w="85" w:type="dxa"/>
                  </w:tcMar>
                </w:tcPr>
                <w:p>
                  <w:pPr>
                    <w:spacing w:after="0"/>
                  </w:pPr>
                  <w:r>
                    <w:rPr>
                      <w:rFonts w:ascii="Calibri" w:hAnsi="Calibri" w:cs="Calibri" w:eastAsia="Calibri"/>
                      <w:b w:val="0"/>
                      <w:i w:val="0"/>
                      <w:color w:val="1B2733"/>
                      <w:sz w:val="18"/>
                    </w:rPr>
                    <w:t>.co</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2,031</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8.3%</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1,755</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86.4%</w:t>
                  </w:r>
                </w:p>
              </w:tc>
            </w:tr>
            <w:tr>
              <w:tc>
                <w:tcPr>
                  <w:tcW w:type="dxa" w:w="1814"/>
                  <w:tcMar>
                    <w:top w:w="56" w:type="dxa"/>
                    <w:start w:w="85" w:type="dxa"/>
                    <w:bottom w:w="56" w:type="dxa"/>
                    <w:end w:w="85" w:type="dxa"/>
                  </w:tcMar>
                </w:tcPr>
                <w:p>
                  <w:pPr>
                    <w:spacing w:after="0"/>
                  </w:pPr>
                  <w:r>
                    <w:rPr>
                      <w:rFonts w:ascii="Calibri" w:hAnsi="Calibri" w:cs="Calibri" w:eastAsia="Calibri"/>
                      <w:b w:val="0"/>
                      <w:i w:val="0"/>
                      <w:color w:val="1B2733"/>
                      <w:sz w:val="18"/>
                    </w:rPr>
                    <w:t>.net</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1,609</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6.5%</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1,034</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64.3%</w:t>
                  </w:r>
                </w:p>
              </w:tc>
            </w:tr>
            <w:tr>
              <w:tc>
                <w:tcPr>
                  <w:tcW w:type="dxa" w:w="1814"/>
                  <w:tcMar>
                    <w:top w:w="56" w:type="dxa"/>
                    <w:start w:w="85" w:type="dxa"/>
                    <w:bottom w:w="56" w:type="dxa"/>
                    <w:end w:w="85" w:type="dxa"/>
                  </w:tcMar>
                </w:tcPr>
                <w:p>
                  <w:pPr>
                    <w:spacing w:after="0"/>
                  </w:pPr>
                  <w:r>
                    <w:rPr>
                      <w:rFonts w:ascii="Calibri" w:hAnsi="Calibri" w:cs="Calibri" w:eastAsia="Calibri"/>
                      <w:b w:val="0"/>
                      <w:i w:val="0"/>
                      <w:color w:val="1B2733"/>
                      <w:sz w:val="18"/>
                    </w:rPr>
                    <w:t>.cc</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1,126</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4.6%</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666</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59.1%</w:t>
                  </w:r>
                </w:p>
              </w:tc>
            </w:tr>
            <w:tr>
              <w:tc>
                <w:tcPr>
                  <w:tcW w:type="dxa" w:w="1814"/>
                  <w:tcMar>
                    <w:top w:w="56" w:type="dxa"/>
                    <w:start w:w="85" w:type="dxa"/>
                    <w:bottom w:w="56" w:type="dxa"/>
                    <w:end w:w="85" w:type="dxa"/>
                  </w:tcMar>
                </w:tcPr>
                <w:p>
                  <w:pPr>
                    <w:spacing w:after="0"/>
                  </w:pPr>
                  <w:r>
                    <w:rPr>
                      <w:rFonts w:ascii="Calibri" w:hAnsi="Calibri" w:cs="Calibri" w:eastAsia="Calibri"/>
                      <w:b w:val="0"/>
                      <w:i w:val="0"/>
                      <w:color w:val="1B2733"/>
                      <w:sz w:val="18"/>
                    </w:rPr>
                    <w:t>.vip</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1,022</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4.2%</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925</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90.5%</w:t>
                  </w:r>
                </w:p>
              </w:tc>
            </w:tr>
            <w:tr>
              <w:tc>
                <w:tcPr>
                  <w:tcW w:type="dxa" w:w="1814"/>
                  <w:tcMar>
                    <w:top w:w="56" w:type="dxa"/>
                    <w:start w:w="85" w:type="dxa"/>
                    <w:bottom w:w="56" w:type="dxa"/>
                    <w:end w:w="85" w:type="dxa"/>
                  </w:tcMar>
                </w:tcPr>
                <w:p>
                  <w:pPr>
                    <w:spacing w:after="0"/>
                  </w:pPr>
                  <w:r>
                    <w:rPr>
                      <w:rFonts w:ascii="Calibri" w:hAnsi="Calibri" w:cs="Calibri" w:eastAsia="Calibri"/>
                      <w:b w:val="0"/>
                      <w:i w:val="0"/>
                      <w:color w:val="1B2733"/>
                      <w:sz w:val="18"/>
                    </w:rPr>
                    <w:t>.app</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820</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3.3%</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598</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72.9%</w:t>
                  </w:r>
                </w:p>
              </w:tc>
            </w:tr>
            <w:tr>
              <w:tc>
                <w:tcPr>
                  <w:tcW w:type="dxa" w:w="1814"/>
                  <w:tcMar>
                    <w:top w:w="56" w:type="dxa"/>
                    <w:start w:w="85" w:type="dxa"/>
                    <w:bottom w:w="56" w:type="dxa"/>
                    <w:end w:w="85" w:type="dxa"/>
                  </w:tcMar>
                </w:tcPr>
                <w:p>
                  <w:pPr>
                    <w:spacing w:after="0"/>
                  </w:pPr>
                  <w:r>
                    <w:rPr>
                      <w:rFonts w:ascii="Calibri" w:hAnsi="Calibri" w:cs="Calibri" w:eastAsia="Calibri"/>
                      <w:b w:val="0"/>
                      <w:i w:val="0"/>
                      <w:color w:val="1B2733"/>
                      <w:sz w:val="18"/>
                    </w:rPr>
                    <w:t>.pro</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752</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3.1%</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648</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86.2%</w:t>
                  </w:r>
                </w:p>
              </w:tc>
            </w:tr>
            <w:tr>
              <w:tc>
                <w:tcPr>
                  <w:tcW w:type="dxa" w:w="1814"/>
                  <w:tcMar>
                    <w:top w:w="56" w:type="dxa"/>
                    <w:start w:w="85" w:type="dxa"/>
                    <w:bottom w:w="56" w:type="dxa"/>
                    <w:end w:w="85" w:type="dxa"/>
                  </w:tcMar>
                </w:tcPr>
                <w:p>
                  <w:pPr>
                    <w:spacing w:after="0"/>
                  </w:pPr>
                  <w:r>
                    <w:rPr>
                      <w:rFonts w:ascii="Calibri" w:hAnsi="Calibri" w:cs="Calibri" w:eastAsia="Calibri"/>
                      <w:b w:val="0"/>
                      <w:i w:val="0"/>
                      <w:color w:val="1B2733"/>
                      <w:sz w:val="18"/>
                    </w:rPr>
                    <w:t>.bet</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694</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2.8%</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670</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96.5%</w:t>
                  </w:r>
                </w:p>
              </w:tc>
            </w:tr>
            <w:tr>
              <w:tc>
                <w:tcPr>
                  <w:tcW w:type="dxa" w:w="1814"/>
                  <w:tcMar>
                    <w:top w:w="56" w:type="dxa"/>
                    <w:start w:w="85" w:type="dxa"/>
                    <w:bottom w:w="56" w:type="dxa"/>
                    <w:end w:w="85" w:type="dxa"/>
                  </w:tcMar>
                </w:tcPr>
                <w:p>
                  <w:pPr>
                    <w:spacing w:after="0"/>
                  </w:pPr>
                  <w:r>
                    <w:rPr>
                      <w:rFonts w:ascii="Calibri" w:hAnsi="Calibri" w:cs="Calibri" w:eastAsia="Calibri"/>
                      <w:b w:val="0"/>
                      <w:i w:val="0"/>
                      <w:color w:val="1B2733"/>
                      <w:sz w:val="18"/>
                    </w:rPr>
                    <w:t>.top</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625</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2.5%</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325</w:t>
                  </w:r>
                </w:p>
              </w:tc>
              <w:tc>
                <w:tcPr>
                  <w:tcW w:type="dxa" w:w="1531"/>
                  <w:tcMar>
                    <w:top w:w="56" w:type="dxa"/>
                    <w:start w:w="85" w:type="dxa"/>
                    <w:bottom w:w="56" w:type="dxa"/>
                    <w:end w:w="85" w:type="dxa"/>
                  </w:tcMar>
                </w:tcPr>
                <w:p>
                  <w:pPr>
                    <w:spacing w:after="0"/>
                    <w:jc w:val="right"/>
                  </w:pPr>
                  <w:r>
                    <w:rPr>
                      <w:rFonts w:ascii="Calibri" w:hAnsi="Calibri" w:cs="Calibri" w:eastAsia="Calibri"/>
                      <w:b w:val="0"/>
                      <w:i w:val="0"/>
                      <w:color w:val="1B2733"/>
                      <w:sz w:val="18"/>
                    </w:rPr>
                    <w:t>52.0%</w:t>
                  </w:r>
                </w:p>
              </w:tc>
            </w:tr>
          </w:tbl>
          <w:p/>
          <w:p>
            <w:pPr>
              <w:spacing w:after="0"/>
            </w:pPr>
            <w:r>
              <w:rPr>
                <w:rFonts w:ascii="Calibri" w:hAnsi="Calibri" w:cs="Calibri" w:eastAsia="Calibri"/>
                <w:b w:val="0"/>
                <w:i/>
                <w:color w:val="5B6B7B"/>
                <w:sz w:val="16"/>
              </w:rPr>
              <w:t>Figure 3 — The ten most common URL suffixes and their gambling share.</w:t>
            </w:r>
          </w:p>
        </w:tc>
      </w:tr>
    </w:tbl>
    <w:p>
      <w:pPr>
        <w:spacing w:after="60"/>
      </w:pPr>
    </w:p>
    <w:p>
      <w:r>
        <w:br w:type="page"/>
      </w:r>
    </w:p>
    <w:p>
      <w:bookmarkStart w:id="1017" w:name="c1017"/>
      <w:pPr>
        <w:pStyle w:val="Heading2"/>
      </w:pPr>
      <w:bookmarkEnd w:id="1017"/>
      <w:r>
        <w:rPr>
          <w:rFonts w:ascii="Calibri" w:hAnsi="Calibri" w:cs="Calibri" w:eastAsia="Calibri"/>
          <w:b/>
          <w:i w:val="0"/>
          <w:color w:val="1F3F63"/>
          <w:sz w:val="26"/>
        </w:rPr>
        <w:t>Subcategories</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18" w:name="c1018"/>
            <w:pPr>
              <w:keepNext/>
              <w:keepLines/>
              <w:spacing w:after="60"/>
            </w:pPr>
            <w:bookmarkEnd w:id="1018"/>
            <w:r>
              <w:rPr>
                <w:rFonts w:ascii="Calibri" w:hAnsi="Calibri" w:cs="Calibri" w:eastAsia="Calibri"/>
                <w:b/>
                <w:i w:val="0"/>
                <w:color w:val="1B2733"/>
                <w:sz w:val="22"/>
              </w:rPr>
              <w:t>Gambling sites by product subcategory</w:t>
            </w:r>
          </w:p>
          <w:p>
            <w:pPr>
              <w:spacing w:after="80"/>
            </w:pPr>
            <w:r>
              <w:rPr>
                <w:rFonts w:ascii="Calibri" w:hAnsi="Calibri" w:cs="Calibri" w:eastAsia="Calibri"/>
                <w:b w:val="0"/>
                <w:i w:val="0"/>
                <w:color w:val="5B6B7B"/>
                <w:sz w:val="18"/>
              </w:rPr>
              <w:t>Gambling sites by product subcategory. Bar length is the site count and each label carries the count and the share of gambling rows.</w:t>
            </w:r>
          </w:p>
          <w:p>
            <w:pPr>
              <w:spacing w:after="60"/>
              <w:jc w:val="center"/>
            </w:pPr>
            <w:r>
              <w:drawing>
                <wp:inline xmlns:a="http://schemas.openxmlformats.org/drawingml/2006/main" xmlns:pic="http://schemas.openxmlformats.org/drawingml/2006/picture">
                  <wp:extent cx="5040000" cy="2454056"/>
                  <wp:docPr id="5" name="Picture 5"/>
                  <wp:cNvGraphicFramePr>
                    <a:graphicFrameLocks noChangeAspect="1"/>
                  </wp:cNvGraphicFramePr>
                  <a:graphic>
                    <a:graphicData uri="http://schemas.openxmlformats.org/drawingml/2006/picture">
                      <pic:pic>
                        <pic:nvPicPr>
                          <pic:cNvPr id="0" name="d1.png"/>
                          <pic:cNvPicPr/>
                        </pic:nvPicPr>
                        <pic:blipFill>
                          <a:blip r:embed="rId17"/>
                          <a:stretch>
                            <a:fillRect/>
                          </a:stretch>
                        </pic:blipFill>
                        <pic:spPr>
                          <a:xfrm>
                            <a:off x="0" y="0"/>
                            <a:ext cx="5040000" cy="2454056"/>
                          </a:xfrm>
                          <a:prstGeom prst="rect"/>
                        </pic:spPr>
                      </pic:pic>
                    </a:graphicData>
                  </a:graphic>
                </wp:inline>
              </w:drawing>
            </w:r>
          </w:p>
          <w:p>
            <w:pPr>
              <w:spacing w:after="0"/>
            </w:pPr>
            <w:r>
              <w:rPr>
                <w:rFonts w:ascii="Calibri" w:hAnsi="Calibri" w:cs="Calibri" w:eastAsia="Calibri"/>
                <w:b w:val="0"/>
                <w:i/>
                <w:color w:val="5B6B7B"/>
                <w:sz w:val="16"/>
              </w:rPr>
              <w:t>Figure 4 — Product subcategory distribution across 11,648 gambling rows.</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19" w:name="c1019"/>
            <w:pPr>
              <w:keepNext/>
              <w:keepLines/>
              <w:spacing w:after="60"/>
            </w:pPr>
            <w:bookmarkEnd w:id="1019"/>
            <w:r>
              <w:rPr>
                <w:rFonts w:ascii="Calibri" w:hAnsi="Calibri" w:cs="Calibri" w:eastAsia="Calibri"/>
                <w:b/>
                <w:i w:val="0"/>
                <w:color w:val="1B2733"/>
                <w:sz w:val="22"/>
              </w:rPr>
              <w:t>Assignment method by subcategory</w:t>
            </w:r>
          </w:p>
          <w:p>
            <w:pPr>
              <w:spacing w:after="80"/>
            </w:pPr>
            <w:r>
              <w:rPr>
                <w:rFonts w:ascii="Calibri" w:hAnsi="Calibri" w:cs="Calibri" w:eastAsia="Calibri"/>
                <w:b w:val="0"/>
                <w:i w:val="0"/>
                <w:color w:val="5B6B7B"/>
                <w:sz w:val="18"/>
              </w:rPr>
              <w:t>How each subcategory was assigned. Solid fill is a lexicon keyword match and the lighter fill is reasoning inference.</w:t>
            </w:r>
          </w:p>
          <w:p>
            <w:pPr>
              <w:spacing w:after="60"/>
              <w:jc w:val="center"/>
            </w:pPr>
            <w:r>
              <w:drawing>
                <wp:inline xmlns:a="http://schemas.openxmlformats.org/drawingml/2006/main" xmlns:pic="http://schemas.openxmlformats.org/drawingml/2006/picture">
                  <wp:extent cx="5040000" cy="2501471"/>
                  <wp:docPr id="6" name="Picture 6"/>
                  <wp:cNvGraphicFramePr>
                    <a:graphicFrameLocks noChangeAspect="1"/>
                  </wp:cNvGraphicFramePr>
                  <a:graphic>
                    <a:graphicData uri="http://schemas.openxmlformats.org/drawingml/2006/picture">
                      <pic:pic>
                        <pic:nvPicPr>
                          <pic:cNvPr id="0" name="d2.png"/>
                          <pic:cNvPicPr/>
                        </pic:nvPicPr>
                        <pic:blipFill>
                          <a:blip r:embed="rId18"/>
                          <a:stretch>
                            <a:fillRect/>
                          </a:stretch>
                        </pic:blipFill>
                        <pic:spPr>
                          <a:xfrm>
                            <a:off x="0" y="0"/>
                            <a:ext cx="5040000" cy="2501471"/>
                          </a:xfrm>
                          <a:prstGeom prst="rect"/>
                        </pic:spPr>
                      </pic:pic>
                    </a:graphicData>
                  </a:graphic>
                </wp:inline>
              </w:drawing>
            </w:r>
          </w:p>
          <w:p>
            <w:pPr>
              <w:spacing w:after="40"/>
            </w:pPr>
            <w:r>
              <w:rPr>
                <w:rFonts w:ascii="Calibri" w:hAnsi="Calibri" w:cs="Calibri" w:eastAsia="Calibri"/>
                <w:b/>
                <w:i w:val="0"/>
                <w:color w:val="1B2733"/>
                <w:sz w:val="20"/>
              </w:rPr>
              <w:t>What a lexicon match means</w:t>
            </w:r>
          </w:p>
          <w:p>
            <w:pPr>
              <w:spacing w:after="60"/>
            </w:pPr>
            <w:r>
              <w:rPr>
                <w:rFonts w:ascii="Calibri" w:hAnsi="Calibri" w:cs="Calibri" w:eastAsia="Calibri"/>
                <w:b w:val="0"/>
                <w:i w:val="0"/>
                <w:color w:val="1B2733"/>
                <w:sz w:val="19"/>
              </w:rPr>
              <w:t xml:space="preserve">A site is assigned by lexicon match when a word from the gambling keyword lexicon appears in what was recorded about it, in the description, the extracted keywords, the remarks of the SICPADetect automated classification pipeline, or the URL, and that word belongs to the category assigned. A description containing </w:t>
            </w:r>
            <w:r>
              <w:rPr>
                <w:rFonts w:ascii="Leelawadee UI" w:hAnsi="Leelawadee UI" w:cs="Leelawadee UI" w:eastAsia="Leelawadee UI"/>
                <w:b w:val="0"/>
                <w:i w:val="0"/>
                <w:color w:val="1B2733"/>
                <w:sz w:val="19"/>
              </w:rPr>
              <w:t>คาสิโน</w:t>
            </w:r>
            <w:r>
              <w:rPr>
                <w:rFonts w:ascii="Calibri" w:hAnsi="Calibri" w:cs="Calibri" w:eastAsia="Calibri"/>
                <w:b w:val="0"/>
                <w:i w:val="0"/>
                <w:color w:val="1B2733"/>
                <w:sz w:val="19"/>
              </w:rPr>
              <w:t xml:space="preserve"> is assigned to Casino. The lexicon is the SICPADetect Thai gambling keyword lexicon, at the title page version: 286 keywords in 14 categories, mostly Thai. Seven decide the subcategory; the other seven become signal tags. A lexicon match rests on a word that can be pointed to, so it can be rechecked. An inferred assignment rests on the model's own reading and carries lower confidence. A large inferred share means the sites use vocabulary the lexicon does not cover.</w:t>
            </w:r>
          </w:p>
          <w:p>
            <w:pPr>
              <w:spacing w:after="0"/>
            </w:pPr>
            <w:r>
              <w:rPr>
                <w:rFonts w:ascii="Calibri" w:hAnsi="Calibri" w:cs="Calibri" w:eastAsia="Calibri"/>
                <w:b w:val="0"/>
                <w:i/>
                <w:color w:val="5B6B7B"/>
                <w:sz w:val="16"/>
              </w:rPr>
              <w:t>Figure 5 — Inferred share 96.3%; general gambling share 25.0%. The lexicon has poor coverage of this dataset, so subcategory figures are indicative only.</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20" w:name="c1020"/>
            <w:pPr>
              <w:keepNext/>
              <w:keepLines/>
              <w:spacing w:after="60"/>
            </w:pPr>
            <w:bookmarkEnd w:id="1020"/>
            <w:r>
              <w:rPr>
                <w:rFonts w:ascii="Calibri" w:hAnsi="Calibri" w:cs="Calibri" w:eastAsia="Calibri"/>
                <w:b/>
                <w:i w:val="0"/>
                <w:color w:val="1B2733"/>
                <w:sz w:val="22"/>
              </w:rPr>
              <w:t>Subcategory table</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938" w:type="dxa"/>
            </w:tblPr>
            <w:tblGrid>
              <w:gridCol w:w="2154"/>
              <w:gridCol w:w="1134"/>
              <w:gridCol w:w="1417"/>
              <w:gridCol w:w="1077"/>
              <w:gridCol w:w="1077"/>
              <w:gridCol w:w="1077"/>
            </w:tblGrid>
            <w:tr>
              <w:tc>
                <w:tcPr>
                  <w:tcW w:type="dxa" w:w="2154"/>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Subcategory</w:t>
                  </w:r>
                </w:p>
              </w:tc>
              <w:tc>
                <w:tcPr>
                  <w:tcW w:type="dxa" w:w="1134"/>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Count</w:t>
                  </w:r>
                </w:p>
              </w:tc>
              <w:tc>
                <w:tcPr>
                  <w:tcW w:type="dxa" w:w="1417"/>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 of gambling</w:t>
                  </w:r>
                </w:p>
              </w:tc>
              <w:tc>
                <w:tcPr>
                  <w:tcW w:type="dxa" w:w="1077"/>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Keyword</w:t>
                  </w:r>
                </w:p>
              </w:tc>
              <w:tc>
                <w:tcPr>
                  <w:tcW w:type="dxa" w:w="1077"/>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Inferred</w:t>
                  </w:r>
                </w:p>
              </w:tc>
              <w:tc>
                <w:tcPr>
                  <w:tcW w:type="dxa" w:w="1077"/>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7"/>
                    </w:rPr>
                    <w:t>Clusters</w:t>
                  </w:r>
                </w:p>
              </w:tc>
            </w:tr>
            <w:tr>
              <w:tc>
                <w:tcPr>
                  <w:tcW w:type="dxa" w:w="2154"/>
                  <w:tcMar>
                    <w:top w:w="56" w:type="dxa"/>
                    <w:start w:w="85" w:type="dxa"/>
                    <w:bottom w:w="56" w:type="dxa"/>
                    <w:end w:w="85" w:type="dxa"/>
                  </w:tcMar>
                </w:tcPr>
                <w:p>
                  <w:pPr>
                    <w:spacing w:after="0"/>
                  </w:pPr>
                  <w:r>
                    <w:rPr>
                      <w:rFonts w:ascii="Calibri" w:hAnsi="Calibri" w:cs="Calibri" w:eastAsia="Calibri"/>
                      <w:b w:val="0"/>
                      <w:i w:val="0"/>
                      <w:color w:val="1B2733"/>
                      <w:sz w:val="18"/>
                    </w:rPr>
                    <w:t>Casino</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8"/>
                    </w:rPr>
                    <w:t>3,671</w:t>
                  </w:r>
                </w:p>
              </w:tc>
              <w:tc>
                <w:tcPr>
                  <w:tcW w:type="dxa" w:w="1417"/>
                  <w:tcMar>
                    <w:top w:w="56" w:type="dxa"/>
                    <w:start w:w="85" w:type="dxa"/>
                    <w:bottom w:w="56" w:type="dxa"/>
                    <w:end w:w="85" w:type="dxa"/>
                  </w:tcMar>
                </w:tcPr>
                <w:p>
                  <w:pPr>
                    <w:spacing w:after="0"/>
                    <w:jc w:val="right"/>
                  </w:pPr>
                  <w:r>
                    <w:rPr>
                      <w:rFonts w:ascii="Calibri" w:hAnsi="Calibri" w:cs="Calibri" w:eastAsia="Calibri"/>
                      <w:b w:val="0"/>
                      <w:i w:val="0"/>
                      <w:color w:val="1B2733"/>
                      <w:sz w:val="18"/>
                    </w:rPr>
                    <w:t>31.5%</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125</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3,546</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868</w:t>
                  </w:r>
                </w:p>
              </w:tc>
            </w:tr>
            <w:tr>
              <w:tc>
                <w:tcPr>
                  <w:tcW w:type="dxa" w:w="2154"/>
                  <w:tcMar>
                    <w:top w:w="56" w:type="dxa"/>
                    <w:start w:w="85" w:type="dxa"/>
                    <w:bottom w:w="56" w:type="dxa"/>
                    <w:end w:w="85" w:type="dxa"/>
                  </w:tcMar>
                </w:tcPr>
                <w:p>
                  <w:pPr>
                    <w:spacing w:after="0"/>
                  </w:pPr>
                  <w:r>
                    <w:rPr>
                      <w:rFonts w:ascii="Calibri" w:hAnsi="Calibri" w:cs="Calibri" w:eastAsia="Calibri"/>
                      <w:b w:val="0"/>
                      <w:i w:val="0"/>
                      <w:color w:val="1B2733"/>
                      <w:sz w:val="18"/>
                    </w:rPr>
                    <w:t>Slots</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8"/>
                    </w:rPr>
                    <w:t>3,370</w:t>
                  </w:r>
                </w:p>
              </w:tc>
              <w:tc>
                <w:tcPr>
                  <w:tcW w:type="dxa" w:w="1417"/>
                  <w:tcMar>
                    <w:top w:w="56" w:type="dxa"/>
                    <w:start w:w="85" w:type="dxa"/>
                    <w:bottom w:w="56" w:type="dxa"/>
                    <w:end w:w="85" w:type="dxa"/>
                  </w:tcMar>
                </w:tcPr>
                <w:p>
                  <w:pPr>
                    <w:spacing w:after="0"/>
                    <w:jc w:val="right"/>
                  </w:pPr>
                  <w:r>
                    <w:rPr>
                      <w:rFonts w:ascii="Calibri" w:hAnsi="Calibri" w:cs="Calibri" w:eastAsia="Calibri"/>
                      <w:b w:val="0"/>
                      <w:i w:val="0"/>
                      <w:color w:val="1B2733"/>
                      <w:sz w:val="18"/>
                    </w:rPr>
                    <w:t>28.9%</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219</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3,151</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857</w:t>
                  </w:r>
                </w:p>
              </w:tc>
            </w:tr>
            <w:tr>
              <w:tc>
                <w:tcPr>
                  <w:tcW w:type="dxa" w:w="2154"/>
                  <w:tcMar>
                    <w:top w:w="56" w:type="dxa"/>
                    <w:start w:w="85" w:type="dxa"/>
                    <w:bottom w:w="56" w:type="dxa"/>
                    <w:end w:w="85" w:type="dxa"/>
                  </w:tcMar>
                </w:tcPr>
                <w:p>
                  <w:pPr>
                    <w:spacing w:after="0"/>
                  </w:pPr>
                  <w:r>
                    <w:rPr>
                      <w:rFonts w:ascii="Calibri" w:hAnsi="Calibri" w:cs="Calibri" w:eastAsia="Calibri"/>
                      <w:b w:val="0"/>
                      <w:i w:val="0"/>
                      <w:color w:val="1B2733"/>
                      <w:sz w:val="18"/>
                    </w:rPr>
                    <w:t>General Gambling</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8"/>
                    </w:rPr>
                    <w:t>2,907</w:t>
                  </w:r>
                </w:p>
              </w:tc>
              <w:tc>
                <w:tcPr>
                  <w:tcW w:type="dxa" w:w="1417"/>
                  <w:tcMar>
                    <w:top w:w="56" w:type="dxa"/>
                    <w:start w:w="85" w:type="dxa"/>
                    <w:bottom w:w="56" w:type="dxa"/>
                    <w:end w:w="85" w:type="dxa"/>
                  </w:tcMar>
                </w:tcPr>
                <w:p>
                  <w:pPr>
                    <w:spacing w:after="0"/>
                    <w:jc w:val="right"/>
                  </w:pPr>
                  <w:r>
                    <w:rPr>
                      <w:rFonts w:ascii="Calibri" w:hAnsi="Calibri" w:cs="Calibri" w:eastAsia="Calibri"/>
                      <w:b w:val="0"/>
                      <w:i w:val="0"/>
                      <w:color w:val="1B2733"/>
                      <w:sz w:val="18"/>
                    </w:rPr>
                    <w:t>25.0%</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18</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2,889</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725</w:t>
                  </w:r>
                </w:p>
              </w:tc>
            </w:tr>
            <w:tr>
              <w:tc>
                <w:tcPr>
                  <w:tcW w:type="dxa" w:w="2154"/>
                  <w:tcMar>
                    <w:top w:w="56" w:type="dxa"/>
                    <w:start w:w="85" w:type="dxa"/>
                    <w:bottom w:w="56" w:type="dxa"/>
                    <w:end w:w="85" w:type="dxa"/>
                  </w:tcMar>
                </w:tcPr>
                <w:p>
                  <w:pPr>
                    <w:spacing w:after="0"/>
                  </w:pPr>
                  <w:r>
                    <w:rPr>
                      <w:rFonts w:ascii="Calibri" w:hAnsi="Calibri" w:cs="Calibri" w:eastAsia="Calibri"/>
                      <w:b w:val="0"/>
                      <w:i w:val="0"/>
                      <w:color w:val="1B2733"/>
                      <w:sz w:val="18"/>
                    </w:rPr>
                    <w:t>Football Betting</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8"/>
                    </w:rPr>
                    <w:t>925</w:t>
                  </w:r>
                </w:p>
              </w:tc>
              <w:tc>
                <w:tcPr>
                  <w:tcW w:type="dxa" w:w="1417"/>
                  <w:tcMar>
                    <w:top w:w="56" w:type="dxa"/>
                    <w:start w:w="85" w:type="dxa"/>
                    <w:bottom w:w="56" w:type="dxa"/>
                    <w:end w:w="85" w:type="dxa"/>
                  </w:tcMar>
                </w:tcPr>
                <w:p>
                  <w:pPr>
                    <w:spacing w:after="0"/>
                    <w:jc w:val="right"/>
                  </w:pPr>
                  <w:r>
                    <w:rPr>
                      <w:rFonts w:ascii="Calibri" w:hAnsi="Calibri" w:cs="Calibri" w:eastAsia="Calibri"/>
                      <w:b w:val="0"/>
                      <w:i w:val="0"/>
                      <w:color w:val="1B2733"/>
                      <w:sz w:val="18"/>
                    </w:rPr>
                    <w:t>7.9%</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9</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916</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376</w:t>
                  </w:r>
                </w:p>
              </w:tc>
            </w:tr>
            <w:tr>
              <w:tc>
                <w:tcPr>
                  <w:tcW w:type="dxa" w:w="2154"/>
                  <w:tcMar>
                    <w:top w:w="56" w:type="dxa"/>
                    <w:start w:w="85" w:type="dxa"/>
                    <w:bottom w:w="56" w:type="dxa"/>
                    <w:end w:w="85" w:type="dxa"/>
                  </w:tcMar>
                </w:tcPr>
                <w:p>
                  <w:pPr>
                    <w:spacing w:after="0"/>
                  </w:pPr>
                  <w:r>
                    <w:rPr>
                      <w:rFonts w:ascii="Calibri" w:hAnsi="Calibri" w:cs="Calibri" w:eastAsia="Calibri"/>
                      <w:b w:val="0"/>
                      <w:i w:val="0"/>
                      <w:color w:val="1B2733"/>
                      <w:sz w:val="18"/>
                    </w:rPr>
                    <w:t>Playing card</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8"/>
                    </w:rPr>
                    <w:t>367</w:t>
                  </w:r>
                </w:p>
              </w:tc>
              <w:tc>
                <w:tcPr>
                  <w:tcW w:type="dxa" w:w="1417"/>
                  <w:tcMar>
                    <w:top w:w="56" w:type="dxa"/>
                    <w:start w:w="85" w:type="dxa"/>
                    <w:bottom w:w="56" w:type="dxa"/>
                    <w:end w:w="85" w:type="dxa"/>
                  </w:tcMar>
                </w:tcPr>
                <w:p>
                  <w:pPr>
                    <w:spacing w:after="0"/>
                    <w:jc w:val="right"/>
                  </w:pPr>
                  <w:r>
                    <w:rPr>
                      <w:rFonts w:ascii="Calibri" w:hAnsi="Calibri" w:cs="Calibri" w:eastAsia="Calibri"/>
                      <w:b w:val="0"/>
                      <w:i w:val="0"/>
                      <w:color w:val="1B2733"/>
                      <w:sz w:val="18"/>
                    </w:rPr>
                    <w:t>3.2%</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7</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360</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221</w:t>
                  </w:r>
                </w:p>
              </w:tc>
            </w:tr>
            <w:tr>
              <w:tc>
                <w:tcPr>
                  <w:tcW w:type="dxa" w:w="2154"/>
                  <w:tcMar>
                    <w:top w:w="56" w:type="dxa"/>
                    <w:start w:w="85" w:type="dxa"/>
                    <w:bottom w:w="56" w:type="dxa"/>
                    <w:end w:w="85" w:type="dxa"/>
                  </w:tcMar>
                </w:tcPr>
                <w:p>
                  <w:pPr>
                    <w:spacing w:after="0"/>
                  </w:pPr>
                  <w:r>
                    <w:rPr>
                      <w:rFonts w:ascii="Calibri" w:hAnsi="Calibri" w:cs="Calibri" w:eastAsia="Calibri"/>
                      <w:b w:val="0"/>
                      <w:i w:val="0"/>
                      <w:color w:val="1B2733"/>
                      <w:sz w:val="18"/>
                    </w:rPr>
                    <w:t>Lottery</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8"/>
                    </w:rPr>
                    <w:t>230</w:t>
                  </w:r>
                </w:p>
              </w:tc>
              <w:tc>
                <w:tcPr>
                  <w:tcW w:type="dxa" w:w="1417"/>
                  <w:tcMar>
                    <w:top w:w="56" w:type="dxa"/>
                    <w:start w:w="85" w:type="dxa"/>
                    <w:bottom w:w="56" w:type="dxa"/>
                    <w:end w:w="85" w:type="dxa"/>
                  </w:tcMar>
                </w:tcPr>
                <w:p>
                  <w:pPr>
                    <w:spacing w:after="0"/>
                    <w:jc w:val="right"/>
                  </w:pPr>
                  <w:r>
                    <w:rPr>
                      <w:rFonts w:ascii="Calibri" w:hAnsi="Calibri" w:cs="Calibri" w:eastAsia="Calibri"/>
                      <w:b w:val="0"/>
                      <w:i w:val="0"/>
                      <w:color w:val="1B2733"/>
                      <w:sz w:val="18"/>
                    </w:rPr>
                    <w:t>2.0%</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14</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216</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86</w:t>
                  </w:r>
                </w:p>
              </w:tc>
            </w:tr>
            <w:tr>
              <w:tc>
                <w:tcPr>
                  <w:tcW w:type="dxa" w:w="2154"/>
                  <w:tcMar>
                    <w:top w:w="56" w:type="dxa"/>
                    <w:start w:w="85" w:type="dxa"/>
                    <w:bottom w:w="56" w:type="dxa"/>
                    <w:end w:w="85" w:type="dxa"/>
                  </w:tcMar>
                </w:tcPr>
                <w:p>
                  <w:pPr>
                    <w:spacing w:after="0"/>
                  </w:pPr>
                  <w:r>
                    <w:rPr>
                      <w:rFonts w:ascii="Calibri" w:hAnsi="Calibri" w:cs="Calibri" w:eastAsia="Calibri"/>
                      <w:b w:val="0"/>
                      <w:i w:val="0"/>
                      <w:color w:val="1B2733"/>
                      <w:sz w:val="18"/>
                    </w:rPr>
                    <w:t>Baccarat</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8"/>
                    </w:rPr>
                    <w:t>178</w:t>
                  </w:r>
                </w:p>
              </w:tc>
              <w:tc>
                <w:tcPr>
                  <w:tcW w:type="dxa" w:w="1417"/>
                  <w:tcMar>
                    <w:top w:w="56" w:type="dxa"/>
                    <w:start w:w="85" w:type="dxa"/>
                    <w:bottom w:w="56" w:type="dxa"/>
                    <w:end w:w="85" w:type="dxa"/>
                  </w:tcMar>
                </w:tcPr>
                <w:p>
                  <w:pPr>
                    <w:spacing w:after="0"/>
                    <w:jc w:val="right"/>
                  </w:pPr>
                  <w:r>
                    <w:rPr>
                      <w:rFonts w:ascii="Calibri" w:hAnsi="Calibri" w:cs="Calibri" w:eastAsia="Calibri"/>
                      <w:b w:val="0"/>
                      <w:i w:val="0"/>
                      <w:color w:val="1B2733"/>
                      <w:sz w:val="18"/>
                    </w:rPr>
                    <w:t>1.5%</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36</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142</w:t>
                  </w:r>
                </w:p>
              </w:tc>
              <w:tc>
                <w:tcPr>
                  <w:tcW w:type="dxa" w:w="1077"/>
                  <w:tcMar>
                    <w:top w:w="56" w:type="dxa"/>
                    <w:start w:w="85" w:type="dxa"/>
                    <w:bottom w:w="56" w:type="dxa"/>
                    <w:end w:w="85" w:type="dxa"/>
                  </w:tcMar>
                </w:tcPr>
                <w:p>
                  <w:pPr>
                    <w:spacing w:after="0"/>
                    <w:jc w:val="right"/>
                  </w:pPr>
                  <w:r>
                    <w:rPr>
                      <w:rFonts w:ascii="Calibri" w:hAnsi="Calibri" w:cs="Calibri" w:eastAsia="Calibri"/>
                      <w:b w:val="0"/>
                      <w:i w:val="0"/>
                      <w:color w:val="1B2733"/>
                      <w:sz w:val="18"/>
                    </w:rPr>
                    <w:t>111</w:t>
                  </w:r>
                </w:p>
              </w:tc>
            </w:tr>
          </w:tbl>
          <w:p/>
          <w:p>
            <w:pPr>
              <w:spacing w:after="0"/>
            </w:pPr>
            <w:r>
              <w:rPr>
                <w:rFonts w:ascii="Calibri" w:hAnsi="Calibri" w:cs="Calibri" w:eastAsia="Calibri"/>
                <w:b w:val="0"/>
                <w:i/>
                <w:color w:val="5B6B7B"/>
                <w:sz w:val="16"/>
              </w:rPr>
              <w:t>Table 3 — Subcategory counts with their assignment method split and the number of distinct brand clusters in each.</w:t>
            </w:r>
          </w:p>
        </w:tc>
      </w:tr>
    </w:tbl>
    <w:p>
      <w:pPr>
        <w:spacing w:after="60"/>
      </w:pPr>
    </w:p>
    <w:p>
      <w:r>
        <w:br w:type="page"/>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21" w:name="c1021"/>
            <w:pPr>
              <w:keepNext/>
              <w:keepLines/>
              <w:spacing w:after="60"/>
            </w:pPr>
            <w:bookmarkEnd w:id="1021"/>
            <w:r>
              <w:rPr>
                <w:rFonts w:ascii="Calibri" w:hAnsi="Calibri" w:cs="Calibri" w:eastAsia="Calibri"/>
                <w:b/>
                <w:i w:val="0"/>
                <w:color w:val="1B2733"/>
                <w:sz w:val="22"/>
              </w:rPr>
              <w:t>Heat map — Keyword × subcategory</w:t>
            </w:r>
          </w:p>
          <w:p>
            <w:pPr>
              <w:spacing w:after="80"/>
            </w:pPr>
            <w:r>
              <w:rPr>
                <w:rFonts w:ascii="Calibri" w:hAnsi="Calibri" w:cs="Calibri" w:eastAsia="Calibri"/>
                <w:b w:val="0"/>
                <w:i w:val="0"/>
                <w:color w:val="5B6B7B"/>
                <w:sz w:val="18"/>
              </w:rPr>
              <w:t>Matched keywords against product subcategory. Each cell is the number of gambling sites carrying that keyword in that subcategory.</w:t>
            </w:r>
          </w:p>
          <w:p>
            <w:pPr>
              <w:spacing w:after="60"/>
              <w:jc w:val="center"/>
            </w:pPr>
            <w:r>
              <w:drawing>
                <wp:inline xmlns:a="http://schemas.openxmlformats.org/drawingml/2006/main" xmlns:pic="http://schemas.openxmlformats.org/drawingml/2006/picture">
                  <wp:extent cx="5040000" cy="6244898"/>
                  <wp:docPr id="7" name="Picture 7"/>
                  <wp:cNvGraphicFramePr>
                    <a:graphicFrameLocks noChangeAspect="1"/>
                  </wp:cNvGraphicFramePr>
                  <a:graphic>
                    <a:graphicData uri="http://schemas.openxmlformats.org/drawingml/2006/picture">
                      <pic:pic>
                        <pic:nvPicPr>
                          <pic:cNvPr id="0" name="d4.png"/>
                          <pic:cNvPicPr/>
                        </pic:nvPicPr>
                        <pic:blipFill>
                          <a:blip r:embed="rId19"/>
                          <a:stretch>
                            <a:fillRect/>
                          </a:stretch>
                        </pic:blipFill>
                        <pic:spPr>
                          <a:xfrm>
                            <a:off x="0" y="0"/>
                            <a:ext cx="5040000" cy="6244898"/>
                          </a:xfrm>
                          <a:prstGeom prst="rect"/>
                        </pic:spPr>
                      </pic:pic>
                    </a:graphicData>
                  </a:graphic>
                </wp:inline>
              </w:drawing>
            </w:r>
          </w:p>
          <w:p>
            <w:pPr>
              <w:spacing w:after="0"/>
            </w:pPr>
            <w:r>
              <w:rPr>
                <w:rFonts w:ascii="Calibri" w:hAnsi="Calibri" w:cs="Calibri" w:eastAsia="Calibri"/>
                <w:b w:val="0"/>
                <w:i/>
                <w:color w:val="5B6B7B"/>
                <w:sz w:val="16"/>
              </w:rPr>
              <w:t>Figure 6 — The 25 most frequently matched keywords. The coloured strip beside each keyword marks its own lexicon category, so cross-category bleed is visible.</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22" w:name="c1022"/>
            <w:pPr>
              <w:keepNext/>
              <w:keepLines/>
              <w:spacing w:after="60"/>
            </w:pPr>
            <w:bookmarkEnd w:id="1022"/>
            <w:r>
              <w:rPr>
                <w:rFonts w:ascii="Calibri" w:hAnsi="Calibri" w:cs="Calibri" w:eastAsia="Calibri"/>
                <w:b/>
                <w:i w:val="0"/>
                <w:color w:val="1B2733"/>
                <w:sz w:val="22"/>
              </w:rPr>
              <w:t>Heat map — Signal tag × subcategory</w:t>
            </w:r>
          </w:p>
          <w:p>
            <w:pPr>
              <w:spacing w:after="80"/>
            </w:pPr>
            <w:r>
              <w:rPr>
                <w:rFonts w:ascii="Calibri" w:hAnsi="Calibri" w:cs="Calibri" w:eastAsia="Calibri"/>
                <w:b w:val="0"/>
                <w:i w:val="0"/>
                <w:color w:val="5B6B7B"/>
                <w:sz w:val="18"/>
              </w:rPr>
              <w:t>Signal tags against product subcategory. Each cell is the number of gambling sites carrying that tag in that subcategory.</w:t>
            </w:r>
          </w:p>
          <w:p>
            <w:pPr>
              <w:spacing w:after="60"/>
              <w:jc w:val="center"/>
            </w:pPr>
            <w:r>
              <w:drawing>
                <wp:inline xmlns:a="http://schemas.openxmlformats.org/drawingml/2006/main" xmlns:pic="http://schemas.openxmlformats.org/drawingml/2006/picture">
                  <wp:extent cx="5040000" cy="3251168"/>
                  <wp:docPr id="8" name="Picture 8"/>
                  <wp:cNvGraphicFramePr>
                    <a:graphicFrameLocks noChangeAspect="1"/>
                  </wp:cNvGraphicFramePr>
                  <a:graphic>
                    <a:graphicData uri="http://schemas.openxmlformats.org/drawingml/2006/picture">
                      <pic:pic>
                        <pic:nvPicPr>
                          <pic:cNvPr id="0" name="d5.png"/>
                          <pic:cNvPicPr/>
                        </pic:nvPicPr>
                        <pic:blipFill>
                          <a:blip r:embed="rId20"/>
                          <a:stretch>
                            <a:fillRect/>
                          </a:stretch>
                        </pic:blipFill>
                        <pic:spPr>
                          <a:xfrm>
                            <a:off x="0" y="0"/>
                            <a:ext cx="5040000" cy="3251168"/>
                          </a:xfrm>
                          <a:prstGeom prst="rect"/>
                        </pic:spPr>
                      </pic:pic>
                    </a:graphicData>
                  </a:graphic>
                </wp:inline>
              </w:drawing>
            </w:r>
          </w:p>
          <w:p>
            <w:pPr>
              <w:spacing w:after="0"/>
            </w:pPr>
            <w:r>
              <w:rPr>
                <w:rFonts w:ascii="Calibri" w:hAnsi="Calibri" w:cs="Calibri" w:eastAsia="Calibri"/>
                <w:b w:val="0"/>
                <w:i/>
                <w:color w:val="5B6B7B"/>
                <w:sz w:val="16"/>
              </w:rPr>
              <w:t>Figure 7 — Which product types lean on promotional, payment or evasion language.</w:t>
            </w:r>
          </w:p>
        </w:tc>
      </w:tr>
    </w:tbl>
    <w:p>
      <w:pPr>
        <w:spacing w:after="60"/>
      </w:pPr>
    </w:p>
    <w:p>
      <w:r>
        <w:br w:type="page"/>
      </w:r>
    </w:p>
    <w:p>
      <w:bookmarkStart w:id="1023" w:name="c1023"/>
      <w:pPr>
        <w:pStyle w:val="Heading2"/>
      </w:pPr>
      <w:bookmarkEnd w:id="1023"/>
      <w:r>
        <w:rPr>
          <w:rFonts w:ascii="Calibri" w:hAnsi="Calibri" w:cs="Calibri" w:eastAsia="Calibri"/>
          <w:b/>
          <w:i w:val="0"/>
          <w:color w:val="1F3F63"/>
          <w:sz w:val="26"/>
        </w:rPr>
        <w:t>Brands and clustering</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24" w:name="c1024"/>
            <w:pPr>
              <w:keepNext/>
              <w:keepLines/>
              <w:spacing w:after="60"/>
            </w:pPr>
            <w:bookmarkEnd w:id="1024"/>
            <w:r>
              <w:rPr>
                <w:rFonts w:ascii="Calibri" w:hAnsi="Calibri" w:cs="Calibri" w:eastAsia="Calibri"/>
                <w:b/>
                <w:i w:val="0"/>
                <w:color w:val="1B2733"/>
                <w:sz w:val="22"/>
              </w:rPr>
              <w:t>What brand clusters are</w:t>
            </w:r>
          </w:p>
          <w:p>
            <w:pPr>
              <w:spacing w:after="40"/>
            </w:pPr>
            <w:r>
              <w:rPr>
                <w:rFonts w:ascii="Calibri" w:hAnsi="Calibri" w:cs="Calibri" w:eastAsia="Calibri"/>
                <w:b/>
                <w:i w:val="0"/>
                <w:color w:val="1B2733"/>
                <w:sz w:val="20"/>
              </w:rPr>
              <w:t>What a cluster is</w:t>
            </w:r>
          </w:p>
          <w:p>
            <w:pPr>
              <w:spacing w:after="100"/>
            </w:pPr>
            <w:r>
              <w:rPr>
                <w:rFonts w:ascii="Calibri" w:hAnsi="Calibri" w:cs="Calibri" w:eastAsia="Calibri"/>
                <w:b w:val="0"/>
                <w:i w:val="0"/>
                <w:color w:val="1B2733"/>
                <w:sz w:val="20"/>
              </w:rPr>
              <w:t>A brand cluster is a group of domains judged to belong to the same gambling brand or operator. Domains join in one of three ways: the crawler found one as a variant of, or a redirect from, another, which is seed linkage and the strongest basis; their names reduce to the same stem once market tags, version numbers and suffixes are removed, so www.jun88v1.org and www.juni93.com both reduce to jun; or their stems are near identical in spelling. A domain matching no other is a singleton.</w:t>
            </w:r>
          </w:p>
          <w:p>
            <w:pPr>
              <w:spacing w:after="40"/>
            </w:pPr>
            <w:r>
              <w:rPr>
                <w:rFonts w:ascii="Calibri" w:hAnsi="Calibri" w:cs="Calibri" w:eastAsia="Calibri"/>
                <w:b/>
                <w:i w:val="0"/>
                <w:color w:val="1B2733"/>
                <w:sz w:val="20"/>
              </w:rPr>
              <w:t>Why clusters matter</w:t>
            </w:r>
          </w:p>
          <w:p>
            <w:pPr>
              <w:spacing w:after="0"/>
            </w:pPr>
            <w:r>
              <w:rPr>
                <w:rFonts w:ascii="Calibri" w:hAnsi="Calibri" w:cs="Calibri" w:eastAsia="Calibri"/>
                <w:b w:val="0"/>
                <w:i w:val="0"/>
                <w:color w:val="1B2733"/>
                <w:sz w:val="20"/>
              </w:rPr>
              <w:t>Operators rarely run a single site. They register many domains, rotate top level domains and move players between them through redirects, so that when one address is blocked another takes its place. Counting URLs therefore overstates how many operators exist and hides who is behind the estate. Clustering shows how many distinct operations there are and which run several product types. That changes where enforcement has leverage: acting on a cluster reaches every domain in it, where acting on one URL leaves the rest of the brand running. Clusters are an analytical grouping based on names and crawler links, not a legal finding about ownership, and the possible operator linkage table is indicative only.</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2268"/>
        <w:gridCol w:w="2268"/>
        <w:gridCol w:w="2268"/>
        <w:gridCol w:w="2268"/>
      </w:tblGrid>
      <w:tr>
        <w:trPr>
          <w:cantSplit/>
        </w:trPr>
        <w:tc>
          <w:tcPr>
            <w:tcW w:type="dxa" w:w="2268"/>
            <w:tcMar>
              <w:top w:w="170" w:type="dxa"/>
              <w:start w:w="141" w:type="dxa"/>
              <w:bottom w:w="170" w:type="dxa"/>
              <w:end w:w="141" w:type="dxa"/>
            </w:tcMar>
          </w:tcPr>
          <w:p>
            <w:pPr>
              <w:spacing w:after="20"/>
              <w:jc w:val="center"/>
            </w:pPr>
            <w:r>
              <w:rPr>
                <w:rFonts w:ascii="Calibri" w:hAnsi="Calibri" w:cs="Calibri" w:eastAsia="Calibri"/>
                <w:b/>
                <w:i w:val="0"/>
                <w:color w:val="1F3F63"/>
                <w:sz w:val="34"/>
              </w:rPr>
              <w:t>1,533</w:t>
            </w:r>
          </w:p>
          <w:p>
            <w:pPr>
              <w:spacing w:after="0"/>
              <w:jc w:val="center"/>
            </w:pPr>
            <w:r>
              <w:rPr>
                <w:rFonts w:ascii="Calibri" w:hAnsi="Calibri" w:cs="Calibri" w:eastAsia="Calibri"/>
                <w:b w:val="0"/>
                <w:i w:val="0"/>
                <w:color w:val="5B6B7B"/>
                <w:sz w:val="16"/>
              </w:rPr>
              <w:t>Distinct clusters</w:t>
            </w:r>
          </w:p>
        </w:tc>
        <w:tc>
          <w:tcPr>
            <w:tcW w:type="dxa" w:w="2268"/>
            <w:tcMar>
              <w:top w:w="170" w:type="dxa"/>
              <w:start w:w="141" w:type="dxa"/>
              <w:bottom w:w="170" w:type="dxa"/>
              <w:end w:w="141" w:type="dxa"/>
            </w:tcMar>
          </w:tcPr>
          <w:p>
            <w:pPr>
              <w:spacing w:after="20"/>
              <w:jc w:val="center"/>
            </w:pPr>
            <w:r>
              <w:rPr>
                <w:rFonts w:ascii="Calibri" w:hAnsi="Calibri" w:cs="Calibri" w:eastAsia="Calibri"/>
                <w:b/>
                <w:i w:val="0"/>
                <w:color w:val="1F3F63"/>
                <w:sz w:val="34"/>
              </w:rPr>
              <w:t>1,030</w:t>
            </w:r>
          </w:p>
          <w:p>
            <w:pPr>
              <w:spacing w:after="0"/>
              <w:jc w:val="center"/>
            </w:pPr>
            <w:r>
              <w:rPr>
                <w:rFonts w:ascii="Calibri" w:hAnsi="Calibri" w:cs="Calibri" w:eastAsia="Calibri"/>
                <w:b w:val="0"/>
                <w:i w:val="0"/>
                <w:color w:val="5B6B7B"/>
                <w:sz w:val="16"/>
              </w:rPr>
              <w:t>Clusters with 2 or more URLs</w:t>
            </w:r>
          </w:p>
        </w:tc>
        <w:tc>
          <w:tcPr>
            <w:tcW w:type="dxa" w:w="2268"/>
            <w:tcMar>
              <w:top w:w="170" w:type="dxa"/>
              <w:start w:w="141" w:type="dxa"/>
              <w:bottom w:w="170" w:type="dxa"/>
              <w:end w:w="141" w:type="dxa"/>
            </w:tcMar>
          </w:tcPr>
          <w:p>
            <w:pPr>
              <w:spacing w:after="20"/>
              <w:jc w:val="center"/>
            </w:pPr>
            <w:r>
              <w:rPr>
                <w:rFonts w:ascii="Calibri" w:hAnsi="Calibri" w:cs="Calibri" w:eastAsia="Calibri"/>
                <w:b/>
                <w:i w:val="0"/>
                <w:color w:val="1F3F63"/>
                <w:sz w:val="34"/>
              </w:rPr>
              <w:t>503</w:t>
            </w:r>
          </w:p>
          <w:p>
            <w:pPr>
              <w:spacing w:after="0"/>
              <w:jc w:val="center"/>
            </w:pPr>
            <w:r>
              <w:rPr>
                <w:rFonts w:ascii="Calibri" w:hAnsi="Calibri" w:cs="Calibri" w:eastAsia="Calibri"/>
                <w:b w:val="0"/>
                <w:i w:val="0"/>
                <w:color w:val="5B6B7B"/>
                <w:sz w:val="16"/>
              </w:rPr>
              <w:t>Singletons</w:t>
            </w:r>
          </w:p>
        </w:tc>
        <w:tc>
          <w:tcPr>
            <w:tcW w:type="dxa" w:w="2268"/>
            <w:tcMar>
              <w:top w:w="170" w:type="dxa"/>
              <w:start w:w="141" w:type="dxa"/>
              <w:bottom w:w="170" w:type="dxa"/>
              <w:end w:w="141" w:type="dxa"/>
            </w:tcMar>
          </w:tcPr>
          <w:p>
            <w:pPr>
              <w:spacing w:after="20"/>
              <w:jc w:val="center"/>
            </w:pPr>
            <w:r>
              <w:rPr>
                <w:rFonts w:ascii="Calibri" w:hAnsi="Calibri" w:cs="Calibri" w:eastAsia="Calibri"/>
                <w:b/>
                <w:i w:val="0"/>
                <w:color w:val="1F3F63"/>
                <w:sz w:val="34"/>
              </w:rPr>
              <w:t>166</w:t>
            </w:r>
          </w:p>
          <w:p>
            <w:pPr>
              <w:spacing w:after="0"/>
              <w:jc w:val="center"/>
            </w:pPr>
            <w:r>
              <w:rPr>
                <w:rFonts w:ascii="Calibri" w:hAnsi="Calibri" w:cs="Calibri" w:eastAsia="Calibri"/>
                <w:b w:val="0"/>
                <w:i w:val="0"/>
                <w:color w:val="5B6B7B"/>
                <w:sz w:val="16"/>
              </w:rPr>
              <w:t>Clusters covering half the estate</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25" w:name="c1025"/>
            <w:pPr>
              <w:keepNext/>
              <w:keepLines/>
              <w:spacing w:after="60"/>
            </w:pPr>
            <w:bookmarkEnd w:id="1025"/>
            <w:r>
              <w:rPr>
                <w:rFonts w:ascii="Calibri" w:hAnsi="Calibri" w:cs="Calibri" w:eastAsia="Calibri"/>
                <w:b/>
                <w:i w:val="0"/>
                <w:color w:val="1B2733"/>
                <w:sz w:val="22"/>
              </w:rPr>
              <w:t>Top 15 brand clusters by URL count</w:t>
            </w:r>
          </w:p>
          <w:p>
            <w:pPr>
              <w:spacing w:after="80"/>
            </w:pPr>
            <w:r>
              <w:rPr>
                <w:rFonts w:ascii="Calibri" w:hAnsi="Calibri" w:cs="Calibri" w:eastAsia="Calibri"/>
                <w:b w:val="0"/>
                <w:i w:val="0"/>
                <w:color w:val="5B6B7B"/>
                <w:sz w:val="18"/>
              </w:rPr>
              <w:t>The fifteen largest brand clusters by URL count. Bar length is the number of domains in the cluster.</w:t>
            </w:r>
          </w:p>
          <w:p>
            <w:pPr>
              <w:spacing w:after="60"/>
              <w:jc w:val="center"/>
            </w:pPr>
            <w:r>
              <w:drawing>
                <wp:inline xmlns:a="http://schemas.openxmlformats.org/drawingml/2006/main" xmlns:pic="http://schemas.openxmlformats.org/drawingml/2006/picture">
                  <wp:extent cx="5040000" cy="2598423"/>
                  <wp:docPr id="9" name="Picture 9"/>
                  <wp:cNvGraphicFramePr>
                    <a:graphicFrameLocks noChangeAspect="1"/>
                  </wp:cNvGraphicFramePr>
                  <a:graphic>
                    <a:graphicData uri="http://schemas.openxmlformats.org/drawingml/2006/picture">
                      <pic:pic>
                        <pic:nvPicPr>
                          <pic:cNvPr id="0" name="e2.png"/>
                          <pic:cNvPicPr/>
                        </pic:nvPicPr>
                        <pic:blipFill>
                          <a:blip r:embed="rId21"/>
                          <a:stretch>
                            <a:fillRect/>
                          </a:stretch>
                        </pic:blipFill>
                        <pic:spPr>
                          <a:xfrm>
                            <a:off x="0" y="0"/>
                            <a:ext cx="5040000" cy="2598423"/>
                          </a:xfrm>
                          <a:prstGeom prst="rect"/>
                        </pic:spPr>
                      </pic:pic>
                    </a:graphicData>
                  </a:graphic>
                </wp:inline>
              </w:drawing>
            </w:r>
          </w:p>
          <w:p>
            <w:pPr>
              <w:spacing w:after="0"/>
            </w:pPr>
            <w:r>
              <w:rPr>
                <w:rFonts w:ascii="Calibri" w:hAnsi="Calibri" w:cs="Calibri" w:eastAsia="Calibri"/>
                <w:b w:val="0"/>
                <w:i/>
                <w:color w:val="5B6B7B"/>
                <w:sz w:val="16"/>
              </w:rPr>
              <w:t>Figure 8 — Largest brand clusters among 11,648 gambling URLs.</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26" w:name="c1026"/>
            <w:pPr>
              <w:keepNext/>
              <w:keepLines/>
              <w:spacing w:after="60"/>
            </w:pPr>
            <w:bookmarkEnd w:id="1026"/>
            <w:r>
              <w:rPr>
                <w:rFonts w:ascii="Calibri" w:hAnsi="Calibri" w:cs="Calibri" w:eastAsia="Calibri"/>
                <w:b/>
                <w:i w:val="0"/>
                <w:color w:val="1B2733"/>
                <w:sz w:val="22"/>
              </w:rPr>
              <w:t>Heat map — Brand cluster × subcategory</w:t>
            </w:r>
          </w:p>
          <w:p>
            <w:pPr>
              <w:spacing w:after="80"/>
            </w:pPr>
            <w:r>
              <w:rPr>
                <w:rFonts w:ascii="Calibri" w:hAnsi="Calibri" w:cs="Calibri" w:eastAsia="Calibri"/>
                <w:b w:val="0"/>
                <w:i w:val="0"/>
                <w:color w:val="5B6B7B"/>
                <w:sz w:val="18"/>
              </w:rPr>
              <w:t>Brand clusters against product subcategory. Each cell is the number of URLs a cluster holds in that subcategory.</w:t>
            </w:r>
          </w:p>
          <w:p>
            <w:pPr>
              <w:spacing w:after="60"/>
              <w:jc w:val="center"/>
            </w:pPr>
            <w:r>
              <w:drawing>
                <wp:inline xmlns:a="http://schemas.openxmlformats.org/drawingml/2006/main" xmlns:pic="http://schemas.openxmlformats.org/drawingml/2006/picture">
                  <wp:extent cx="5040000" cy="5562779"/>
                  <wp:docPr id="10" name="Picture 10"/>
                  <wp:cNvGraphicFramePr>
                    <a:graphicFrameLocks noChangeAspect="1"/>
                  </wp:cNvGraphicFramePr>
                  <a:graphic>
                    <a:graphicData uri="http://schemas.openxmlformats.org/drawingml/2006/picture">
                      <pic:pic>
                        <pic:nvPicPr>
                          <pic:cNvPr id="0" name="e3.png"/>
                          <pic:cNvPicPr/>
                        </pic:nvPicPr>
                        <pic:blipFill>
                          <a:blip r:embed="rId22"/>
                          <a:stretch>
                            <a:fillRect/>
                          </a:stretch>
                        </pic:blipFill>
                        <pic:spPr>
                          <a:xfrm>
                            <a:off x="0" y="0"/>
                            <a:ext cx="5040000" cy="5562779"/>
                          </a:xfrm>
                          <a:prstGeom prst="rect"/>
                        </pic:spPr>
                      </pic:pic>
                    </a:graphicData>
                  </a:graphic>
                </wp:inline>
              </w:drawing>
            </w:r>
          </w:p>
          <w:p>
            <w:pPr>
              <w:spacing w:after="0"/>
            </w:pPr>
            <w:r>
              <w:rPr>
                <w:rFonts w:ascii="Calibri" w:hAnsi="Calibri" w:cs="Calibri" w:eastAsia="Calibri"/>
                <w:b w:val="0"/>
                <w:i/>
                <w:color w:val="5B6B7B"/>
                <w:sz w:val="16"/>
              </w:rPr>
              <w:t>Figure 9 — The twenty largest clusters. Multi-product operators appear as horizontal bands.</w:t>
            </w:r>
          </w:p>
        </w:tc>
      </w:tr>
    </w:tbl>
    <w:p>
      <w:pPr>
        <w:spacing w:after="60"/>
      </w:pPr>
    </w:p>
    <w:p>
      <w:r>
        <w:br w:type="page"/>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27" w:name="c1027"/>
            <w:pPr>
              <w:keepNext/>
              <w:keepLines/>
              <w:spacing w:after="60"/>
            </w:pPr>
            <w:bookmarkEnd w:id="1027"/>
            <w:r>
              <w:rPr>
                <w:rFonts w:ascii="Calibri" w:hAnsi="Calibri" w:cs="Calibri" w:eastAsia="Calibri"/>
                <w:b/>
                <w:i w:val="0"/>
                <w:color w:val="1B2733"/>
                <w:sz w:val="22"/>
              </w:rPr>
              <w:t>Cluster expansion — jun</w:t>
            </w:r>
          </w:p>
          <w:p>
            <w:pPr>
              <w:spacing w:after="80"/>
            </w:pPr>
            <w:r>
              <w:rPr>
                <w:rFonts w:ascii="Calibri" w:hAnsi="Calibri" w:cs="Calibri" w:eastAsia="Calibri"/>
                <w:b w:val="0"/>
                <w:i w:val="0"/>
                <w:color w:val="5B6B7B"/>
                <w:sz w:val="18"/>
              </w:rPr>
              <w:t>The largest brand cluster and its member domains. Edge style records why each domain joined the cluster.</w:t>
            </w:r>
          </w:p>
          <w:p>
            <w:pPr>
              <w:spacing w:after="60"/>
              <w:jc w:val="center"/>
            </w:pPr>
            <w:r>
              <w:drawing>
                <wp:inline xmlns:a="http://schemas.openxmlformats.org/drawingml/2006/main" xmlns:pic="http://schemas.openxmlformats.org/drawingml/2006/picture">
                  <wp:extent cx="5040000" cy="4194208"/>
                  <wp:docPr id="11" name="Picture 11"/>
                  <wp:cNvGraphicFramePr>
                    <a:graphicFrameLocks noChangeAspect="1"/>
                  </wp:cNvGraphicFramePr>
                  <a:graphic>
                    <a:graphicData uri="http://schemas.openxmlformats.org/drawingml/2006/picture">
                      <pic:pic>
                        <pic:nvPicPr>
                          <pic:cNvPr id="0" name="e4.png"/>
                          <pic:cNvPicPr/>
                        </pic:nvPicPr>
                        <pic:blipFill>
                          <a:blip r:embed="rId23"/>
                          <a:stretch>
                            <a:fillRect/>
                          </a:stretch>
                        </pic:blipFill>
                        <pic:spPr>
                          <a:xfrm>
                            <a:off x="0" y="0"/>
                            <a:ext cx="5040000" cy="4194208"/>
                          </a:xfrm>
                          <a:prstGeom prst="rect"/>
                        </pic:spPr>
                      </pic:pic>
                    </a:graphicData>
                  </a:graphic>
                </wp:inline>
              </w:drawing>
            </w:r>
          </w:p>
          <w:p>
            <w:pPr>
              <w:spacing w:after="40"/>
            </w:pPr>
            <w:r>
              <w:rPr>
                <w:rFonts w:ascii="Calibri" w:hAnsi="Calibri" w:cs="Calibri" w:eastAsia="Calibri"/>
                <w:b w:val="0"/>
                <w:i w:val="0"/>
                <w:color w:val="5B6B7B"/>
                <w:sz w:val="18"/>
              </w:rPr>
              <w:t>The jun cluster holds 568 URLs; the 18 domains shown are its first members by order of analysis. A further 550 are not drawn.</w:t>
            </w:r>
          </w:p>
          <w:p>
            <w:pPr>
              <w:spacing w:after="0"/>
            </w:pPr>
            <w:r>
              <w:rPr>
                <w:rFonts w:ascii="Calibri" w:hAnsi="Calibri" w:cs="Calibri" w:eastAsia="Calibri"/>
                <w:b w:val="0"/>
                <w:i/>
                <w:color w:val="5B6B7B"/>
                <w:sz w:val="16"/>
              </w:rPr>
              <w:t>Figure 10 — Member domains of the largest brand cluster.</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28" w:name="c1028"/>
            <w:pPr>
              <w:keepNext/>
              <w:keepLines/>
              <w:spacing w:after="60"/>
            </w:pPr>
            <w:bookmarkEnd w:id="1028"/>
            <w:r>
              <w:rPr>
                <w:rFonts w:ascii="Calibri" w:hAnsi="Calibri" w:cs="Calibri" w:eastAsia="Calibri"/>
                <w:b/>
                <w:i w:val="0"/>
                <w:color w:val="1B2733"/>
                <w:sz w:val="22"/>
              </w:rPr>
              <w:t>Clusters spanning multiple subcategories</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938" w:type="dxa"/>
            </w:tblPr>
            <w:tblGrid>
              <w:gridCol w:w="1474"/>
              <w:gridCol w:w="1020"/>
              <w:gridCol w:w="3061"/>
              <w:gridCol w:w="2381"/>
            </w:tblGrid>
            <w:tr>
              <w:tc>
                <w:tcPr>
                  <w:tcW w:type="dxa" w:w="1474"/>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Cluster</w:t>
                  </w:r>
                </w:p>
              </w:tc>
              <w:tc>
                <w:tcPr>
                  <w:tcW w:type="dxa" w:w="1020"/>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URL count</w:t>
                  </w:r>
                </w:p>
              </w:tc>
              <w:tc>
                <w:tcPr>
                  <w:tcW w:type="dxa" w:w="306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Subcategories</w:t>
                  </w:r>
                </w:p>
              </w:tc>
              <w:tc>
                <w:tcPr>
                  <w:tcW w:type="dxa" w:w="238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Suffixes</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jun</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568</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Casino (221), Slots (167), General Gambling (77), Football Betting (50), Lottery (19)</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.com (132), .net (90), .org (73), .top (73), .bet (38)</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gg88</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295</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Casino (139), Slots (66), General Gambling (42), Football Betting (32), Playing card (8)</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.org (77), .net (55), .app (48), .pro (46), .bet (36)</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jin</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145</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Slots (52), General Gambling (41), Casino (32), Football Betting (9), Playing card (9)</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.com (38), .org (28), .vip (27), .co (19), .net (18)</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lott</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108</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Lottery (77), General Gambling (12), Slots (10), Casino (6), Playing card (2)</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.com (65), .org (22), .net (10), .live (5), .xyz (5)</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uu8</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105</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Casino (43), Slots (34), General Gambling (14), Football Betting (6), Playing card (4)</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.cc (23), .org (21), .com (16), .net (14), .pro (11)</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jju</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74</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Casino (32), Slots (15), General Gambling (9), Football Betting (9), Baccarat (6)</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.pro (11), .xyz (10), .net (10), .com (10), .fun (9)</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49m</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63</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General Gambling (40), Casino (18), Playing card (3), Slots (2)</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.co (64), .org (5), .top (2), .ru (1), .cc (1)</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ju8</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61</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Casino (19), General Gambling (17), Slots (13), Football Betting (9), Playing card (2)</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.com (41), .click (11), .pro (10), .buzz (7), .site (4)</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min</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60</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Football Betting (36), Casino (11), Slots (7), General Gambling (4), Baccarat (2)</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.com (10), .org (8), .app (6), .net (6), .co (4)</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k03</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59</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General Gambling (39), Football Betting (18), Slots (1), Casino (1)</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.cc (64), .top (1), .pro (1), .info (1), .net (1)</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kk1</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57</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Slots (30), Casino (11), Football Betting (6), Playing card (4), Baccarat (4)</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.org (15), .app (12), .pro (12), .me (10), .cc (6)</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k11</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55</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Casino (13), Slots (12), Playing card (11), Football Betting (10), General Gambling (7)</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.org (29), .cc (14), .top (12), .pro (9), .net (8)</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90ok</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53</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Casino (25), Slots (14), General Gambling (11), Football Betting (2), Lottery (1)</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.org (13), .club (7), .click (5), .io (5), .bet (4)</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supportl</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53</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General Gambling (22), Casino (21), Slots (9), Football Betting (1)</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.org (36), .co (26), .net (16), .game (14), .com (4)</w:t>
                  </w:r>
                </w:p>
              </w:tc>
            </w:tr>
            <w:tr>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hay</w:t>
                  </w:r>
                </w:p>
              </w:tc>
              <w:tc>
                <w:tcPr>
                  <w:tcW w:type="dxa" w:w="1020"/>
                  <w:tcMar>
                    <w:top w:w="56" w:type="dxa"/>
                    <w:start w:w="85" w:type="dxa"/>
                    <w:bottom w:w="56" w:type="dxa"/>
                    <w:end w:w="85" w:type="dxa"/>
                  </w:tcMar>
                </w:tcPr>
                <w:p>
                  <w:pPr>
                    <w:spacing w:after="0"/>
                  </w:pPr>
                  <w:r>
                    <w:rPr>
                      <w:rFonts w:ascii="Calibri" w:hAnsi="Calibri" w:cs="Calibri" w:eastAsia="Calibri"/>
                      <w:b w:val="0"/>
                      <w:i w:val="0"/>
                      <w:color w:val="1B2733"/>
                      <w:sz w:val="16"/>
                    </w:rPr>
                    <w:t>51</w:t>
                  </w:r>
                </w:p>
              </w:tc>
              <w:tc>
                <w:tcPr>
                  <w:tcW w:type="dxa" w:w="3061"/>
                  <w:tcMar>
                    <w:top w:w="56" w:type="dxa"/>
                    <w:start w:w="85" w:type="dxa"/>
                    <w:bottom w:w="56" w:type="dxa"/>
                    <w:end w:w="85" w:type="dxa"/>
                  </w:tcMar>
                </w:tcPr>
                <w:p>
                  <w:pPr>
                    <w:spacing w:after="0"/>
                  </w:pPr>
                  <w:r>
                    <w:rPr>
                      <w:rFonts w:ascii="Calibri" w:hAnsi="Calibri" w:cs="Calibri" w:eastAsia="Calibri"/>
                      <w:b w:val="0"/>
                      <w:i w:val="0"/>
                      <w:color w:val="1B2733"/>
                      <w:sz w:val="16"/>
                    </w:rPr>
                    <w:t>Casino (35), General Gambling (6), Slots (6), Football Betting (4)</w:t>
                  </w:r>
                </w:p>
              </w:tc>
              <w:tc>
                <w:tcPr>
                  <w:tcW w:type="dxa" w:w="2381"/>
                  <w:tcMar>
                    <w:top w:w="56" w:type="dxa"/>
                    <w:start w:w="85" w:type="dxa"/>
                    <w:bottom w:w="56" w:type="dxa"/>
                    <w:end w:w="85" w:type="dxa"/>
                  </w:tcMar>
                </w:tcPr>
                <w:p>
                  <w:pPr>
                    <w:spacing w:after="0"/>
                  </w:pPr>
                  <w:r>
                    <w:rPr>
                      <w:rFonts w:ascii="Calibri" w:hAnsi="Calibri" w:cs="Calibri" w:eastAsia="Calibri"/>
                      <w:b w:val="0"/>
                      <w:i w:val="0"/>
                      <w:color w:val="1B2733"/>
                      <w:sz w:val="16"/>
                    </w:rPr>
                    <w:t>.net (61), .org (20), .com (10), .fun (5), .hu (4)</w:t>
                  </w:r>
                </w:p>
              </w:tc>
            </w:tr>
          </w:tbl>
          <w:p/>
          <w:p>
            <w:pPr>
              <w:spacing w:after="40"/>
            </w:pPr>
            <w:r>
              <w:rPr>
                <w:rFonts w:ascii="Calibri" w:hAnsi="Calibri" w:cs="Calibri" w:eastAsia="Calibri"/>
                <w:b w:val="0"/>
                <w:i w:val="0"/>
                <w:color w:val="5B6B7B"/>
                <w:sz w:val="18"/>
              </w:rPr>
              <w:t>632 clusters span two or more product subcategories; the 15 largest are listed.</w:t>
            </w:r>
          </w:p>
          <w:p>
            <w:pPr>
              <w:spacing w:after="0"/>
            </w:pPr>
            <w:r>
              <w:rPr>
                <w:rFonts w:ascii="Calibri" w:hAnsi="Calibri" w:cs="Calibri" w:eastAsia="Calibri"/>
                <w:b w:val="0"/>
                <w:i/>
                <w:color w:val="5B6B7B"/>
                <w:sz w:val="16"/>
              </w:rPr>
              <w:t>Table 4 — Multi-product operators.</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29" w:name="c1029"/>
            <w:pPr>
              <w:keepNext/>
              <w:keepLines/>
              <w:spacing w:after="60"/>
            </w:pPr>
            <w:bookmarkEnd w:id="1029"/>
            <w:r>
              <w:rPr>
                <w:rFonts w:ascii="Calibri" w:hAnsi="Calibri" w:cs="Calibri" w:eastAsia="Calibri"/>
                <w:b/>
                <w:i w:val="0"/>
                <w:color w:val="1B2733"/>
                <w:sz w:val="22"/>
              </w:rPr>
              <w:t>Clusters rotating top-level domains</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938" w:type="dxa"/>
            </w:tblPr>
            <w:tblGrid>
              <w:gridCol w:w="1928"/>
              <w:gridCol w:w="3742"/>
              <w:gridCol w:w="2268"/>
            </w:tblGrid>
            <w:tr>
              <w:tc>
                <w:tcPr>
                  <w:tcW w:type="dxa" w:w="1928"/>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Cluster</w:t>
                  </w:r>
                </w:p>
              </w:tc>
              <w:tc>
                <w:tcPr>
                  <w:tcW w:type="dxa" w:w="3742"/>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Suffixes</w:t>
                  </w:r>
                </w:p>
              </w:tc>
              <w:tc>
                <w:tcPr>
                  <w:tcW w:type="dxa" w:w="2268"/>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Counts</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jun</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.com, .net, .org, .top, .bet, .fun</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132, 90, 73, 73, 38, 33</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gg88</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.org, .net, .app, .pro, .bet, .com</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77, 55, 48, 46, 36, 36</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jin</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.com, .org, .vip, .co, .net, .pro</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38, 28, 27, 19, 18, 16</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lott</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.com, .org, .net, .live, .xyz, .online</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65, 22, 10, 5, 5, 4</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uu8</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.cc, .org, .com, .net, .pro, .app</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23, 21, 16, 14, 11, 9</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jju</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.pro, .xyz, .net, .com, .fun, .top</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11, 10, 10, 10, 9, 7</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49m</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.co, .org, .top, .ru, .cc</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64, 5, 2, 1, 1</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ju8</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.com, .click, .pro, .buzz, .site, .fun</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41, 11, 10, 7, 4, 3</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min</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.com, .org, .app, .net, .co, .in</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10, 8, 6, 6, 4, 4</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k03</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.cc, .top, .pro, .info, .net</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64, 1, 1, 1, 1</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kk1</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.org, .app, .pro, .me, .cc, .fun</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15, 12, 12, 10, 6, 6</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k11</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.org, .cc, .top, .pro, .net, .com</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29, 14, 12, 9, 8, 8</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90ok</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.org, .club, .click, .io, .bet, .xyz</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13, 7, 5, 5, 4, 4</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supportl</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.org, .co, .net, .game, .com, .hu</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36, 26, 16, 14, 4, 3</w:t>
                  </w:r>
                </w:p>
              </w:tc>
            </w:tr>
            <w:tr>
              <w:tc>
                <w:tcPr>
                  <w:tcW w:type="dxa" w:w="1928"/>
                  <w:tcMar>
                    <w:top w:w="56" w:type="dxa"/>
                    <w:start w:w="85" w:type="dxa"/>
                    <w:bottom w:w="56" w:type="dxa"/>
                    <w:end w:w="85" w:type="dxa"/>
                  </w:tcMar>
                </w:tcPr>
                <w:p>
                  <w:pPr>
                    <w:spacing w:after="0"/>
                  </w:pPr>
                  <w:r>
                    <w:rPr>
                      <w:rFonts w:ascii="Calibri" w:hAnsi="Calibri" w:cs="Calibri" w:eastAsia="Calibri"/>
                      <w:b w:val="0"/>
                      <w:i w:val="0"/>
                      <w:color w:val="1B2733"/>
                      <w:sz w:val="16"/>
                    </w:rPr>
                    <w:t>hay</w:t>
                  </w:r>
                </w:p>
              </w:tc>
              <w:tc>
                <w:tcPr>
                  <w:tcW w:type="dxa" w:w="3742"/>
                  <w:tcMar>
                    <w:top w:w="56" w:type="dxa"/>
                    <w:start w:w="85" w:type="dxa"/>
                    <w:bottom w:w="56" w:type="dxa"/>
                    <w:end w:w="85" w:type="dxa"/>
                  </w:tcMar>
                </w:tcPr>
                <w:p>
                  <w:pPr>
                    <w:spacing w:after="0"/>
                  </w:pPr>
                  <w:r>
                    <w:rPr>
                      <w:rFonts w:ascii="Calibri" w:hAnsi="Calibri" w:cs="Calibri" w:eastAsia="Calibri"/>
                      <w:b w:val="0"/>
                      <w:i w:val="0"/>
                      <w:color w:val="1B2733"/>
                      <w:sz w:val="16"/>
                    </w:rPr>
                    <w:t>.net, .org, .com, .fun, .hu, .bet</w:t>
                  </w:r>
                </w:p>
              </w:tc>
              <w:tc>
                <w:tcPr>
                  <w:tcW w:type="dxa" w:w="2268"/>
                  <w:tcMar>
                    <w:top w:w="56" w:type="dxa"/>
                    <w:start w:w="85" w:type="dxa"/>
                    <w:bottom w:w="56" w:type="dxa"/>
                    <w:end w:w="85" w:type="dxa"/>
                  </w:tcMar>
                </w:tcPr>
                <w:p>
                  <w:pPr>
                    <w:spacing w:after="0"/>
                  </w:pPr>
                  <w:r>
                    <w:rPr>
                      <w:rFonts w:ascii="Calibri" w:hAnsi="Calibri" w:cs="Calibri" w:eastAsia="Calibri"/>
                      <w:b w:val="0"/>
                      <w:i w:val="0"/>
                      <w:color w:val="1B2733"/>
                      <w:sz w:val="16"/>
                    </w:rPr>
                    <w:t>61, 20, 10, 5, 4, 4</w:t>
                  </w:r>
                </w:p>
              </w:tc>
            </w:tr>
          </w:tbl>
          <w:p/>
          <w:p>
            <w:pPr>
              <w:spacing w:after="40"/>
            </w:pPr>
            <w:r>
              <w:rPr>
                <w:rFonts w:ascii="Calibri" w:hAnsi="Calibri" w:cs="Calibri" w:eastAsia="Calibri"/>
                <w:b w:val="0"/>
                <w:i w:val="0"/>
                <w:color w:val="5B6B7B"/>
                <w:sz w:val="18"/>
              </w:rPr>
              <w:t>1,185 clusters hold domains under more than one suffix; the 15 largest are listed.</w:t>
            </w:r>
          </w:p>
          <w:p>
            <w:pPr>
              <w:spacing w:after="0"/>
            </w:pPr>
            <w:r>
              <w:rPr>
                <w:rFonts w:ascii="Calibri" w:hAnsi="Calibri" w:cs="Calibri" w:eastAsia="Calibri"/>
                <w:b w:val="0"/>
                <w:i/>
                <w:color w:val="5B6B7B"/>
                <w:sz w:val="16"/>
              </w:rPr>
              <w:t>Table 5 — Top-level domain rotation within a cluster.</w:t>
            </w:r>
          </w:p>
        </w:tc>
      </w:tr>
    </w:tbl>
    <w:p>
      <w:pPr>
        <w:spacing w:after="60"/>
      </w:pPr>
    </w:p>
    <w:p>
      <w:r>
        <w:br w:type="page"/>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30" w:name="c1030"/>
            <w:pPr>
              <w:keepNext/>
              <w:keepLines/>
              <w:spacing w:after="60"/>
            </w:pPr>
            <w:bookmarkEnd w:id="1030"/>
            <w:r>
              <w:rPr>
                <w:rFonts w:ascii="Calibri" w:hAnsi="Calibri" w:cs="Calibri" w:eastAsia="Calibri"/>
                <w:b/>
                <w:i w:val="0"/>
                <w:color w:val="1B2733"/>
                <w:sz w:val="22"/>
              </w:rPr>
              <w:t>Possible operator linkage</w:t>
            </w:r>
          </w:p>
          <w:p>
            <w:pPr>
              <w:spacing w:after="60"/>
            </w:pPr>
            <w:r>
              <w:rPr>
                <w:rFonts w:ascii="Calibri" w:hAnsi="Calibri" w:cs="Calibri" w:eastAsia="Calibri"/>
                <w:b w:val="0"/>
                <w:i/>
                <w:color w:val="5B6B7B"/>
                <w:sz w:val="18"/>
              </w:rPr>
              <w:t>Indicative — not a clustering decision</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938" w:type="dxa"/>
            </w:tblPr>
            <w:tblGrid>
              <w:gridCol w:w="1701"/>
              <w:gridCol w:w="1701"/>
              <w:gridCol w:w="3402"/>
              <w:gridCol w:w="1134"/>
            </w:tblGrid>
            <w:tr>
              <w:tc>
                <w:tcPr>
                  <w:tcW w:type="dxa" w:w="170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Cluster A</w:t>
                  </w:r>
                </w:p>
              </w:tc>
              <w:tc>
                <w:tcPr>
                  <w:tcW w:type="dxa" w:w="170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Cluster B</w:t>
                  </w:r>
                </w:p>
              </w:tc>
              <w:tc>
                <w:tcPr>
                  <w:tcW w:type="dxa" w:w="3402"/>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Shared signal keywords</w:t>
                  </w:r>
                </w:p>
              </w:tc>
              <w:tc>
                <w:tcPr>
                  <w:tcW w:type="dxa" w:w="1134"/>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Jaccard</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k11</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8ok</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PRAGMATIC,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supportl</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mun</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hay</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o8</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hay</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bohocasino</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hay</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ju7</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hay</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oo7</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o8</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bohocasino</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o8</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ju7</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o8</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oo7</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bohocasino</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ju7</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bohocasino</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oo7</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ju7</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oo7</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1.00</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uu8</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mu8</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PRAGMATIC, VIP, WALLET, Wallet</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0.83</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ju8</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jb8</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JDB, PRAGMATIC,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0.83</w:t>
                  </w:r>
                </w:p>
              </w:tc>
            </w:tr>
            <w:tr>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k11</w:t>
                  </w:r>
                </w:p>
              </w:tc>
              <w:tc>
                <w:tcPr>
                  <w:tcW w:type="dxa" w:w="1701"/>
                  <w:tcMar>
                    <w:top w:w="56" w:type="dxa"/>
                    <w:start w:w="85" w:type="dxa"/>
                    <w:bottom w:w="56" w:type="dxa"/>
                    <w:end w:w="85" w:type="dxa"/>
                  </w:tcMar>
                </w:tcPr>
                <w:p>
                  <w:pPr>
                    <w:spacing w:after="0"/>
                  </w:pPr>
                  <w:r>
                    <w:rPr>
                      <w:rFonts w:ascii="Calibri" w:hAnsi="Calibri" w:cs="Calibri" w:eastAsia="Calibri"/>
                      <w:b w:val="0"/>
                      <w:i w:val="0"/>
                      <w:color w:val="1B2733"/>
                      <w:sz w:val="16"/>
                    </w:rPr>
                    <w:t>jb8</w:t>
                  </w:r>
                </w:p>
              </w:tc>
              <w:tc>
                <w:tcPr>
                  <w:tcW w:type="dxa" w:w="3402"/>
                  <w:tcMar>
                    <w:top w:w="56" w:type="dxa"/>
                    <w:start w:w="85" w:type="dxa"/>
                    <w:bottom w:w="56" w:type="dxa"/>
                    <w:end w:w="85" w:type="dxa"/>
                  </w:tcMar>
                </w:tcPr>
                <w:p>
                  <w:pPr>
                    <w:spacing w:after="0"/>
                  </w:pPr>
                  <w:r>
                    <w:rPr>
                      <w:rFonts w:ascii="Calibri" w:hAnsi="Calibri" w:cs="Calibri" w:eastAsia="Calibri"/>
                      <w:b w:val="0"/>
                      <w:i w:val="0"/>
                      <w:color w:val="1B2733"/>
                      <w:sz w:val="16"/>
                    </w:rPr>
                    <w:t>BET, PRAGMATIC, VIP, WIN</w:t>
                  </w:r>
                </w:p>
              </w:tc>
              <w:tc>
                <w:tcPr>
                  <w:tcW w:type="dxa" w:w="1134"/>
                  <w:tcMar>
                    <w:top w:w="56" w:type="dxa"/>
                    <w:start w:w="85" w:type="dxa"/>
                    <w:bottom w:w="56" w:type="dxa"/>
                    <w:end w:w="85" w:type="dxa"/>
                  </w:tcMar>
                </w:tcPr>
                <w:p>
                  <w:pPr>
                    <w:spacing w:after="0"/>
                    <w:jc w:val="right"/>
                  </w:pPr>
                  <w:r>
                    <w:rPr>
                      <w:rFonts w:ascii="Calibri" w:hAnsi="Calibri" w:cs="Calibri" w:eastAsia="Calibri"/>
                      <w:b w:val="0"/>
                      <w:i w:val="0"/>
                      <w:color w:val="1B2733"/>
                      <w:sz w:val="16"/>
                    </w:rPr>
                    <w:t>0.80</w:t>
                  </w:r>
                </w:p>
              </w:tc>
            </w:tr>
          </w:tbl>
          <w:p/>
          <w:p>
            <w:pPr>
              <w:spacing w:after="40"/>
            </w:pPr>
            <w:r>
              <w:rPr>
                <w:rFonts w:ascii="Calibri" w:hAnsi="Calibri" w:cs="Calibri" w:eastAsia="Calibri"/>
                <w:b w:val="0"/>
                <w:i w:val="0"/>
                <w:color w:val="5B6B7B"/>
                <w:sz w:val="18"/>
              </w:rPr>
              <w:t>Shared promotional vocabulary is common across unrelated operators using the same affiliate templates, so these pairs are a lead for an analyst and were not merged.</w:t>
            </w:r>
          </w:p>
          <w:p>
            <w:pPr>
              <w:spacing w:after="0"/>
            </w:pPr>
            <w:r>
              <w:rPr>
                <w:rFonts w:ascii="Calibri" w:hAnsi="Calibri" w:cs="Calibri" w:eastAsia="Calibri"/>
                <w:b w:val="0"/>
                <w:i/>
                <w:color w:val="5B6B7B"/>
                <w:sz w:val="16"/>
              </w:rPr>
              <w:t>Table 6 — Cluster pairs whose signal-keyword fingerprints overlap.</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31" w:name="c1031"/>
            <w:pPr>
              <w:keepNext/>
              <w:keepLines/>
              <w:spacing w:after="60"/>
            </w:pPr>
            <w:bookmarkEnd w:id="1031"/>
            <w:r>
              <w:rPr>
                <w:rFonts w:ascii="Calibri" w:hAnsi="Calibri" w:cs="Calibri" w:eastAsia="Calibri"/>
                <w:b/>
                <w:i w:val="0"/>
                <w:color w:val="1B2733"/>
                <w:sz w:val="22"/>
              </w:rPr>
              <w:t>Naming conventions</w:t>
            </w:r>
          </w:p>
          <w:p>
            <w:pPr>
              <w:pStyle w:val="ListBullet"/>
              <w:spacing w:after="40"/>
            </w:pPr>
            <w:r>
              <w:rPr>
                <w:rFonts w:ascii="Calibri" w:hAnsi="Calibri" w:cs="Calibri" w:eastAsia="Calibri"/>
                <w:b w:val="0"/>
                <w:i w:val="0"/>
                <w:color w:val="1B2733"/>
                <w:sz w:val="20"/>
              </w:rPr>
              <w:t>Recurring tokens: m. (301), mobile (194), login (182). The same tokens repeating across unrelated domains is evidence of a templated naming scheme.</w:t>
            </w:r>
          </w:p>
          <w:p>
            <w:pPr>
              <w:pStyle w:val="ListBullet"/>
              <w:spacing w:after="40"/>
            </w:pPr>
            <w:r>
              <w:rPr>
                <w:rFonts w:ascii="Calibri" w:hAnsi="Calibri" w:cs="Calibri" w:eastAsia="Calibri"/>
                <w:b w:val="0"/>
                <w:i w:val="0"/>
                <w:color w:val="1B2733"/>
                <w:sz w:val="20"/>
              </w:rPr>
              <w:t>Top-level domain switching: .com (497), .org (428), .net (303), .co (206). Operators rotate top-level domains rather than registering under one.</w:t>
            </w:r>
          </w:p>
          <w:p>
            <w:pPr>
              <w:pStyle w:val="ListBullet"/>
              <w:spacing w:after="40"/>
            </w:pPr>
            <w:r>
              <w:rPr>
                <w:rFonts w:ascii="Calibri" w:hAnsi="Calibri" w:cs="Calibri" w:eastAsia="Calibri"/>
                <w:b w:val="0"/>
                <w:i w:val="0"/>
                <w:color w:val="1B2733"/>
                <w:sz w:val="20"/>
              </w:rPr>
              <w:t>2,906 distinct domains across 20 brand clusters.</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3024"/>
        <w:gridCol w:w="3024"/>
        <w:gridCol w:w="3024"/>
      </w:tblGrid>
      <w:tr>
        <w:trPr>
          <w:cantSplit/>
        </w:trPr>
        <w:tc>
          <w:tcPr>
            <w:tcW w:type="dxa" w:w="3024"/>
            <w:tcMar>
              <w:top w:w="170" w:type="dxa"/>
              <w:start w:w="141" w:type="dxa"/>
              <w:bottom w:w="170" w:type="dxa"/>
              <w:end w:w="141" w:type="dxa"/>
            </w:tcMar>
          </w:tcPr>
          <w:p>
            <w:pPr>
              <w:spacing w:after="20"/>
              <w:jc w:val="center"/>
            </w:pPr>
            <w:r>
              <w:rPr>
                <w:rFonts w:ascii="Calibri" w:hAnsi="Calibri" w:cs="Calibri" w:eastAsia="Calibri"/>
                <w:b/>
                <w:i w:val="0"/>
                <w:color w:val="1F3F63"/>
                <w:sz w:val="34"/>
              </w:rPr>
              <w:t>125</w:t>
            </w:r>
          </w:p>
          <w:p>
            <w:pPr>
              <w:spacing w:after="0"/>
              <w:jc w:val="center"/>
            </w:pPr>
            <w:r>
              <w:rPr>
                <w:rFonts w:ascii="Calibri" w:hAnsi="Calibri" w:cs="Calibri" w:eastAsia="Calibri"/>
                <w:b w:val="0"/>
                <w:i w:val="0"/>
                <w:color w:val="5B6B7B"/>
                <w:sz w:val="16"/>
              </w:rPr>
              <w:t>Reached directly</w:t>
              <w:br/>
              <w:t>1.1%</w:t>
            </w:r>
          </w:p>
        </w:tc>
        <w:tc>
          <w:tcPr>
            <w:tcW w:type="dxa" w:w="3024"/>
            <w:tcMar>
              <w:top w:w="170" w:type="dxa"/>
              <w:start w:w="141" w:type="dxa"/>
              <w:bottom w:w="170" w:type="dxa"/>
              <w:end w:w="141" w:type="dxa"/>
            </w:tcMar>
          </w:tcPr>
          <w:p>
            <w:pPr>
              <w:spacing w:after="20"/>
              <w:jc w:val="center"/>
            </w:pPr>
            <w:r>
              <w:rPr>
                <w:rFonts w:ascii="Calibri" w:hAnsi="Calibri" w:cs="Calibri" w:eastAsia="Calibri"/>
                <w:b/>
                <w:i w:val="0"/>
                <w:color w:val="1F3F63"/>
                <w:sz w:val="34"/>
              </w:rPr>
              <w:t>594</w:t>
            </w:r>
          </w:p>
          <w:p>
            <w:pPr>
              <w:spacing w:after="0"/>
              <w:jc w:val="center"/>
            </w:pPr>
            <w:r>
              <w:rPr>
                <w:rFonts w:ascii="Calibri" w:hAnsi="Calibri" w:cs="Calibri" w:eastAsia="Calibri"/>
                <w:b w:val="0"/>
                <w:i w:val="0"/>
                <w:color w:val="5B6B7B"/>
                <w:sz w:val="16"/>
              </w:rPr>
              <w:t>Behind a redirect</w:t>
              <w:br/>
              <w:t>5.1%</w:t>
            </w:r>
          </w:p>
        </w:tc>
        <w:tc>
          <w:tcPr>
            <w:tcW w:type="dxa" w:w="3024"/>
            <w:tcMar>
              <w:top w:w="170" w:type="dxa"/>
              <w:start w:w="141" w:type="dxa"/>
              <w:bottom w:w="170" w:type="dxa"/>
              <w:end w:w="141" w:type="dxa"/>
            </w:tcMar>
          </w:tcPr>
          <w:p>
            <w:pPr>
              <w:spacing w:after="20"/>
              <w:jc w:val="center"/>
            </w:pPr>
            <w:r>
              <w:rPr>
                <w:rFonts w:ascii="Calibri" w:hAnsi="Calibri" w:cs="Calibri" w:eastAsia="Calibri"/>
                <w:b/>
                <w:i w:val="0"/>
                <w:color w:val="1F3F63"/>
                <w:sz w:val="34"/>
              </w:rPr>
              <w:t>10,929</w:t>
            </w:r>
          </w:p>
          <w:p>
            <w:pPr>
              <w:spacing w:after="0"/>
              <w:jc w:val="center"/>
            </w:pPr>
            <w:r>
              <w:rPr>
                <w:rFonts w:ascii="Calibri" w:hAnsi="Calibri" w:cs="Calibri" w:eastAsia="Calibri"/>
                <w:b w:val="0"/>
                <w:i w:val="0"/>
                <w:color w:val="5B6B7B"/>
                <w:sz w:val="16"/>
              </w:rPr>
              <w:t>Crawler-identified variants</w:t>
              <w:br/>
              <w:t>93.8%</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32" w:name="c1032"/>
            <w:pPr>
              <w:keepNext/>
              <w:keepLines/>
              <w:spacing w:after="60"/>
            </w:pPr>
            <w:bookmarkEnd w:id="1032"/>
            <w:r>
              <w:rPr>
                <w:rFonts w:ascii="Calibri" w:hAnsi="Calibri" w:cs="Calibri" w:eastAsia="Calibri"/>
                <w:b/>
                <w:i w:val="0"/>
                <w:color w:val="1B2733"/>
                <w:sz w:val="22"/>
              </w:rPr>
              <w:t>Redirect propagation — www.min88.top</w:t>
            </w:r>
          </w:p>
          <w:p>
            <w:pPr>
              <w:spacing w:after="80"/>
            </w:pPr>
            <w:r>
              <w:rPr>
                <w:rFonts w:ascii="Calibri" w:hAnsi="Calibri" w:cs="Calibri" w:eastAsia="Calibri"/>
                <w:b w:val="0"/>
                <w:i w:val="0"/>
                <w:color w:val="5B6B7B"/>
                <w:sz w:val="18"/>
              </w:rPr>
              <w:t>The busiest redirect source and the destinations reached from it. Each node is one domain.</w:t>
            </w:r>
          </w:p>
          <w:p>
            <w:pPr>
              <w:spacing w:after="60"/>
              <w:jc w:val="center"/>
            </w:pPr>
            <w:r>
              <w:drawing>
                <wp:inline xmlns:a="http://schemas.openxmlformats.org/drawingml/2006/main" xmlns:pic="http://schemas.openxmlformats.org/drawingml/2006/picture">
                  <wp:extent cx="5040000" cy="1781477"/>
                  <wp:docPr id="12" name="Picture 12"/>
                  <wp:cNvGraphicFramePr>
                    <a:graphicFrameLocks noChangeAspect="1"/>
                  </wp:cNvGraphicFramePr>
                  <a:graphic>
                    <a:graphicData uri="http://schemas.openxmlformats.org/drawingml/2006/picture">
                      <pic:pic>
                        <pic:nvPicPr>
                          <pic:cNvPr id="0" name="e10.png"/>
                          <pic:cNvPicPr/>
                        </pic:nvPicPr>
                        <pic:blipFill>
                          <a:blip r:embed="rId24"/>
                          <a:stretch>
                            <a:fillRect/>
                          </a:stretch>
                        </pic:blipFill>
                        <pic:spPr>
                          <a:xfrm>
                            <a:off x="0" y="0"/>
                            <a:ext cx="5040000" cy="1781477"/>
                          </a:xfrm>
                          <a:prstGeom prst="rect"/>
                        </pic:spPr>
                      </pic:pic>
                    </a:graphicData>
                  </a:graphic>
                </wp:inline>
              </w:drawing>
            </w:r>
          </w:p>
          <w:p>
            <w:pPr>
              <w:spacing w:after="0"/>
            </w:pPr>
            <w:r>
              <w:rPr>
                <w:rFonts w:ascii="Calibri" w:hAnsi="Calibri" w:cs="Calibri" w:eastAsia="Calibri"/>
                <w:b w:val="0"/>
                <w:i/>
                <w:color w:val="5B6B7B"/>
                <w:sz w:val="16"/>
              </w:rPr>
              <w:t>Figure 11 — Destinations reached from the busiest redirect source.</w:t>
            </w:r>
          </w:p>
        </w:tc>
      </w:tr>
    </w:tbl>
    <w:p>
      <w:pPr>
        <w:spacing w:after="60"/>
      </w:pPr>
    </w:p>
    <w:p>
      <w:r>
        <w:br w:type="page"/>
      </w:r>
    </w:p>
    <w:p>
      <w:bookmarkStart w:id="1033" w:name="c1033"/>
      <w:pPr>
        <w:pStyle w:val="Heading2"/>
      </w:pPr>
      <w:bookmarkEnd w:id="1033"/>
      <w:r>
        <w:rPr>
          <w:rFonts w:ascii="Calibri" w:hAnsi="Calibri" w:cs="Calibri" w:eastAsia="Calibri"/>
          <w:b/>
          <w:i w:val="0"/>
          <w:color w:val="1F3F63"/>
          <w:sz w:val="26"/>
        </w:rPr>
        <w:t>Ranking</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34" w:name="c1034"/>
            <w:pPr>
              <w:keepNext/>
              <w:keepLines/>
              <w:spacing w:after="60"/>
            </w:pPr>
            <w:bookmarkEnd w:id="1034"/>
            <w:r>
              <w:rPr>
                <w:rFonts w:ascii="Calibri" w:hAnsi="Calibri" w:cs="Calibri" w:eastAsia="Calibri"/>
                <w:b/>
                <w:i w:val="0"/>
                <w:color w:val="1B2733"/>
                <w:sz w:val="22"/>
              </w:rPr>
              <w:t>Gambling ranking</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7938" w:type="dxa"/>
            </w:tblPr>
            <w:tblGrid>
              <w:gridCol w:w="1020"/>
              <w:gridCol w:w="2041"/>
              <w:gridCol w:w="1361"/>
              <w:gridCol w:w="1474"/>
              <w:gridCol w:w="2041"/>
            </w:tblGrid>
            <w:tr>
              <w:tc>
                <w:tcPr>
                  <w:tcW w:type="dxa" w:w="1020"/>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Rank</w:t>
                  </w:r>
                </w:p>
              </w:tc>
              <w:tc>
                <w:tcPr>
                  <w:tcW w:type="dxa" w:w="204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Domain</w:t>
                  </w:r>
                </w:p>
              </w:tc>
              <w:tc>
                <w:tcPr>
                  <w:tcW w:type="dxa" w:w="136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Brand cluster</w:t>
                  </w:r>
                </w:p>
              </w:tc>
              <w:tc>
                <w:tcPr>
                  <w:tcW w:type="dxa" w:w="1474"/>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Subcategory</w:t>
                  </w:r>
                </w:p>
              </w:tc>
              <w:tc>
                <w:tcPr>
                  <w:tcW w:type="dxa" w:w="2041"/>
                  <w:shd w:val="clear" w:color="auto" w:fill="EEF2F6"/>
                  <w:tcMar>
                    <w:top w:w="68" w:type="dxa"/>
                    <w:start w:w="85" w:type="dxa"/>
                    <w:bottom w:w="68" w:type="dxa"/>
                    <w:end w:w="85" w:type="dxa"/>
                  </w:tcMar>
                </w:tcPr>
                <w:p>
                  <w:pPr>
                    <w:spacing w:after="0"/>
                  </w:pPr>
                  <w:r>
                    <w:rPr>
                      <w:rFonts w:ascii="Calibri" w:hAnsi="Calibri" w:cs="Calibri" w:eastAsia="Calibri"/>
                      <w:b/>
                      <w:i w:val="0"/>
                      <w:color w:val="1F3F63"/>
                      <w:sz w:val="15"/>
                    </w:rPr>
                    <w:t>Source</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91,874</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metal--vip.com</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met</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Slots</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Manual</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92,922</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gernpang88.com</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gernpang</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General Gambling</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Manual</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129,213</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duangpang168.com</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duangpang</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General Gambling</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Manual</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198,736</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jun88wb.com</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jun88w</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Casino</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Variant · referrer: jun88wh.com</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214,795</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allslotwallet.online</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allslotwallet</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Slots</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Manual</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219,821</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u11k.pro</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u11</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Football Betting</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Variant · referrer: u11k.net</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221,001</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suriyathai.net</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suriya</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General Gambling</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Manual</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303,254</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jun88wf.com</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jun88w</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Casino</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Variant · referrer: jun88wt.com</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397,330</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jun88wa.com</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jun88e</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Casino</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Variant · referrer: jun88ea.com</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466,858</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jun88wc.com</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jun88w</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Slots</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Variant · referrer: jun88wd.com</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517,141</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slavinaslot.top</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jun</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Casino</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Redirect · referrer: jun88.info</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517,141</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jun88.info</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jun</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Casino</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Variant · referrer: jun88.mobile</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547,370</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99ok.vip</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99ok</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Lottery</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Variant · referrer: 99ok.bet</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558,790</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gg8830.com</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gg88</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Slots</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Variant · referrer: gg8825.app</w:t>
                  </w:r>
                </w:p>
              </w:tc>
            </w:tr>
            <w:tr>
              <w:tc>
                <w:tcPr>
                  <w:tcW w:type="dxa" w:w="1020"/>
                  <w:tcMar>
                    <w:top w:w="56" w:type="dxa"/>
                    <w:start w:w="85" w:type="dxa"/>
                    <w:bottom w:w="56" w:type="dxa"/>
                    <w:end w:w="85" w:type="dxa"/>
                  </w:tcMar>
                </w:tcPr>
                <w:p>
                  <w:pPr>
                    <w:spacing w:after="0"/>
                    <w:jc w:val="right"/>
                  </w:pPr>
                  <w:r>
                    <w:rPr>
                      <w:rFonts w:ascii="Calibri" w:hAnsi="Calibri" w:cs="Calibri" w:eastAsia="Calibri"/>
                      <w:b w:val="0"/>
                      <w:i w:val="0"/>
                      <w:color w:val="1B2733"/>
                      <w:sz w:val="16"/>
                    </w:rPr>
                    <w:t>582,212</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betwgb.com</w:t>
                  </w:r>
                </w:p>
              </w:tc>
              <w:tc>
                <w:tcPr>
                  <w:tcW w:type="dxa" w:w="1361"/>
                  <w:tcMar>
                    <w:top w:w="56" w:type="dxa"/>
                    <w:start w:w="85" w:type="dxa"/>
                    <w:bottom w:w="56" w:type="dxa"/>
                    <w:end w:w="85" w:type="dxa"/>
                  </w:tcMar>
                </w:tcPr>
                <w:p>
                  <w:pPr>
                    <w:spacing w:after="0"/>
                  </w:pPr>
                  <w:r>
                    <w:rPr>
                      <w:rFonts w:ascii="Calibri" w:hAnsi="Calibri" w:cs="Calibri" w:eastAsia="Calibri"/>
                      <w:b w:val="0"/>
                      <w:i w:val="0"/>
                      <w:color w:val="1B2733"/>
                      <w:sz w:val="16"/>
                    </w:rPr>
                    <w:t>betwgb</w:t>
                  </w:r>
                </w:p>
              </w:tc>
              <w:tc>
                <w:tcPr>
                  <w:tcW w:type="dxa" w:w="1474"/>
                  <w:tcMar>
                    <w:top w:w="56" w:type="dxa"/>
                    <w:start w:w="85" w:type="dxa"/>
                    <w:bottom w:w="56" w:type="dxa"/>
                    <w:end w:w="85" w:type="dxa"/>
                  </w:tcMar>
                </w:tcPr>
                <w:p>
                  <w:pPr>
                    <w:spacing w:after="0"/>
                  </w:pPr>
                  <w:r>
                    <w:rPr>
                      <w:rFonts w:ascii="Calibri" w:hAnsi="Calibri" w:cs="Calibri" w:eastAsia="Calibri"/>
                      <w:b w:val="0"/>
                      <w:i w:val="0"/>
                      <w:color w:val="1B2733"/>
                      <w:sz w:val="16"/>
                    </w:rPr>
                    <w:t>General Gambling</w:t>
                  </w:r>
                </w:p>
              </w:tc>
              <w:tc>
                <w:tcPr>
                  <w:tcW w:type="dxa" w:w="2041"/>
                  <w:tcMar>
                    <w:top w:w="56" w:type="dxa"/>
                    <w:start w:w="85" w:type="dxa"/>
                    <w:bottom w:w="56" w:type="dxa"/>
                    <w:end w:w="85" w:type="dxa"/>
                  </w:tcMar>
                </w:tcPr>
                <w:p>
                  <w:pPr>
                    <w:spacing w:after="0"/>
                  </w:pPr>
                  <w:r>
                    <w:rPr>
                      <w:rFonts w:ascii="Calibri" w:hAnsi="Calibri" w:cs="Calibri" w:eastAsia="Calibri"/>
                      <w:b w:val="0"/>
                      <w:i w:val="0"/>
                      <w:color w:val="1B2733"/>
                      <w:sz w:val="16"/>
                    </w:rPr>
                    <w:t>Manual</w:t>
                  </w:r>
                </w:p>
              </w:tc>
            </w:tr>
          </w:tbl>
          <w:p/>
          <w:p>
            <w:pPr>
              <w:spacing w:after="40"/>
            </w:pPr>
            <w:r>
              <w:rPr>
                <w:rFonts w:ascii="Calibri" w:hAnsi="Calibri" w:cs="Calibri" w:eastAsia="Calibri"/>
                <w:b w:val="0"/>
                <w:i w:val="0"/>
                <w:color w:val="5B6B7B"/>
                <w:sz w:val="18"/>
              </w:rPr>
              <w:t>268 gambling rows carry a numeric rank; the fifteen highest ranked are listed.</w:t>
            </w:r>
          </w:p>
          <w:p>
            <w:pPr>
              <w:spacing w:after="0"/>
            </w:pPr>
            <w:r>
              <w:rPr>
                <w:rFonts w:ascii="Calibri" w:hAnsi="Calibri" w:cs="Calibri" w:eastAsia="Calibri"/>
                <w:b w:val="0"/>
                <w:i/>
                <w:color w:val="5B6B7B"/>
                <w:sz w:val="16"/>
              </w:rPr>
              <w:t>Table 7 — Gambling ranking by search visibility in the source feed.</w:t>
            </w:r>
          </w:p>
        </w:tc>
      </w:tr>
    </w:tbl>
    <w:p>
      <w:pPr>
        <w:spacing w:after="60"/>
      </w:pPr>
    </w:p>
    <w:p>
      <w:r>
        <w:br w:type="page"/>
      </w:r>
    </w:p>
    <w:p>
      <w:bookmarkStart w:id="1035" w:name="c1035"/>
      <w:pPr>
        <w:pStyle w:val="Heading2"/>
      </w:pPr>
      <w:bookmarkEnd w:id="1035"/>
      <w:r>
        <w:rPr>
          <w:rFonts w:ascii="Calibri" w:hAnsi="Calibri" w:cs="Calibri" w:eastAsia="Calibri"/>
          <w:b/>
          <w:i w:val="0"/>
          <w:color w:val="1F3F63"/>
          <w:sz w:val="26"/>
        </w:rPr>
        <w:t>Key insights</w:t>
      </w: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36" w:name="c1036"/>
            <w:pPr>
              <w:keepNext/>
              <w:keepLines/>
              <w:spacing w:after="60"/>
            </w:pPr>
            <w:bookmarkEnd w:id="1036"/>
            <w:r>
              <w:rPr>
                <w:rFonts w:ascii="Calibri" w:hAnsi="Calibri" w:cs="Calibri" w:eastAsia="Calibri"/>
                <w:b/>
                <w:i w:val="0"/>
                <w:color w:val="1B2733"/>
                <w:sz w:val="22"/>
              </w:rPr>
              <w:t>Scale of the analysis</w:t>
            </w:r>
          </w:p>
          <w:p>
            <w:pPr>
              <w:spacing w:after="100"/>
            </w:pPr>
            <w:r>
              <w:rPr>
                <w:rFonts w:ascii="Calibri" w:hAnsi="Calibri" w:cs="Calibri" w:eastAsia="Calibri"/>
                <w:b w:val="0"/>
                <w:i w:val="0"/>
                <w:color w:val="1B2733"/>
                <w:sz w:val="20"/>
              </w:rPr>
              <w:t>The analysis covers 24,605 distinct URLs over 34 days, from 2026-09-04 to 2026-10-07. Of these, 11,648 are classified as gambling, 12,957 as not gambling, and none were recorded as unreachable.</w:t>
            </w:r>
          </w:p>
          <w:p>
            <w:pPr>
              <w:spacing w:after="0" w:before="40"/>
            </w:pPr>
            <w:r>
              <w:rPr>
                <w:rFonts w:ascii="Calibri" w:hAnsi="Calibri" w:cs="Calibri" w:eastAsia="Calibri"/>
                <w:b/>
                <w:i w:val="0"/>
                <w:color w:val="1F3F63"/>
                <w:sz w:val="20"/>
              </w:rPr>
              <w:t>The sample is large enough to reason about patterns, not isolated cases.</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37" w:name="c1037"/>
            <w:pPr>
              <w:keepNext/>
              <w:keepLines/>
              <w:spacing w:after="60"/>
            </w:pPr>
            <w:bookmarkEnd w:id="1037"/>
            <w:r>
              <w:rPr>
                <w:rFonts w:ascii="Calibri" w:hAnsi="Calibri" w:cs="Calibri" w:eastAsia="Calibri"/>
                <w:b/>
                <w:i w:val="0"/>
                <w:color w:val="1B2733"/>
                <w:sz w:val="22"/>
              </w:rPr>
              <w:t>What is being offered</w:t>
            </w:r>
          </w:p>
          <w:p>
            <w:pPr>
              <w:spacing w:after="100"/>
            </w:pPr>
            <w:r>
              <w:rPr>
                <w:rFonts w:ascii="Calibri" w:hAnsi="Calibri" w:cs="Calibri" w:eastAsia="Calibri"/>
                <w:b w:val="0"/>
                <w:i w:val="0"/>
                <w:color w:val="1B2733"/>
                <w:sz w:val="20"/>
              </w:rPr>
              <w:t>The three largest product subcategories are Casino with 3,671 rows (31.5%); Slots with 3,370 rows (28.9%); General Gambling with 2,907 rows (25.0%). A further 25.0% of gambling rows are confirmed as gambling without an evidenced product type. 96.3% of subcategory assignments were made by reasoning inference rather than by a lexicon keyword match, and 212 of the 286 lexicon keywords never matched a single row in this sample.</w:t>
            </w:r>
          </w:p>
          <w:p>
            <w:pPr>
              <w:spacing w:after="0" w:before="40"/>
            </w:pPr>
            <w:r>
              <w:rPr>
                <w:rFonts w:ascii="Calibri" w:hAnsi="Calibri" w:cs="Calibri" w:eastAsia="Calibri"/>
                <w:b/>
                <w:i w:val="0"/>
                <w:color w:val="1F3F63"/>
                <w:sz w:val="20"/>
              </w:rPr>
              <w:t>Casino is the dominant product type recorded, but at 31.5% of gambling rows the estate is spread across product types rather than concentrated in one.</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38" w:name="c1038"/>
            <w:pPr>
              <w:keepNext/>
              <w:keepLines/>
              <w:spacing w:after="60"/>
            </w:pPr>
            <w:bookmarkEnd w:id="1038"/>
            <w:r>
              <w:rPr>
                <w:rFonts w:ascii="Calibri" w:hAnsi="Calibri" w:cs="Calibri" w:eastAsia="Calibri"/>
                <w:b/>
                <w:i w:val="0"/>
                <w:color w:val="1B2733"/>
                <w:sz w:val="22"/>
              </w:rPr>
              <w:t>Brand clustering</w:t>
            </w:r>
          </w:p>
          <w:p>
            <w:pPr>
              <w:spacing w:after="100"/>
            </w:pPr>
            <w:r>
              <w:rPr>
                <w:rFonts w:ascii="Calibri" w:hAnsi="Calibri" w:cs="Calibri" w:eastAsia="Calibri"/>
                <w:b w:val="0"/>
                <w:i w:val="0"/>
                <w:color w:val="1B2733"/>
                <w:sz w:val="20"/>
              </w:rPr>
              <w:t>1,533 brand clusters were identified across 11,648 gambling URLs. 1,030 of them hold more than one domain and 503 hold only one. It takes 166 clusters to cover half the gambling URLs. The largest, jun, holds 568 domains across 7 product subcategories.</w:t>
            </w:r>
          </w:p>
          <w:p>
            <w:pPr>
              <w:spacing w:after="0" w:before="40"/>
            </w:pPr>
            <w:r>
              <w:rPr>
                <w:rFonts w:ascii="Calibri" w:hAnsi="Calibri" w:cs="Calibri" w:eastAsia="Calibri"/>
                <w:b/>
                <w:i w:val="0"/>
                <w:color w:val="1F3F63"/>
                <w:sz w:val="20"/>
              </w:rPr>
              <w:t>The estate is diffuse: half of it is spread across 166 separate clusters, so per URL blocking will have limited leverage and enforcement needs to work at cluster level to keep pace.</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39" w:name="c1039"/>
            <w:pPr>
              <w:keepNext/>
              <w:keepLines/>
              <w:spacing w:after="60"/>
            </w:pPr>
            <w:bookmarkEnd w:id="1039"/>
            <w:r>
              <w:rPr>
                <w:rFonts w:ascii="Calibri" w:hAnsi="Calibri" w:cs="Calibri" w:eastAsia="Calibri"/>
                <w:b/>
                <w:i w:val="0"/>
                <w:color w:val="1B2733"/>
                <w:sz w:val="22"/>
              </w:rPr>
              <w:t>How the estate is grown and marketed</w:t>
            </w:r>
          </w:p>
          <w:p>
            <w:pPr>
              <w:spacing w:after="100"/>
            </w:pPr>
            <w:r>
              <w:rPr>
                <w:rFonts w:ascii="Calibri" w:hAnsi="Calibri" w:cs="Calibri" w:eastAsia="Calibri"/>
                <w:b w:val="0"/>
                <w:i w:val="0"/>
                <w:color w:val="1B2733"/>
                <w:sz w:val="20"/>
              </w:rPr>
              <w:t>10,929 gambling URLs were reached as crawler identified variants (93.8%), 594 sat behind redirect chains (5.1%) and 125 were reached directly (1.1%). The busiest redirect source is www.min88.top, reaching 6 destinations. 1,185 clusters rotate across more than one top level domain. The two most common signal tags are Abbreviations (30.7% of gambling rows) and Marketing &amp; Acquisition (3.5% of gambling rows).</w:t>
            </w:r>
          </w:p>
          <w:p>
            <w:pPr>
              <w:spacing w:after="0" w:before="40"/>
            </w:pPr>
            <w:r>
              <w:rPr>
                <w:rFonts w:ascii="Calibri" w:hAnsi="Calibri" w:cs="Calibri" w:eastAsia="Calibri"/>
                <w:b/>
                <w:i w:val="0"/>
                <w:color w:val="1F3F63"/>
                <w:sz w:val="20"/>
              </w:rPr>
              <w:t>Redirects and top level domain rotation keep a stable entry point while the sites behind it are replaced.</w:t>
            </w:r>
          </w:p>
        </w:tc>
      </w:tr>
    </w:tbl>
    <w:p>
      <w:pPr>
        <w:spacing w:after="60"/>
      </w:pPr>
    </w:p>
    <w:tbl>
      <w:tblPr>
        <w:tblW w:type="auto" w:w="0"/>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W w:w="9072" w:type="dxa"/>
      </w:tblPr>
      <w:tblGrid>
        <w:gridCol w:w="9071"/>
      </w:tblGrid>
      <w:tr>
        <w:trPr>
          <w:cantSplit/>
        </w:trPr>
        <w:tc>
          <w:tcPr>
            <w:tcW w:type="dxa" w:w="9071"/>
            <w:tcMar>
              <w:top w:w="226" w:type="dxa"/>
              <w:start w:w="226" w:type="dxa"/>
              <w:bottom w:w="226" w:type="dxa"/>
              <w:end w:w="226" w:type="dxa"/>
            </w:tcMar>
          </w:tcPr>
          <w:p>
            <w:bookmarkStart w:id="1040" w:name="c1040"/>
            <w:pPr>
              <w:keepNext/>
              <w:keepLines/>
              <w:spacing w:after="60"/>
            </w:pPr>
            <w:bookmarkEnd w:id="1040"/>
            <w:r>
              <w:rPr>
                <w:rFonts w:ascii="Calibri" w:hAnsi="Calibri" w:cs="Calibri" w:eastAsia="Calibri"/>
                <w:b/>
                <w:i w:val="0"/>
                <w:color w:val="1B2733"/>
                <w:sz w:val="22"/>
              </w:rPr>
              <w:t>Enforcement position</w:t>
            </w:r>
          </w:p>
          <w:p>
            <w:pPr>
              <w:spacing w:after="100"/>
            </w:pPr>
            <w:r>
              <w:rPr>
                <w:rFonts w:ascii="Calibri" w:hAnsi="Calibri" w:cs="Calibri" w:eastAsia="Calibri"/>
                <w:b w:val="0"/>
                <w:i w:val="0"/>
                <w:color w:val="1B2733"/>
                <w:sz w:val="20"/>
              </w:rPr>
              <w:t>7 pages in the sample already show regulatory blocking indicators such as court orders, regulator notices or block pages, against 11,648 gambling URLs in total.</w:t>
            </w:r>
          </w:p>
          <w:p>
            <w:pPr>
              <w:spacing w:after="0" w:before="40"/>
            </w:pPr>
            <w:r>
              <w:rPr>
                <w:rFonts w:ascii="Calibri" w:hAnsi="Calibri" w:cs="Calibri" w:eastAsia="Calibri"/>
                <w:b/>
                <w:i w:val="0"/>
                <w:color w:val="1F3F63"/>
                <w:sz w:val="20"/>
              </w:rPr>
              <w:t>A measurable share is already under enforcement, and the remainder is a candidate for a first pass, prioritised by cluster rather than by URL.</w:t>
            </w:r>
          </w:p>
        </w:tc>
      </w:tr>
    </w:tbl>
    <w:p>
      <w:pPr>
        <w:spacing w:after="60"/>
      </w:pPr>
    </w:p>
    <w:p>
      <w:pPr>
        <w:spacing w:after="40"/>
      </w:pPr>
    </w:p>
    <w:p>
      <w:pPr>
        <w:keepLines/>
        <w:spacing w:before="120"/>
      </w:pPr>
      <w:r>
        <w:rPr>
          <w:rFonts w:ascii="Calibri" w:hAnsi="Calibri" w:cs="Calibri" w:eastAsia="Calibri"/>
          <w:b w:val="0"/>
          <w:i w:val="0"/>
          <w:color w:val="5B6B7B"/>
          <w:sz w:val="15"/>
        </w:rPr>
        <w:t>Lexicon source: SICPADetect Thai gambling keyword lexicon, workbook Gambling_Keywords_Full_English_Categories_V1.xlsx. Lexicon version: Gambling_Keywords_Full_English_Categories_V1.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96.3%. General gambling share 25.0%. Rows normalised from Licensed gambling on ingest: 0. Probable false-positive source among abbreviation matches: VIP, 46.2% of all abbreviation matches; BET, 27.6% of all abbreviation matches. Clustering thresholds: Jaro–Winkler similarity 0.90 for a near-miss merge, restricted to stems sharing a prefix; a stem under 3 characters reverts to its pre-affix form; cluster linkage pairs are reported at a Jaccard of 0.60 or above on signal-keyword sets of at least two keywords.</w:t>
      </w:r>
    </w:p>
    <w:sectPr w:rsidR="00FC693F" w:rsidRPr="0006063C" w:rsidSect="00034616">
      <w:headerReference w:type="default" r:id="rId9"/>
      <w:footerReference w:type="default" r:id="rId10"/>
      <w:headerReference w:type="first" r:id="rId11"/>
      <w:footerReference w:type="first" r:id="rId12"/>
      <w:pgSz w:w="11906" w:h="16838"/>
      <w:pgMar w:top="1134" w:right="1417" w:bottom="1020"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5B6B7B"/>
        <w:sz w:val="16"/>
      </w:rPr>
      <w:t xml:space="preserve">SICPA SA for the Ministry of Digital Economy and Society, Thailand   ·   </w:t>
    </w:r>
    <w:r>
      <w:rPr>
        <w:rFonts w:ascii="Calibri" w:hAnsi="Calibri" w:cs="Calibri" w:eastAsia="Calibri"/>
        <w:b w:val="0"/>
        <w:i w:val="0"/>
        <w:color w:val="5B6B7B"/>
        <w:sz w:val="16"/>
      </w:rPr>
      <w:t xml:space="preserve">Page </w:t>
    </w:r>
    <w:fldSimple w:instr=" PAGE \* MERGEFORMAT ">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5B6B7B"/>
        <w:sz w:val="16"/>
      </w:rPr>
      <w:t>SICPA SA for the Ministry of Digital Economy and Society, Thailand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b w:val="0"/>
        <w:i w:val="0"/>
        <w:color w:val="5B6B7B"/>
        <w:sz w:val="16"/>
      </w:rPr>
      <w:t>Data Insights &amp; Patterns  ·  Ministry of Digital Economy and Society, Thailand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1B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F3F63"/>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F63"/>
      <w:sz w:val="26"/>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Calibri" w:hAnsi="Calibri"/>
      <w:b/>
      <w:bCs/>
      <w:color w:val="1B27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