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60"/>
        <w:jc w:val="center"/>
      </w:pPr>
      <w:r>
        <w:rPr>
          <w:b/>
          <w:bCs/>
          <w:color w:val="1F4E79"/>
          <w:sz w:val="60"/>
          <w:szCs w:val="60"/>
        </w:rPr>
        <w:t xml:space="preserve">mf6Voronoi Studio</w:t>
      </w:r>
    </w:p>
    <w:p>
      <w:pPr>
        <w:spacing w:after="40"/>
        <w:jc w:val="center"/>
      </w:pPr>
      <w:r>
        <w:rPr>
          <w:color w:val="404040"/>
          <w:sz w:val="34"/>
          <w:szCs w:val="34"/>
        </w:rPr>
        <w:t xml:space="preserve">Guía de Inicio Rápido</w:t>
      </w:r>
    </w:p>
    <w:p>
      <w:pPr>
        <w:spacing w:after="300"/>
        <w:jc w:val="center"/>
      </w:pPr>
      <w:r>
        <w:rPr>
          <w:b/>
          <w:bCs/>
          <w:color w:val="5A6672"/>
          <w:sz w:val="24"/>
          <w:szCs w:val="24"/>
        </w:rPr>
        <w:t xml:space="preserve">Versión 3.0.1</w:t>
      </w:r>
    </w:p>
    <w:p>
      <w:pPr>
        <w:spacing w:after="260"/>
        <w:jc w:val="center"/>
      </w:pPr>
      <w:r>
        <w:rPr>
          <w:i/>
          <w:iCs/>
          <w:color w:val="5A6672"/>
          <w:sz w:val="22"/>
          <w:szCs w:val="22"/>
        </w:rPr>
        <w:t xml:space="preserve">De los shapefiles a una malla MODFLOW 6 en unos diez minutos</w:t>
      </w:r>
    </w:p>
    <w:p>
      <w:pPr>
        <w:spacing w:after="32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00475"/>
                    </a:xfrm>
                    <a:prstGeom prst="rect">
                      <a:avLst/>
                    </a:prstGeom>
                  </pic:spPr>
                </pic:pic>
              </a:graphicData>
            </a:graphic>
          </wp:inline>
        </w:drawing>
      </w:r>
    </w:p>
    <w:p>
      <w:pPr>
        <w:spacing w:after="40"/>
        <w:jc w:val="center"/>
      </w:pPr>
      <w:r>
        <w:rPr>
          <w:color w:val="5A6672"/>
          <w:sz w:val="19"/>
          <w:szCs w:val="19"/>
        </w:rPr>
        <w:t xml:space="preserve">Siga estos siete pasos sobre la carpeta Example que acompaña a la aplicación.</w:t>
      </w:r>
    </w:p>
    <w:p>
      <w:pPr>
        <w:spacing w:after="300"/>
        <w:jc w:val="center"/>
      </w:pPr>
      <w:r>
        <w:rPr>
          <w:color w:val="5A6672"/>
          <w:sz w:val="19"/>
          <w:szCs w:val="19"/>
        </w:rPr>
        <w:t xml:space="preserve">Para la referencia completa, consulte el Manual de Usuario.</w:t>
      </w:r>
    </w:p>
    <w:p>
      <w:pPr>
        <w:spacing w:after="30"/>
        <w:jc w:val="center"/>
      </w:pPr>
      <w:r>
        <w:rPr>
          <w:sz w:val="19"/>
          <w:szCs w:val="19"/>
        </w:rPr>
        <w:t xml:space="preserve">mf6Voronoi — Saul Montoya</w:t>
      </w:r>
    </w:p>
    <w:p>
      <w:pPr>
        <w:spacing w:after="30"/>
        <w:jc w:val="center"/>
      </w:pPr>
      <w:r>
        <w:rPr>
          <w:sz w:val="19"/>
          <w:szCs w:val="19"/>
        </w:rPr>
        <w:t xml:space="preserve">Desarrollo de la interfaz — An Ho Taylor</w:t>
      </w:r>
    </w:p>
    <w:p>
      <w:pPr>
        <w:jc w:val="center"/>
      </w:pPr>
      <w:r>
        <w:rPr>
          <w:i/>
          <w:iCs/>
          <w:color w:val="5A6672"/>
          <w:sz w:val="19"/>
          <w:szCs w:val="19"/>
        </w:rPr>
        <w:t xml:space="preserve">Viva el Software Libre</w:t>
      </w:r>
    </w:p>
    <w:p>
      <w:r>
        <w:br w:type="page"/>
      </w:r>
    </w:p>
    <w:p>
      <w:pPr>
        <w:pStyle w:val="Heading1"/>
        <w:pBdr>
          <w:bottom w:val="single" w:color="C8D2DC" w:sz="8" w:space="6"/>
        </w:pBdr>
        <w:spacing w:after="200" w:before="320"/>
      </w:pPr>
      <w:r>
        <w:rPr>
          <w:b/>
          <w:bCs/>
          <w:color w:val="1F4E79"/>
          <w:sz w:val="32"/>
          <w:szCs w:val="32"/>
        </w:rPr>
        <w:t xml:space="preserve">Contenido</w:t>
      </w:r>
    </w:p>
    <w:p>
      <w:pPr>
        <w:tabs>
          <w:tab w:val="right" w:pos="10080" w:leader="dot"/>
        </w:tabs>
        <w:spacing w:after="60"/>
        <w:ind w:left="0"/>
      </w:pPr>
      <w:r>
        <w:rPr>
          <w:b/>
          <w:bCs/>
          <w:color w:val="1F4E79"/>
          <w:sz w:val="20"/>
          <w:szCs w:val="20"/>
        </w:rPr>
        <w:t xml:space="preserve">1. Antes de empezar</w:t>
      </w:r>
      <w:r>
        <w:rPr>
          <w:b/>
          <w:bCs/>
          <w:color w:val="1F4E79"/>
          <w:sz w:val="20"/>
          <w:szCs w:val="20"/>
        </w:rPr>
        <w:tab/>
        <w:t xml:space="preserve">3</w:t>
      </w:r>
    </w:p>
    <w:p>
      <w:pPr>
        <w:tabs>
          <w:tab w:val="right" w:pos="10080" w:leader="dot"/>
        </w:tabs>
        <w:spacing w:after="20"/>
        <w:ind w:left="360"/>
      </w:pPr>
      <w:r>
        <w:rPr>
          <w:b w:val="false"/>
          <w:bCs w:val="false"/>
          <w:color w:val="2E2E2E"/>
          <w:sz w:val="19"/>
          <w:szCs w:val="19"/>
        </w:rPr>
        <w:t xml:space="preserve">La ventana</w:t>
      </w:r>
      <w:r>
        <w:rPr>
          <w:b w:val="false"/>
          <w:bCs w:val="false"/>
          <w:color w:val="2E2E2E"/>
          <w:sz w:val="19"/>
          <w:szCs w:val="19"/>
        </w:rPr>
        <w:tab/>
        <w:t xml:space="preserve">3</w:t>
      </w:r>
    </w:p>
    <w:p>
      <w:pPr>
        <w:tabs>
          <w:tab w:val="right" w:pos="10080" w:leader="dot"/>
        </w:tabs>
        <w:spacing w:after="60"/>
        <w:ind w:left="0"/>
      </w:pPr>
      <w:r>
        <w:rPr>
          <w:b/>
          <w:bCs/>
          <w:color w:val="1F4E79"/>
          <w:sz w:val="20"/>
          <w:szCs w:val="20"/>
        </w:rPr>
        <w:t xml:space="preserve">2. Los siete pasos</w:t>
      </w:r>
      <w:r>
        <w:rPr>
          <w:b/>
          <w:bCs/>
          <w:color w:val="1F4E79"/>
          <w:sz w:val="20"/>
          <w:szCs w:val="20"/>
        </w:rPr>
        <w:tab/>
        <w:t xml:space="preserve">5</w:t>
      </w:r>
    </w:p>
    <w:p>
      <w:pPr>
        <w:tabs>
          <w:tab w:val="right" w:pos="10080" w:leader="dot"/>
        </w:tabs>
        <w:spacing w:after="20"/>
        <w:ind w:left="360"/>
      </w:pPr>
      <w:r>
        <w:rPr>
          <w:b w:val="false"/>
          <w:bCs w:val="false"/>
          <w:color w:val="2E2E2E"/>
          <w:sz w:val="19"/>
          <w:szCs w:val="19"/>
        </w:rPr>
        <w:t xml:space="preserve">Paso 1 — Definir el sistema de coordenadas</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Paso 2 — Importar el límite del modelo</w:t>
      </w:r>
      <w:r>
        <w:rPr>
          <w:b w:val="false"/>
          <w:bCs w:val="false"/>
          <w:color w:val="2E2E2E"/>
          <w:sz w:val="19"/>
          <w:szCs w:val="19"/>
        </w:rPr>
        <w:tab/>
        <w:t xml:space="preserve">5</w:t>
      </w:r>
    </w:p>
    <w:p>
      <w:pPr>
        <w:tabs>
          <w:tab w:val="right" w:pos="10080" w:leader="dot"/>
        </w:tabs>
        <w:spacing w:after="20"/>
        <w:ind w:left="360"/>
      </w:pPr>
      <w:r>
        <w:rPr>
          <w:b w:val="false"/>
          <w:bCs w:val="false"/>
          <w:color w:val="2E2E2E"/>
          <w:sz w:val="19"/>
          <w:szCs w:val="19"/>
        </w:rPr>
        <w:t xml:space="preserve">Paso 3 — Añadir las capas de refinamiento</w:t>
      </w:r>
      <w:r>
        <w:rPr>
          <w:b w:val="false"/>
          <w:bCs w:val="false"/>
          <w:color w:val="2E2E2E"/>
          <w:sz w:val="19"/>
          <w:szCs w:val="19"/>
        </w:rPr>
        <w:tab/>
        <w:t xml:space="preserve">6</w:t>
      </w:r>
    </w:p>
    <w:p>
      <w:pPr>
        <w:tabs>
          <w:tab w:val="right" w:pos="10080" w:leader="dot"/>
        </w:tabs>
        <w:spacing w:after="20"/>
        <w:ind w:left="360"/>
      </w:pPr>
      <w:r>
        <w:rPr>
          <w:b w:val="false"/>
          <w:bCs w:val="false"/>
          <w:color w:val="2E2E2E"/>
          <w:sz w:val="19"/>
          <w:szCs w:val="19"/>
        </w:rPr>
        <w:t xml:space="preserve">Paso 4 — Ajustar las opciones de refinamiento</w:t>
      </w:r>
      <w:r>
        <w:rPr>
          <w:b w:val="false"/>
          <w:bCs w:val="false"/>
          <w:color w:val="2E2E2E"/>
          <w:sz w:val="19"/>
          <w:szCs w:val="19"/>
        </w:rPr>
        <w:tab/>
        <w:t xml:space="preserve">7</w:t>
      </w:r>
    </w:p>
    <w:p>
      <w:pPr>
        <w:tabs>
          <w:tab w:val="right" w:pos="10080" w:leader="dot"/>
        </w:tabs>
        <w:spacing w:after="20"/>
        <w:ind w:left="360"/>
      </w:pPr>
      <w:r>
        <w:rPr>
          <w:b w:val="false"/>
          <w:bCs w:val="false"/>
          <w:color w:val="2E2E2E"/>
          <w:sz w:val="19"/>
          <w:szCs w:val="19"/>
        </w:rPr>
        <w:t xml:space="preserve">Paso 5 — Generar la malla</w:t>
      </w:r>
      <w:r>
        <w:rPr>
          <w:b w:val="false"/>
          <w:bCs w:val="false"/>
          <w:color w:val="2E2E2E"/>
          <w:sz w:val="19"/>
          <w:szCs w:val="19"/>
        </w:rPr>
        <w:tab/>
        <w:t xml:space="preserve">8</w:t>
      </w:r>
    </w:p>
    <w:p>
      <w:pPr>
        <w:tabs>
          <w:tab w:val="right" w:pos="10080" w:leader="dot"/>
        </w:tabs>
        <w:spacing w:after="20"/>
        <w:ind w:left="360"/>
      </w:pPr>
      <w:r>
        <w:rPr>
          <w:b w:val="false"/>
          <w:bCs w:val="false"/>
          <w:color w:val="2E2E2E"/>
          <w:sz w:val="19"/>
          <w:szCs w:val="19"/>
        </w:rPr>
        <w:t xml:space="preserve">Paso 6 — Revisar la malla y el informe</w:t>
      </w:r>
      <w:r>
        <w:rPr>
          <w:b w:val="false"/>
          <w:bCs w:val="false"/>
          <w:color w:val="2E2E2E"/>
          <w:sz w:val="19"/>
          <w:szCs w:val="19"/>
        </w:rPr>
        <w:tab/>
        <w:t xml:space="preserve">9</w:t>
      </w:r>
    </w:p>
    <w:p>
      <w:pPr>
        <w:tabs>
          <w:tab w:val="right" w:pos="10080" w:leader="dot"/>
        </w:tabs>
        <w:spacing w:after="20"/>
        <w:ind w:left="360"/>
      </w:pPr>
      <w:r>
        <w:rPr>
          <w:b w:val="false"/>
          <w:bCs w:val="false"/>
          <w:color w:val="2E2E2E"/>
          <w:sz w:val="19"/>
          <w:szCs w:val="19"/>
        </w:rPr>
        <w:t xml:space="preserve">Paso 7 — Exportar y guardar</w:t>
      </w:r>
      <w:r>
        <w:rPr>
          <w:b w:val="false"/>
          <w:bCs w:val="false"/>
          <w:color w:val="2E2E2E"/>
          <w:sz w:val="19"/>
          <w:szCs w:val="19"/>
        </w:rPr>
        <w:tab/>
        <w:t xml:space="preserve">11</w:t>
      </w:r>
    </w:p>
    <w:p>
      <w:pPr>
        <w:tabs>
          <w:tab w:val="right" w:pos="10080" w:leader="dot"/>
        </w:tabs>
        <w:spacing w:after="60"/>
        <w:ind w:left="0"/>
      </w:pPr>
      <w:r>
        <w:rPr>
          <w:b/>
          <w:bCs/>
          <w:color w:val="1F4E79"/>
          <w:sz w:val="20"/>
          <w:szCs w:val="20"/>
        </w:rPr>
        <w:t xml:space="preserve">3. De un vistazo</w:t>
      </w:r>
      <w:r>
        <w:rPr>
          <w:b/>
          <w:bCs/>
          <w:color w:val="1F4E79"/>
          <w:sz w:val="20"/>
          <w:szCs w:val="20"/>
        </w:rPr>
        <w:tab/>
        <w:t xml:space="preserve">13</w:t>
      </w:r>
    </w:p>
    <w:p>
      <w:pPr>
        <w:tabs>
          <w:tab w:val="right" w:pos="10080" w:leader="dot"/>
        </w:tabs>
        <w:spacing w:after="20"/>
        <w:ind w:left="360"/>
      </w:pPr>
      <w:r>
        <w:rPr>
          <w:b w:val="false"/>
          <w:bCs w:val="false"/>
          <w:color w:val="2E2E2E"/>
          <w:sz w:val="19"/>
          <w:szCs w:val="19"/>
        </w:rPr>
        <w:t xml:space="preserve">Barra de herramientas</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Teclado y ratón</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Cinco tropiezos habituales</w:t>
      </w:r>
      <w:r>
        <w:rPr>
          <w:b w:val="false"/>
          <w:bCs w:val="false"/>
          <w:color w:val="2E2E2E"/>
          <w:sz w:val="19"/>
          <w:szCs w:val="19"/>
        </w:rPr>
        <w:tab/>
        <w:t xml:space="preserve">13</w:t>
      </w:r>
    </w:p>
    <w:p>
      <w:pPr>
        <w:tabs>
          <w:tab w:val="right" w:pos="10080" w:leader="dot"/>
        </w:tabs>
        <w:spacing w:after="20"/>
        <w:ind w:left="360"/>
      </w:pPr>
      <w:r>
        <w:rPr>
          <w:b w:val="false"/>
          <w:bCs w:val="false"/>
          <w:color w:val="2E2E2E"/>
          <w:sz w:val="19"/>
          <w:szCs w:val="19"/>
        </w:rPr>
        <w:t xml:space="preserve">Dónde seguir</w:t>
      </w:r>
      <w:r>
        <w:rPr>
          <w:b w:val="false"/>
          <w:bCs w:val="false"/>
          <w:color w:val="2E2E2E"/>
          <w:sz w:val="19"/>
          <w:szCs w:val="19"/>
        </w:rPr>
        <w:tab/>
        <w:t xml:space="preserve">13</w:t>
      </w:r>
    </w:p>
    <w:p>
      <w:r>
        <w:br w:type="page"/>
      </w:r>
    </w:p>
    <w:p>
      <w:pPr>
        <w:pStyle w:val="Heading1"/>
        <w:pBdr>
          <w:bottom w:val="single" w:color="C8D2DC" w:sz="8" w:space="6"/>
        </w:pBdr>
        <w:spacing w:after="200" w:before="320"/>
      </w:pPr>
      <w:r>
        <w:rPr>
          <w:b/>
          <w:bCs/>
          <w:color w:val="1F4E79"/>
          <w:sz w:val="32"/>
          <w:szCs w:val="32"/>
        </w:rPr>
        <w:t xml:space="preserve">1. Antes de empezar</w:t>
      </w:r>
    </w:p>
    <w:p>
      <w:pPr>
        <w:spacing w:after="120"/>
      </w:pPr>
      <w:r>
        <w:rPr>
          <w:sz w:val="21"/>
          <w:szCs w:val="21"/>
        </w:rPr>
        <w:t xml:space="preserve">mf6Voronoi Studio convierte un límite de modelo y un puñado de elementos SIG en una malla Voronoi no estructurada para MODFLOW 6: fina donde necesita detalle y gruesa donde no.</w:t>
      </w:r>
    </w:p>
    <w:p>
      <w:pPr>
        <w:spacing w:after="120"/>
      </w:pPr>
      <w:r>
        <w:rPr>
          <w:sz w:val="21"/>
          <w:szCs w:val="21"/>
        </w:rPr>
        <w:t xml:space="preserve">Esta guía recorre una pasada completa usando la carpeta Example que se instala junto a la aplicación. Al terminarla una vez habrá producido una malla real y un modelo listo para ModelMuse.</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Sobre el idioma y los números.  </w:t>
            </w:r>
            <w:r>
              <w:rPr>
                <w:sz w:val="19"/>
                <w:szCs w:val="19"/>
              </w:rPr>
              <w:t xml:space="preserve">La aplicación está en inglés y no se traduce, así que los nombres de menús y botones se citan aquí tal como aparecen en pantalla. Además, la interfaz muestra las cifras en formato anglosajón (1,173 celdas; 44,293.75 m²) mientras que este documento usa la convención española (1173 celdas; 44.293,75 m²). Son los mismos valores.</w:t>
            </w:r>
          </w:p>
        </w:tc>
      </w:tr>
    </w:tbl>
    <w:p>
      <w:pPr>
        <w:spacing w:after="120"/>
      </w:pP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Necesita</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Detalles</w:t>
            </w:r>
          </w:p>
        </w:tc>
      </w:tr>
      <w:tr>
        <w:tc>
          <w:tcPr>
            <w:tcW w:type="dxa" w:w="2600"/>
            <w:tcMar>
              <w:top w:type="dxa" w:w="70"/>
              <w:left w:type="dxa" w:w="110"/>
              <w:bottom w:type="dxa" w:w="70"/>
              <w:right w:type="dxa" w:w="110"/>
            </w:tcMar>
          </w:tcPr>
          <w:p>
            <w:pPr>
              <w:spacing w:after="0"/>
            </w:pPr>
            <w:r>
              <w:rPr>
                <w:i w:val="false"/>
                <w:iCs w:val="false"/>
                <w:sz w:val="19"/>
                <w:szCs w:val="19"/>
              </w:rPr>
              <w:t xml:space="preserve">La aplicación</w:t>
            </w:r>
          </w:p>
        </w:tc>
        <w:tc>
          <w:tcPr>
            <w:tcW w:type="dxa" w:w="7480"/>
            <w:tcMar>
              <w:top w:type="dxa" w:w="70"/>
              <w:left w:type="dxa" w:w="110"/>
              <w:bottom w:type="dxa" w:w="70"/>
              <w:right w:type="dxa" w:w="110"/>
            </w:tcMar>
          </w:tcPr>
          <w:p>
            <w:pPr>
              <w:spacing w:after="0"/>
            </w:pPr>
            <w:r>
              <w:rPr>
                <w:i w:val="false"/>
                <w:iCs w:val="false"/>
                <w:sz w:val="19"/>
                <w:szCs w:val="19"/>
              </w:rPr>
              <w:t xml:space="preserve">mf6Voronoi Studio 3.0.1 (compruébelo en Help → About)</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La carpeta Example</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Se distribuye con la aplicación; se usa en toda esta guía</w:t>
            </w:r>
          </w:p>
        </w:tc>
      </w:tr>
      <w:tr>
        <w:tc>
          <w:tcPr>
            <w:tcW w:type="dxa" w:w="2600"/>
            <w:tcMar>
              <w:top w:type="dxa" w:w="70"/>
              <w:left w:type="dxa" w:w="110"/>
              <w:bottom w:type="dxa" w:w="70"/>
              <w:right w:type="dxa" w:w="110"/>
            </w:tcMar>
          </w:tcPr>
          <w:p>
            <w:pPr>
              <w:spacing w:after="0"/>
            </w:pPr>
            <w:r>
              <w:rPr>
                <w:i w:val="false"/>
                <w:iCs w:val="false"/>
                <w:sz w:val="19"/>
                <w:szCs w:val="19"/>
              </w:rPr>
              <w:t xml:space="preserve">Un CRS proyectado</w:t>
            </w:r>
          </w:p>
        </w:tc>
        <w:tc>
          <w:tcPr>
            <w:tcW w:type="dxa" w:w="7480"/>
            <w:tcMar>
              <w:top w:type="dxa" w:w="70"/>
              <w:left w:type="dxa" w:w="110"/>
              <w:bottom w:type="dxa" w:w="70"/>
              <w:right w:type="dxa" w:w="110"/>
            </w:tcMar>
          </w:tcPr>
          <w:p>
            <w:pPr>
              <w:spacing w:after="0"/>
            </w:pPr>
            <w:r>
              <w:rPr>
                <w:i w:val="false"/>
                <w:iCs w:val="false"/>
                <w:sz w:val="19"/>
                <w:szCs w:val="19"/>
              </w:rPr>
              <w:t xml:space="preserve">En metros o en pies. Los datos de Example están en EPSG:32631, en metros</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Unos diez minutos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La malla de esta guía se genera en unos tres segundos</w:t>
            </w:r>
          </w:p>
        </w:tc>
      </w:tr>
    </w:tbl>
    <w:p>
      <w:pPr>
        <w:spacing w:after="140"/>
      </w:pP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La única regla que importa de verdad.  </w:t>
            </w:r>
            <w:r>
              <w:rPr>
                <w:sz w:val="19"/>
                <w:szCs w:val="19"/>
              </w:rPr>
              <w:t xml:space="preserve">Todos los archivos que importe deben estar en el mismo sistema de coordenadas proyectado, y los tamaños de celda son distancias en la unidad de ese sistema. Los datos geográficos (latitud/longitud) se rechazan.</w:t>
            </w:r>
          </w:p>
        </w:tc>
      </w:tr>
    </w:tbl>
    <w:p>
      <w:pPr>
        <w:spacing w:after="200"/>
      </w:pPr>
    </w:p>
    <w:p>
      <w:pPr>
        <w:pStyle w:val="Heading2"/>
        <w:keepNext/>
        <w:spacing w:after="140" w:before="280"/>
      </w:pPr>
      <w:r>
        <w:rPr>
          <w:b/>
          <w:bCs/>
          <w:color w:val="1F4E79"/>
          <w:sz w:val="25"/>
          <w:szCs w:val="25"/>
        </w:rPr>
        <w:t xml:space="preserve">La ventana</w:t>
      </w:r>
    </w:p>
    <w:p>
      <w:pPr>
        <w:spacing w:after="120"/>
      </w:pPr>
      <w:r>
        <w:rPr>
          <w:sz w:val="21"/>
          <w:szCs w:val="21"/>
        </w:rPr>
        <w:t xml:space="preserve">El mapa queda a la izquierda; a la derecha, una columna desplazable de paneles ordenados de arriba abajo según el orden en que se usan.</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1. La aplicación recién arrancada.</w:t>
      </w:r>
    </w:p>
    <w:p>
      <w:r>
        <w:br w:type="page"/>
      </w:r>
    </w:p>
    <w:p>
      <w:pPr>
        <w:pStyle w:val="Heading1"/>
        <w:pBdr>
          <w:bottom w:val="single" w:color="C8D2DC" w:sz="8" w:space="6"/>
        </w:pBdr>
        <w:spacing w:after="200" w:before="320"/>
      </w:pPr>
      <w:r>
        <w:rPr>
          <w:b/>
          <w:bCs/>
          <w:color w:val="1F4E79"/>
          <w:sz w:val="32"/>
          <w:szCs w:val="32"/>
        </w:rPr>
        <w:t xml:space="preserve">2. Los siete pasos</w:t>
      </w:r>
    </w:p>
    <w:p>
      <w:pPr>
        <w:pStyle w:val="Heading2"/>
        <w:keepNext/>
        <w:spacing w:after="140" w:before="280"/>
      </w:pPr>
      <w:r>
        <w:rPr>
          <w:b/>
          <w:bCs/>
          <w:color w:val="1F4E79"/>
          <w:sz w:val="25"/>
          <w:szCs w:val="25"/>
        </w:rPr>
        <w:t xml:space="preserve">Paso 1 — Definir el sistema de coordenadas</w:t>
      </w:r>
    </w:p>
    <w:p>
      <w:pPr>
        <w:spacing w:after="120"/>
      </w:pPr>
      <w:r>
        <w:rPr>
          <w:sz w:val="21"/>
          <w:szCs w:val="21"/>
        </w:rPr>
        <w:t xml:space="preserve">En el panel </w:t>
      </w:r>
      <w:r>
        <w:rPr>
          <w:b/>
          <w:bCs/>
          <w:sz w:val="21"/>
          <w:szCs w:val="21"/>
        </w:rPr>
        <w:t xml:space="preserve">Coordinate system (CRS)</w:t>
      </w:r>
      <w:r>
        <w:rPr>
          <w:sz w:val="21"/>
          <w:szCs w:val="21"/>
        </w:rPr>
        <w:t xml:space="preserve"> pulse </w:t>
      </w:r>
      <w:r>
        <w:rPr>
          <w:b/>
          <w:bCs/>
          <w:sz w:val="21"/>
          <w:szCs w:val="21"/>
        </w:rPr>
        <w:t xml:space="preserve">Set / change CRS…</w:t>
      </w:r>
      <w:r>
        <w:rPr>
          <w:sz w:val="21"/>
          <w:szCs w:val="21"/>
        </w:rPr>
        <w:t xml:space="preserve">, escriba </w:t>
      </w:r>
      <w:r>
        <w:rPr>
          <w:rFonts w:ascii="Consolas" w:cs="Consolas" w:eastAsia="Consolas" w:hAnsi="Consolas"/>
          <w:color w:val="8A3B1E"/>
          <w:sz w:val="19"/>
          <w:szCs w:val="19"/>
        </w:rPr>
        <w:t xml:space="preserve">32631</w:t>
      </w:r>
      <w:r>
        <w:rPr>
          <w:sz w:val="21"/>
          <w:szCs w:val="21"/>
        </w:rPr>
        <w:t xml:space="preserve"> y pulse OK. El panel debe mostrar entonces "WGS 84 / UTM zone 31N (EPSG:32631) — unit: meter".</w:t>
      </w:r>
    </w:p>
    <w:p>
      <w:pPr>
        <w:keepNext/>
        <w:spacing w:after="40" w:before="180"/>
        <w:jc w:val="center"/>
      </w:pPr>
      <w:r>
        <w:drawing>
          <wp:inline distT="0" distB="0" distL="0" distR="0">
            <wp:extent cx="40957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1895475"/>
                    </a:xfrm>
                    <a:prstGeom prst="rect">
                      <a:avLst/>
                    </a:prstGeom>
                  </pic:spPr>
                </pic:pic>
              </a:graphicData>
            </a:graphic>
          </wp:inline>
        </w:drawing>
      </w:r>
    </w:p>
    <w:p>
      <w:pPr>
        <w:spacing w:after="240"/>
        <w:jc w:val="center"/>
      </w:pPr>
      <w:r>
        <w:rPr>
          <w:i/>
          <w:iCs/>
          <w:color w:val="5A6672"/>
          <w:sz w:val="17"/>
          <w:szCs w:val="17"/>
        </w:rPr>
        <w:t xml:space="preserve">Figura 2. El panel CRS una vez definido.</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Puede saltarse este paso.  </w:t>
            </w:r>
            <w:r>
              <w:rPr>
                <w:sz w:val="19"/>
                <w:szCs w:val="19"/>
              </w:rPr>
              <w:t xml:space="preserve">Al importar primero el polígono de límite, la aplicación toma automáticamente el CRS de su archivo .prj.</w:t>
            </w:r>
          </w:p>
        </w:tc>
      </w:tr>
    </w:tbl>
    <w:p>
      <w:pPr>
        <w:spacing w:after="200"/>
      </w:pPr>
    </w:p>
    <w:p>
      <w:pPr>
        <w:pStyle w:val="Heading2"/>
        <w:keepNext/>
        <w:spacing w:after="140" w:before="280"/>
      </w:pPr>
      <w:r>
        <w:rPr>
          <w:b/>
          <w:bCs/>
          <w:color w:val="1F4E79"/>
          <w:sz w:val="25"/>
          <w:szCs w:val="25"/>
        </w:rPr>
        <w:t xml:space="preserve">Paso 2 — Importar el límite del modelo</w:t>
      </w:r>
    </w:p>
    <w:p>
      <w:pPr>
        <w:spacing w:after="120"/>
      </w:pPr>
      <w:r>
        <w:rPr>
          <w:sz w:val="21"/>
          <w:szCs w:val="21"/>
        </w:rPr>
        <w:t xml:space="preserve">Elija </w:t>
      </w:r>
      <w:r>
        <w:rPr>
          <w:b/>
          <w:bCs/>
          <w:sz w:val="21"/>
          <w:szCs w:val="21"/>
        </w:rPr>
        <w:t xml:space="preserve">File → Import limit polygon…</w:t>
      </w:r>
      <w:r>
        <w:rPr>
          <w:sz w:val="21"/>
          <w:szCs w:val="21"/>
        </w:rPr>
        <w:t xml:space="preserve"> y seleccione </w:t>
      </w:r>
      <w:r>
        <w:rPr>
          <w:rFonts w:ascii="Consolas" w:cs="Consolas" w:eastAsia="Consolas" w:hAnsi="Consolas"/>
          <w:color w:val="8A3B1E"/>
          <w:sz w:val="19"/>
          <w:szCs w:val="19"/>
        </w:rPr>
        <w:t xml:space="preserve">Example\modelLimit.shp</w:t>
      </w:r>
      <w:r>
        <w:rPr>
          <w:sz w:val="21"/>
          <w:szCs w:val="21"/>
        </w:rPr>
        <w:t xml:space="preserve">. El límite aparece en color cian y el mapa se ajusta a él.</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3. El límite del modelo, cargado y ajustado.</w:t>
      </w:r>
    </w:p>
    <w:p>
      <w:pPr>
        <w:spacing w:after="120"/>
      </w:pPr>
      <w:r>
        <w:rPr>
          <w:sz w:val="21"/>
          <w:szCs w:val="21"/>
        </w:rPr>
        <w:t xml:space="preserve">Debe ser </w:t>
      </w:r>
      <w:r>
        <w:rPr>
          <w:b/>
          <w:bCs/>
          <w:sz w:val="21"/>
          <w:szCs w:val="21"/>
        </w:rPr>
        <w:t xml:space="preserve">exactamente un polígono de una sola parte</w:t>
      </w:r>
      <w:r>
        <w:rPr>
          <w:sz w:val="21"/>
          <w:szCs w:val="21"/>
        </w:rPr>
        <w:t xml:space="preserve">. Si el suyo es multiparte, disuélvalo antes en su SIG.</w:t>
      </w:r>
    </w:p>
    <w:p>
      <w:pPr>
        <w:spacing w:after="200"/>
      </w:pPr>
    </w:p>
    <w:p>
      <w:pPr>
        <w:pStyle w:val="Heading2"/>
        <w:keepNext/>
        <w:spacing w:after="140" w:before="280"/>
      </w:pPr>
      <w:r>
        <w:rPr>
          <w:b/>
          <w:bCs/>
          <w:color w:val="1F4E79"/>
          <w:sz w:val="25"/>
          <w:szCs w:val="25"/>
        </w:rPr>
        <w:t xml:space="preserve">Paso 3 — Añadir las capas de refinamiento</w:t>
      </w:r>
    </w:p>
    <w:p>
      <w:pPr>
        <w:spacing w:after="120"/>
      </w:pPr>
      <w:r>
        <w:rPr>
          <w:sz w:val="21"/>
          <w:szCs w:val="21"/>
        </w:rPr>
        <w:t xml:space="preserve">Son los elementos que la malla debe seguir de cerca. Para cada uno, elija File → Import refinement shapefile…, seleccione el archivo y dele un nombre y un tamaño de celda objetivo.</w:t>
      </w:r>
    </w:p>
    <w:p>
      <w:pPr>
        <w:keepNext/>
        <w:spacing w:after="40" w:before="180"/>
        <w:jc w:val="center"/>
      </w:pPr>
      <w:r>
        <w:drawing>
          <wp:inline distT="0" distB="0" distL="0" distR="0">
            <wp:extent cx="30480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1352550"/>
                    </a:xfrm>
                    <a:prstGeom prst="rect">
                      <a:avLst/>
                    </a:prstGeom>
                  </pic:spPr>
                </pic:pic>
              </a:graphicData>
            </a:graphic>
          </wp:inline>
        </w:drawing>
      </w:r>
    </w:p>
    <w:p>
      <w:pPr>
        <w:spacing w:after="240"/>
        <w:jc w:val="center"/>
      </w:pPr>
      <w:r>
        <w:rPr>
          <w:i/>
          <w:iCs/>
          <w:color w:val="5A6672"/>
          <w:sz w:val="17"/>
          <w:szCs w:val="17"/>
        </w:rPr>
        <w:t xml:space="preserve">Figura 4. Nombrando una capa y fijando su tamaño de celda objetivo.</w:t>
      </w:r>
    </w:p>
    <w:p>
      <w:pPr>
        <w:spacing w:after="120"/>
      </w:pPr>
      <w:r>
        <w:rPr>
          <w:sz w:val="21"/>
          <w:szCs w:val="21"/>
        </w:rPr>
        <w:t xml:space="preserve">Importe estas cinco, en este orden —de más gruesa a más fina— para que los tamaños de celda desciendan de forma gradual desde el contorno hasta los pozos: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3400"/>
        <w:gridCol w:w="3400"/>
        <w:gridCol w:w="3280"/>
      </w:tblGrid>
      <w:tr>
        <w:trPr>
          <w:tblHeader/>
        </w:trPr>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Shapefile</w:t>
            </w:r>
          </w:p>
        </w:tc>
        <w:tc>
          <w:tcPr>
            <w:tcW w:type="dxa" w:w="3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Nombre</w:t>
            </w:r>
          </w:p>
        </w:tc>
        <w:tc>
          <w:tcPr>
            <w:tcW w:type="dxa" w:w="3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Tamaño de celda objetivo</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modelGhb.shp</w:t>
            </w:r>
          </w:p>
        </w:tc>
        <w:tc>
          <w:tcPr>
            <w:tcW w:type="dxa" w:w="3400"/>
            <w:tcMar>
              <w:top w:type="dxa" w:w="70"/>
              <w:left w:type="dxa" w:w="110"/>
              <w:bottom w:type="dxa" w:w="70"/>
              <w:right w:type="dxa" w:w="110"/>
            </w:tcMar>
          </w:tcPr>
          <w:p>
            <w:pPr>
              <w:spacing w:after="0"/>
            </w:pPr>
            <w:r>
              <w:rPr>
                <w:i w:val="false"/>
                <w:iCs w:val="false"/>
                <w:sz w:val="19"/>
                <w:szCs w:val="19"/>
              </w:rPr>
              <w:t xml:space="preserve">modelGhb</w:t>
            </w:r>
          </w:p>
        </w:tc>
        <w:tc>
          <w:tcPr>
            <w:tcW w:type="dxa" w:w="3280"/>
            <w:tcMar>
              <w:top w:type="dxa" w:w="70"/>
              <w:left w:type="dxa" w:w="110"/>
              <w:bottom w:type="dxa" w:w="70"/>
              <w:right w:type="dxa" w:w="110"/>
            </w:tcMar>
          </w:tcPr>
          <w:p>
            <w:pPr>
              <w:spacing w:after="0"/>
            </w:pPr>
            <w:r>
              <w:rPr>
                <w:i w:val="false"/>
                <w:iCs w:val="false"/>
                <w:sz w:val="19"/>
                <w:szCs w:val="19"/>
              </w:rPr>
              <w:t xml:space="preserve">10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site.shp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site</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4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hfb.shp</w:t>
            </w:r>
          </w:p>
        </w:tc>
        <w:tc>
          <w:tcPr>
            <w:tcW w:type="dxa" w:w="3400"/>
            <w:tcMar>
              <w:top w:type="dxa" w:w="70"/>
              <w:left w:type="dxa" w:w="110"/>
              <w:bottom w:type="dxa" w:w="70"/>
              <w:right w:type="dxa" w:w="110"/>
            </w:tcMar>
          </w:tcPr>
          <w:p>
            <w:pPr>
              <w:spacing w:after="0"/>
            </w:pPr>
            <w:r>
              <w:rPr>
                <w:i w:val="false"/>
                <w:iCs w:val="false"/>
                <w:sz w:val="19"/>
                <w:szCs w:val="19"/>
              </w:rPr>
              <w:t xml:space="preserve">hfb</w:t>
            </w:r>
          </w:p>
        </w:tc>
        <w:tc>
          <w:tcPr>
            <w:tcW w:type="dxa" w:w="3280"/>
            <w:tcMar>
              <w:top w:type="dxa" w:w="70"/>
              <w:left w:type="dxa" w:w="110"/>
              <w:bottom w:type="dxa" w:w="70"/>
              <w:right w:type="dxa" w:w="110"/>
            </w:tcMar>
          </w:tcPr>
          <w:p>
            <w:pPr>
              <w:spacing w:after="0"/>
            </w:pPr>
            <w:r>
              <w:rPr>
                <w:i w:val="false"/>
                <w:iCs w:val="false"/>
                <w:sz w:val="19"/>
                <w:szCs w:val="19"/>
              </w:rPr>
              <w:t xml:space="preserve">3 m</w:t>
            </w:r>
          </w:p>
        </w:tc>
      </w:tr>
      <w:tr>
        <w:tc>
          <w:tcPr>
            <w:tcW w:type="dxa" w:w="34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drains.shp</w:t>
            </w:r>
          </w:p>
        </w:tc>
        <w:tc>
          <w:tcPr>
            <w:tcW w:type="dxa" w:w="3400"/>
            <w:shd w:fill="F2F5F8" w:color="auto" w:val="clear"/>
            <w:tcMar>
              <w:top w:type="dxa" w:w="70"/>
              <w:left w:type="dxa" w:w="110"/>
              <w:bottom w:type="dxa" w:w="70"/>
              <w:right w:type="dxa" w:w="110"/>
            </w:tcMar>
          </w:tcPr>
          <w:p>
            <w:pPr>
              <w:spacing w:after="0"/>
            </w:pPr>
            <w:r>
              <w:rPr>
                <w:i w:val="false"/>
                <w:iCs w:val="false"/>
                <w:sz w:val="19"/>
                <w:szCs w:val="19"/>
              </w:rPr>
              <w:t xml:space="preserve">drains</w:t>
            </w:r>
          </w:p>
        </w:tc>
        <w:tc>
          <w:tcPr>
            <w:tcW w:type="dxa" w:w="3280"/>
            <w:shd w:fill="F2F5F8" w:color="auto" w:val="clear"/>
            <w:tcMar>
              <w:top w:type="dxa" w:w="70"/>
              <w:left w:type="dxa" w:w="110"/>
              <w:bottom w:type="dxa" w:w="70"/>
              <w:right w:type="dxa" w:w="110"/>
            </w:tcMar>
          </w:tcPr>
          <w:p>
            <w:pPr>
              <w:spacing w:after="0"/>
            </w:pPr>
            <w:r>
              <w:rPr>
                <w:i w:val="false"/>
                <w:iCs w:val="false"/>
                <w:sz w:val="19"/>
                <w:szCs w:val="19"/>
              </w:rPr>
              <w:t xml:space="preserve">2 m</w:t>
            </w:r>
          </w:p>
        </w:tc>
      </w:tr>
      <w:tr>
        <w:tc>
          <w:tcPr>
            <w:tcW w:type="dxa" w:w="34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pointWell.shp</w:t>
            </w:r>
          </w:p>
        </w:tc>
        <w:tc>
          <w:tcPr>
            <w:tcW w:type="dxa" w:w="3400"/>
            <w:tcMar>
              <w:top w:type="dxa" w:w="70"/>
              <w:left w:type="dxa" w:w="110"/>
              <w:bottom w:type="dxa" w:w="70"/>
              <w:right w:type="dxa" w:w="110"/>
            </w:tcMar>
          </w:tcPr>
          <w:p>
            <w:pPr>
              <w:spacing w:after="0"/>
            </w:pPr>
            <w:r>
              <w:rPr>
                <w:i w:val="false"/>
                <w:iCs w:val="false"/>
                <w:sz w:val="19"/>
                <w:szCs w:val="19"/>
              </w:rPr>
              <w:t xml:space="preserve">pointWell</w:t>
            </w:r>
          </w:p>
        </w:tc>
        <w:tc>
          <w:tcPr>
            <w:tcW w:type="dxa" w:w="3280"/>
            <w:tcMar>
              <w:top w:type="dxa" w:w="70"/>
              <w:left w:type="dxa" w:w="110"/>
              <w:bottom w:type="dxa" w:w="70"/>
              <w:right w:type="dxa" w:w="110"/>
            </w:tcMar>
          </w:tcPr>
          <w:p>
            <w:pPr>
              <w:spacing w:after="0"/>
            </w:pPr>
            <w:r>
              <w:rPr>
                <w:i w:val="false"/>
                <w:iCs w:val="false"/>
                <w:sz w:val="19"/>
                <w:szCs w:val="19"/>
              </w:rPr>
              <w:t xml:space="preserve">1 m</w:t>
            </w:r>
          </w:p>
        </w:tc>
      </w:tr>
    </w:tbl>
    <w:p>
      <w:pPr>
        <w:spacing w:after="120"/>
      </w:pPr>
    </w:p>
    <w:p>
      <w:pPr>
        <w:keepNext/>
        <w:spacing w:after="40" w:before="180"/>
        <w:jc w:val="center"/>
      </w:pPr>
      <w:r>
        <w:drawing>
          <wp:inline distT="0" distB="0" distL="0" distR="0">
            <wp:extent cx="40957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952750"/>
                    </a:xfrm>
                    <a:prstGeom prst="rect">
                      <a:avLst/>
                    </a:prstGeom>
                  </pic:spPr>
                </pic:pic>
              </a:graphicData>
            </a:graphic>
          </wp:inline>
        </w:drawing>
      </w:r>
    </w:p>
    <w:p>
      <w:pPr>
        <w:spacing w:after="240"/>
        <w:jc w:val="center"/>
      </w:pPr>
      <w:r>
        <w:rPr>
          <w:i/>
          <w:iCs/>
          <w:color w:val="5A6672"/>
          <w:sz w:val="17"/>
          <w:szCs w:val="17"/>
        </w:rPr>
        <w:t xml:space="preserve">Figura 5. Las cinco capas cargadas.</w:t>
      </w:r>
    </w:p>
    <w:p>
      <w:pPr>
        <w:spacing w:after="120"/>
      </w:pPr>
      <w:r>
        <w:rPr>
          <w:sz w:val="21"/>
          <w:szCs w:val="21"/>
        </w:rPr>
        <w:t xml:space="preserve">También puede dibujar las capas en lugar de importarlas: el menú Draw y la barra de herramientas tienen modos de punto, línea y polígono. Acuérdese de pulsar Finish layer (el botón del visto bueno) al terminar, o no se confirmará nada.</w:t>
      </w:r>
    </w:p>
    <w:p>
      <w:pPr>
        <w:spacing w:after="200"/>
      </w:pPr>
    </w:p>
    <w:p>
      <w:pPr>
        <w:pStyle w:val="Heading2"/>
        <w:keepNext/>
        <w:spacing w:after="140" w:before="280"/>
      </w:pPr>
      <w:r>
        <w:rPr>
          <w:b/>
          <w:bCs/>
          <w:color w:val="1F4E79"/>
          <w:sz w:val="25"/>
          <w:szCs w:val="25"/>
        </w:rPr>
        <w:t xml:space="preserve">Paso 4 — Ajustar las opciones de refinamiento</w:t>
      </w:r>
    </w:p>
    <w:p>
      <w:pPr>
        <w:spacing w:after="120"/>
      </w:pPr>
      <w:r>
        <w:rPr>
          <w:sz w:val="21"/>
          <w:szCs w:val="21"/>
        </w:rPr>
        <w:t xml:space="preserve">Baje hasta "Voronoi refinement options" e introduzca estos cuatro valores: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900"/>
        <w:gridCol w:w="1300"/>
        <w:gridCol w:w="5880"/>
      </w:tblGrid>
      <w:tr>
        <w:trPr>
          <w:tblHeader/>
        </w:trPr>
        <w:tc>
          <w:tcPr>
            <w:tcW w:type="dxa" w:w="2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Opción</w:t>
            </w:r>
          </w:p>
        </w:tc>
        <w:tc>
          <w:tcPr>
            <w:tcW w:type="dxa" w:w="13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Valor</w:t>
            </w:r>
          </w:p>
        </w:tc>
        <w:tc>
          <w:tcPr>
            <w:tcW w:type="dxa" w:w="58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controla</w:t>
            </w:r>
          </w:p>
        </w:tc>
      </w:tr>
      <w:tr>
        <w:tc>
          <w:tcPr>
            <w:tcW w:type="dxa" w:w="2900"/>
            <w:tcMar>
              <w:top w:type="dxa" w:w="70"/>
              <w:left w:type="dxa" w:w="110"/>
              <w:bottom w:type="dxa" w:w="70"/>
              <w:right w:type="dxa" w:w="110"/>
            </w:tcMar>
          </w:tcPr>
          <w:p>
            <w:pPr>
              <w:spacing w:after="0"/>
            </w:pPr>
            <w:r>
              <w:rPr>
                <w:i w:val="false"/>
                <w:iCs w:val="false"/>
                <w:sz w:val="19"/>
                <w:szCs w:val="19"/>
              </w:rPr>
              <w:t xml:space="preserve">Coarse (max) cell size</w:t>
            </w:r>
          </w:p>
        </w:tc>
        <w:tc>
          <w:tcPr>
            <w:tcW w:type="dxa" w:w="1300"/>
            <w:tcMar>
              <w:top w:type="dxa" w:w="70"/>
              <w:left w:type="dxa" w:w="110"/>
              <w:bottom w:type="dxa" w:w="70"/>
              <w:right w:type="dxa" w:w="110"/>
            </w:tcMar>
          </w:tcPr>
          <w:p>
            <w:pPr>
              <w:spacing w:after="0"/>
            </w:pPr>
            <w:r>
              <w:rPr>
                <w:i w:val="false"/>
                <w:iCs w:val="false"/>
                <w:sz w:val="19"/>
                <w:szCs w:val="19"/>
              </w:rPr>
              <w:t xml:space="preserve">20 m</w:t>
            </w:r>
          </w:p>
        </w:tc>
        <w:tc>
          <w:tcPr>
            <w:tcW w:type="dxa" w:w="5880"/>
            <w:tcMar>
              <w:top w:type="dxa" w:w="70"/>
              <w:left w:type="dxa" w:w="110"/>
              <w:bottom w:type="dxa" w:w="70"/>
              <w:right w:type="dxa" w:w="110"/>
            </w:tcMar>
          </w:tcPr>
          <w:p>
            <w:pPr>
              <w:spacing w:after="0"/>
            </w:pPr>
            <w:r>
              <w:rPr>
                <w:i w:val="false"/>
                <w:iCs w:val="false"/>
                <w:sz w:val="19"/>
                <w:szCs w:val="19"/>
              </w:rPr>
              <w:t xml:space="preserve">La celda mayor, usada lejos de todo elemento</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Refinement multiplier</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1,3</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La rapidez con que crecen las celdas hacia fuera: un 30 % por anillo</w:t>
            </w:r>
          </w:p>
        </w:tc>
      </w:tr>
      <w:tr>
        <w:tc>
          <w:tcPr>
            <w:tcW w:type="dxa" w:w="2900"/>
            <w:tcMar>
              <w:top w:type="dxa" w:w="70"/>
              <w:left w:type="dxa" w:w="110"/>
              <w:bottom w:type="dxa" w:w="70"/>
              <w:right w:type="dxa" w:w="110"/>
            </w:tcMar>
          </w:tcPr>
          <w:p>
            <w:pPr>
              <w:spacing w:after="0"/>
            </w:pPr>
            <w:r>
              <w:rPr>
                <w:i w:val="false"/>
                <w:iCs w:val="false"/>
                <w:sz w:val="19"/>
                <w:szCs w:val="19"/>
              </w:rPr>
              <w:t xml:space="preserve">Allow overlapping refinement</w:t>
            </w:r>
          </w:p>
        </w:tc>
        <w:tc>
          <w:tcPr>
            <w:tcW w:type="dxa" w:w="1300"/>
            <w:tcMar>
              <w:top w:type="dxa" w:w="70"/>
              <w:left w:type="dxa" w:w="110"/>
              <w:bottom w:type="dxa" w:w="70"/>
              <w:right w:type="dxa" w:w="110"/>
            </w:tcMar>
          </w:tcPr>
          <w:p>
            <w:pPr>
              <w:spacing w:after="0"/>
            </w:pPr>
            <w:r>
              <w:rPr>
                <w:i w:val="false"/>
                <w:iCs w:val="false"/>
                <w:sz w:val="19"/>
                <w:szCs w:val="19"/>
              </w:rPr>
              <w:t xml:space="preserve">Activado</w:t>
            </w:r>
          </w:p>
        </w:tc>
        <w:tc>
          <w:tcPr>
            <w:tcW w:type="dxa" w:w="5880"/>
            <w:tcMar>
              <w:top w:type="dxa" w:w="70"/>
              <w:left w:type="dxa" w:w="110"/>
              <w:bottom w:type="dxa" w:w="70"/>
              <w:right w:type="dxa" w:w="110"/>
            </w:tcMar>
          </w:tcPr>
          <w:p>
            <w:pPr>
              <w:spacing w:after="0"/>
            </w:pPr>
            <w:r>
              <w:rPr>
                <w:i w:val="false"/>
                <w:iCs w:val="false"/>
                <w:sz w:val="19"/>
                <w:szCs w:val="19"/>
              </w:rPr>
              <w:t xml:space="preserve">Permite que las zonas de refinamiento se solapen en vez de competir</w:t>
            </w:r>
          </w:p>
        </w:tc>
      </w:tr>
      <w:tr>
        <w:tc>
          <w:tcPr>
            <w:tcW w:type="dxa" w:w="2900"/>
            <w:shd w:fill="F2F5F8" w:color="auto" w:val="clear"/>
            <w:tcMar>
              <w:top w:type="dxa" w:w="70"/>
              <w:left w:type="dxa" w:w="110"/>
              <w:bottom w:type="dxa" w:w="70"/>
              <w:right w:type="dxa" w:w="110"/>
            </w:tcMar>
          </w:tcPr>
          <w:p>
            <w:pPr>
              <w:spacing w:after="0"/>
            </w:pPr>
            <w:r>
              <w:rPr>
                <w:i w:val="false"/>
                <w:iCs w:val="false"/>
                <w:sz w:val="19"/>
                <w:szCs w:val="19"/>
              </w:rPr>
              <w:t xml:space="preserve">Fix short edges below</w:t>
            </w:r>
          </w:p>
        </w:tc>
        <w:tc>
          <w:tcPr>
            <w:tcW w:type="dxa" w:w="1300"/>
            <w:shd w:fill="F2F5F8" w:color="auto" w:val="clear"/>
            <w:tcMar>
              <w:top w:type="dxa" w:w="70"/>
              <w:left w:type="dxa" w:w="110"/>
              <w:bottom w:type="dxa" w:w="70"/>
              <w:right w:type="dxa" w:w="110"/>
            </w:tcMar>
          </w:tcPr>
          <w:p>
            <w:pPr>
              <w:spacing w:after="0"/>
            </w:pPr>
            <w:r>
              <w:rPr>
                <w:i w:val="false"/>
                <w:iCs w:val="false"/>
                <w:sz w:val="19"/>
                <w:szCs w:val="19"/>
              </w:rPr>
              <w:t xml:space="preserve">0,2 m</w:t>
            </w:r>
          </w:p>
        </w:tc>
        <w:tc>
          <w:tcPr>
            <w:tcW w:type="dxa" w:w="5880"/>
            <w:shd w:fill="F2F5F8" w:color="auto" w:val="clear"/>
            <w:tcMar>
              <w:top w:type="dxa" w:w="70"/>
              <w:left w:type="dxa" w:w="110"/>
              <w:bottom w:type="dxa" w:w="70"/>
              <w:right w:type="dxa" w:w="110"/>
            </w:tcMar>
          </w:tcPr>
          <w:p>
            <w:pPr>
              <w:spacing w:after="0"/>
            </w:pPr>
            <w:r>
              <w:rPr>
                <w:i w:val="false"/>
                <w:iCs w:val="false"/>
                <w:sz w:val="19"/>
                <w:szCs w:val="19"/>
              </w:rPr>
              <w:t xml:space="preserve">Vuelve a sembrar las celdas con aristas más cortas que este valor</w:t>
            </w:r>
          </w:p>
        </w:tc>
      </w:tr>
    </w:tbl>
    <w:p>
      <w:pPr>
        <w:spacing w:after="120"/>
      </w:pPr>
    </w:p>
    <w:p>
      <w:pPr>
        <w:keepNext/>
        <w:spacing w:after="40" w:before="180"/>
        <w:jc w:val="center"/>
      </w:pPr>
      <w:r>
        <w:drawing>
          <wp:inline distT="0" distB="0" distL="0" distR="0">
            <wp:extent cx="4095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905000"/>
                    </a:xfrm>
                    <a:prstGeom prst="rect">
                      <a:avLst/>
                    </a:prstGeom>
                  </pic:spPr>
                </pic:pic>
              </a:graphicData>
            </a:graphic>
          </wp:inline>
        </w:drawing>
      </w:r>
    </w:p>
    <w:p>
      <w:pPr>
        <w:spacing w:after="240"/>
        <w:jc w:val="center"/>
      </w:pPr>
      <w:r>
        <w:rPr>
          <w:i/>
          <w:iCs/>
          <w:color w:val="5A6672"/>
          <w:sz w:val="17"/>
          <w:szCs w:val="17"/>
        </w:rPr>
        <w:t xml:space="preserve">Figura 6. Las opciones de esta ejecución.</w:t>
      </w:r>
    </w:p>
    <w:p>
      <w:pPr>
        <w:spacing w:after="120"/>
      </w:pPr>
      <w:r>
        <w:rPr>
          <w:sz w:val="21"/>
          <w:szCs w:val="21"/>
        </w:rPr>
        <w:t xml:space="preserve">Un buen punto de partida con sus propios datos: un tamaño grueso de alrededor de 1/15 del lado corto de su modelo y un multiplicador entre 1,2 y 1,5.</w:t>
      </w:r>
    </w:p>
    <w:p>
      <w:pPr>
        <w:spacing w:after="200"/>
      </w:pPr>
    </w:p>
    <w:p>
      <w:pPr>
        <w:pStyle w:val="Heading2"/>
        <w:keepNext/>
        <w:spacing w:after="140" w:before="280"/>
      </w:pPr>
      <w:r>
        <w:rPr>
          <w:b/>
          <w:bCs/>
          <w:color w:val="1F4E79"/>
          <w:sz w:val="25"/>
          <w:szCs w:val="25"/>
        </w:rPr>
        <w:t xml:space="preserve">Paso 5 — Generar la malla</w:t>
      </w:r>
    </w:p>
    <w:p>
      <w:pPr>
        <w:spacing w:after="120"/>
      </w:pPr>
      <w:r>
        <w:rPr>
          <w:sz w:val="21"/>
          <w:szCs w:val="21"/>
        </w:rPr>
        <w:t xml:space="preserve">Pulse </w:t>
      </w:r>
      <w:r>
        <w:rPr>
          <w:b/>
          <w:bCs/>
          <w:sz w:val="21"/>
          <w:szCs w:val="21"/>
        </w:rPr>
        <w:t xml:space="preserve">⚙  Generate Voronoi mesh</w:t>
      </w:r>
      <w:r>
        <w:rPr>
          <w:sz w:val="21"/>
          <w:szCs w:val="21"/>
        </w:rPr>
        <w:t xml:space="preserve"> en el panel Mesh (o el botón del engranaje de la barra de herramientas), acepte el nombre de malla propuesto y espere. Este ejemplo termina en unos tres segundos y le avisa al acabar.</w:t>
      </w:r>
    </w:p>
    <w:p>
      <w:pPr>
        <w:keepNext/>
        <w:spacing w:after="40" w:before="180"/>
        <w:jc w:val="center"/>
      </w:pPr>
      <w:r>
        <w:drawing>
          <wp:inline distT="0" distB="0" distL="0" distR="0">
            <wp:extent cx="361950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1371600"/>
                    </a:xfrm>
                    <a:prstGeom prst="rect">
                      <a:avLst/>
                    </a:prstGeom>
                  </pic:spPr>
                </pic:pic>
              </a:graphicData>
            </a:graphic>
          </wp:inline>
        </w:drawing>
      </w:r>
    </w:p>
    <w:p>
      <w:pPr>
        <w:spacing w:after="240"/>
        <w:jc w:val="center"/>
      </w:pPr>
      <w:r>
        <w:rPr>
          <w:i/>
          <w:iCs/>
          <w:color w:val="5A6672"/>
          <w:sz w:val="17"/>
          <w:szCs w:val="17"/>
        </w:rPr>
        <w:t xml:space="preserve">Figura 7. El aviso de finalización.</w:t>
      </w:r>
    </w:p>
    <w:p>
      <w:pPr>
        <w:keepNext/>
        <w:spacing w:after="40" w:before="180"/>
        <w:jc w:val="center"/>
      </w:pPr>
      <w:r>
        <w:drawing>
          <wp:inline distT="0" distB="0" distL="0" distR="0">
            <wp:extent cx="64008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00800" cy="3857625"/>
                    </a:xfrm>
                    <a:prstGeom prst="rect">
                      <a:avLst/>
                    </a:prstGeom>
                  </pic:spPr>
                </pic:pic>
              </a:graphicData>
            </a:graphic>
          </wp:inline>
        </w:drawing>
      </w:r>
    </w:p>
    <w:p>
      <w:pPr>
        <w:spacing w:after="240"/>
        <w:jc w:val="center"/>
      </w:pPr>
      <w:r>
        <w:rPr>
          <w:i/>
          <w:iCs/>
          <w:color w:val="5A6672"/>
          <w:sz w:val="17"/>
          <w:szCs w:val="17"/>
        </w:rPr>
        <w:t xml:space="preserve">Figura 8. El resultado: 1173 celdas, finas en el centro y gruesas hacia las esquinas.</w:t>
      </w:r>
    </w:p>
    <w:p>
      <w:pPr>
        <w:spacing w:after="200"/>
      </w:pPr>
    </w:p>
    <w:p>
      <w:pPr>
        <w:pStyle w:val="Heading2"/>
        <w:keepNext/>
        <w:spacing w:after="140" w:before="280"/>
      </w:pPr>
      <w:r>
        <w:rPr>
          <w:b/>
          <w:bCs/>
          <w:color w:val="1F4E79"/>
          <w:sz w:val="25"/>
          <w:szCs w:val="25"/>
        </w:rPr>
        <w:t xml:space="preserve">Paso 6 — Revisar la malla y el informe</w:t>
      </w:r>
    </w:p>
    <w:p>
      <w:pPr>
        <w:spacing w:after="120"/>
      </w:pPr>
      <w:r>
        <w:rPr>
          <w:sz w:val="21"/>
          <w:szCs w:val="21"/>
        </w:rPr>
        <w:t xml:space="preserve">Acérquese al centro del modelo. Las celdas deben cerrarse de forma gradual hacia cada elemento, sin saltos bruscos de grueso a fino.</w:t>
      </w:r>
    </w:p>
    <w:p>
      <w:pPr>
        <w:keepNext/>
        <w:spacing w:after="40" w:before="18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800475"/>
                    </a:xfrm>
                    <a:prstGeom prst="rect">
                      <a:avLst/>
                    </a:prstGeom>
                  </pic:spPr>
                </pic:pic>
              </a:graphicData>
            </a:graphic>
          </wp:inline>
        </w:drawing>
      </w:r>
    </w:p>
    <w:p>
      <w:pPr>
        <w:spacing w:after="240"/>
        <w:jc w:val="center"/>
      </w:pPr>
      <w:r>
        <w:rPr>
          <w:i/>
          <w:iCs/>
          <w:color w:val="5A6672"/>
          <w:sz w:val="17"/>
          <w:szCs w:val="17"/>
        </w:rPr>
        <w:t xml:space="preserve">Figura 9. El refinamiento se cierra desde celdas de 20 m hasta 1 m en los dos pozos (magenta).</w:t>
      </w:r>
    </w:p>
    <w:p>
      <w:pPr>
        <w:spacing w:after="120"/>
      </w:pPr>
      <w:r>
        <w:rPr>
          <w:sz w:val="21"/>
          <w:szCs w:val="21"/>
        </w:rPr>
        <w:t xml:space="preserve">El informe de calidad se rellena solo. Conviene mirar siempre estas tres cifras:</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1900"/>
        <w:gridCol w:w="1900"/>
        <w:gridCol w:w="6280"/>
      </w:tblGrid>
      <w:tr>
        <w:trPr>
          <w:tblHeader/>
        </w:trPr>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Comprobación</w:t>
            </w:r>
          </w:p>
        </w:tc>
        <w:tc>
          <w:tcPr>
            <w:tcW w:type="dxa" w:w="19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Esta ejecución</w:t>
            </w:r>
          </w:p>
        </w:tc>
        <w:tc>
          <w:tcPr>
            <w:tcW w:type="dxa" w:w="62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Qué significa</w:t>
            </w:r>
          </w:p>
        </w:tc>
      </w:tr>
      <w:tr>
        <w:tc>
          <w:tcPr>
            <w:tcW w:type="dxa" w:w="1900"/>
            <w:tcMar>
              <w:top w:type="dxa" w:w="70"/>
              <w:left w:type="dxa" w:w="110"/>
              <w:bottom w:type="dxa" w:w="70"/>
              <w:right w:type="dxa" w:w="110"/>
            </w:tcMar>
          </w:tcPr>
          <w:p>
            <w:pPr>
              <w:spacing w:after="0"/>
            </w:pPr>
            <w:r>
              <w:rPr>
                <w:i w:val="false"/>
                <w:iCs w:val="false"/>
                <w:sz w:val="19"/>
                <w:szCs w:val="19"/>
              </w:rPr>
              <w:t xml:space="preserve">Total area</w:t>
            </w:r>
          </w:p>
        </w:tc>
        <w:tc>
          <w:tcPr>
            <w:tcW w:type="dxa" w:w="1900"/>
            <w:tcMar>
              <w:top w:type="dxa" w:w="70"/>
              <w:left w:type="dxa" w:w="110"/>
              <w:bottom w:type="dxa" w:w="70"/>
              <w:right w:type="dxa" w:w="110"/>
            </w:tcMar>
          </w:tcPr>
          <w:p>
            <w:pPr>
              <w:spacing w:after="0"/>
            </w:pPr>
            <w:r>
              <w:rPr>
                <w:i w:val="false"/>
                <w:iCs w:val="false"/>
                <w:sz w:val="19"/>
                <w:szCs w:val="19"/>
              </w:rPr>
              <w:t xml:space="preserve">44.293,75 m²</w:t>
            </w:r>
          </w:p>
        </w:tc>
        <w:tc>
          <w:tcPr>
            <w:tcW w:type="dxa" w:w="6280"/>
            <w:tcMar>
              <w:top w:type="dxa" w:w="70"/>
              <w:left w:type="dxa" w:w="110"/>
              <w:bottom w:type="dxa" w:w="70"/>
              <w:right w:type="dxa" w:w="110"/>
            </w:tcMar>
          </w:tcPr>
          <w:p>
            <w:pPr>
              <w:spacing w:after="0"/>
            </w:pPr>
            <w:r>
              <w:rPr>
                <w:i w:val="false"/>
                <w:iCs w:val="false"/>
                <w:sz w:val="19"/>
                <w:szCs w:val="19"/>
              </w:rPr>
              <w:t xml:space="preserve">Debe coincidir con el área de su límite. Aquí coincide exactamente: no se perdió nada al recortar la malla contra el borde.</w:t>
            </w:r>
          </w:p>
        </w:tc>
      </w:tr>
      <w:tr>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Cell area max</w:t>
            </w:r>
          </w:p>
        </w:tc>
        <w:tc>
          <w:tcPr>
            <w:tcW w:type="dxa" w:w="1900"/>
            <w:shd w:fill="F2F5F8" w:color="auto" w:val="clear"/>
            <w:tcMar>
              <w:top w:type="dxa" w:w="70"/>
              <w:left w:type="dxa" w:w="110"/>
              <w:bottom w:type="dxa" w:w="70"/>
              <w:right w:type="dxa" w:w="110"/>
            </w:tcMar>
          </w:tcPr>
          <w:p>
            <w:pPr>
              <w:spacing w:after="0"/>
            </w:pPr>
            <w:r>
              <w:rPr>
                <w:i w:val="false"/>
                <w:iCs w:val="false"/>
                <w:sz w:val="19"/>
                <w:szCs w:val="19"/>
              </w:rPr>
              <w:t xml:space="preserve">400,00 m²</w:t>
            </w:r>
          </w:p>
        </w:tc>
        <w:tc>
          <w:tcPr>
            <w:tcW w:type="dxa" w:w="6280"/>
            <w:shd w:fill="F2F5F8" w:color="auto" w:val="clear"/>
            <w:tcMar>
              <w:top w:type="dxa" w:w="70"/>
              <w:left w:type="dxa" w:w="110"/>
              <w:bottom w:type="dxa" w:w="70"/>
              <w:right w:type="dxa" w:w="110"/>
            </w:tcMar>
          </w:tcPr>
          <w:p>
            <w:pPr>
              <w:spacing w:after="0"/>
            </w:pPr>
            <w:r>
              <w:rPr>
                <w:i w:val="false"/>
                <w:iCs w:val="false"/>
                <w:sz w:val="19"/>
                <w:szCs w:val="19"/>
              </w:rPr>
              <w:t xml:space="preserve">El tamaño grueso de 20 m al cuadrado, así que el valor configurado se alcanzó de verdad.</w:t>
            </w:r>
          </w:p>
        </w:tc>
      </w:tr>
      <w:tr>
        <w:tc>
          <w:tcPr>
            <w:tcW w:type="dxa" w:w="1900"/>
            <w:tcMar>
              <w:top w:type="dxa" w:w="70"/>
              <w:left w:type="dxa" w:w="110"/>
              <w:bottom w:type="dxa" w:w="70"/>
              <w:right w:type="dxa" w:w="110"/>
            </w:tcMar>
          </w:tcPr>
          <w:p>
            <w:pPr>
              <w:spacing w:after="0"/>
            </w:pPr>
            <w:r>
              <w:rPr>
                <w:i w:val="false"/>
                <w:iCs w:val="false"/>
                <w:sz w:val="19"/>
                <w:szCs w:val="19"/>
              </w:rPr>
              <w:t xml:space="preserve">Cells (ncpl)</w:t>
            </w:r>
          </w:p>
        </w:tc>
        <w:tc>
          <w:tcPr>
            <w:tcW w:type="dxa" w:w="1900"/>
            <w:tcMar>
              <w:top w:type="dxa" w:w="70"/>
              <w:left w:type="dxa" w:w="110"/>
              <w:bottom w:type="dxa" w:w="70"/>
              <w:right w:type="dxa" w:w="110"/>
            </w:tcMar>
          </w:tcPr>
          <w:p>
            <w:pPr>
              <w:spacing w:after="0"/>
            </w:pPr>
            <w:r>
              <w:rPr>
                <w:i w:val="false"/>
                <w:iCs w:val="false"/>
                <w:sz w:val="19"/>
                <w:szCs w:val="19"/>
              </w:rPr>
              <w:t xml:space="preserve">1173</w:t>
            </w:r>
          </w:p>
        </w:tc>
        <w:tc>
          <w:tcPr>
            <w:tcW w:type="dxa" w:w="6280"/>
            <w:tcMar>
              <w:top w:type="dxa" w:w="70"/>
              <w:left w:type="dxa" w:w="110"/>
              <w:bottom w:type="dxa" w:w="70"/>
              <w:right w:type="dxa" w:w="110"/>
            </w:tcMar>
          </w:tcPr>
          <w:p>
            <w:pPr>
              <w:spacing w:after="0"/>
            </w:pPr>
            <w:r>
              <w:rPr>
                <w:i w:val="false"/>
                <w:iCs w:val="false"/>
                <w:sz w:val="19"/>
                <w:szCs w:val="19"/>
              </w:rPr>
              <w:t xml:space="preserve">El tamaño de su malla. Si es mucho mayor de lo previsto, suba el tamaño objetivo más fino o el multiplicador.</w:t>
            </w:r>
          </w:p>
        </w:tc>
      </w:tr>
    </w:tbl>
    <w:p>
      <w:pPr>
        <w:spacing w:after="120"/>
      </w:pPr>
    </w:p>
    <w:p>
      <w:pPr>
        <w:keepNext/>
        <w:spacing w:after="40" w:before="180"/>
        <w:jc w:val="center"/>
      </w:pPr>
      <w:r>
        <w:drawing>
          <wp:inline distT="0" distB="0" distL="0" distR="0">
            <wp:extent cx="38100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5486400"/>
                    </a:xfrm>
                    <a:prstGeom prst="rect">
                      <a:avLst/>
                    </a:prstGeom>
                  </pic:spPr>
                </pic:pic>
              </a:graphicData>
            </a:graphic>
          </wp:inline>
        </w:drawing>
      </w:r>
    </w:p>
    <w:p>
      <w:pPr>
        <w:spacing w:after="240"/>
        <w:jc w:val="center"/>
      </w:pPr>
      <w:r>
        <w:rPr>
          <w:i/>
          <w:iCs/>
          <w:color w:val="5A6672"/>
          <w:sz w:val="17"/>
          <w:szCs w:val="17"/>
        </w:rPr>
        <w:t xml:space="preserve">Figura 10. El informe completo de esta ejecución.</w:t>
      </w:r>
    </w:p>
    <w:tbl>
      <w:tblPr>
        <w:tblW w:type="dxa" w:w="10080"/>
        <w:tblBorders>
          <w:top w:val="single" w:color="FFF6E5" w:sz="2"/>
          <w:left w:val="single" w:color="E0A030" w:sz="18"/>
          <w:bottom w:val="single" w:color="FFF6E5" w:sz="2"/>
          <w:right w:val="single" w:color="FFF6E5" w:sz="2"/>
          <w:insideH w:val="none"/>
          <w:insideV w:val="none"/>
        </w:tblBorders>
      </w:tblPr>
      <w:tblGrid>
        <w:gridCol w:w="10080"/>
      </w:tblGrid>
      <w:tr>
        <w:tc>
          <w:tcPr>
            <w:tcW w:type="dxa" w:w="10080"/>
            <w:shd w:fill="FFF6E5" w:color="auto" w:val="clear"/>
            <w:tcMar>
              <w:top w:type="dxa" w:w="110"/>
              <w:left w:type="dxa" w:w="160"/>
              <w:bottom w:type="dxa" w:w="110"/>
              <w:right w:type="dxa" w:w="140"/>
            </w:tcMar>
          </w:tcPr>
          <w:p>
            <w:pPr>
              <w:spacing w:after="0"/>
            </w:pPr>
            <w:r>
              <w:rPr>
                <w:b/>
                <w:bCs/>
                <w:color w:val="7A4B00"/>
                <w:sz w:val="19"/>
                <w:szCs w:val="19"/>
              </w:rPr>
              <w:t xml:space="preserve">No se alarme con "Cells with short edges".  </w:t>
            </w:r>
            <w:r>
              <w:rPr>
                <w:sz w:val="19"/>
                <w:szCs w:val="19"/>
              </w:rPr>
              <w:t xml:space="preserve">El recuento es relativo al umbral que usted fija. Sobre esta misma malla, un umbral de 0,5 m señala el 56 % de las celdas; el de 0,2 m usado aquí señala el 18 %. Fíjelo en una fracción pequeña de su tamaño objetivo más fino y vigílelo como una tendencia entre ejecuciones, no como un aprobado o suspenso.</w:t>
            </w:r>
          </w:p>
        </w:tc>
      </w:tr>
    </w:tbl>
    <w:p>
      <w:pPr>
        <w:spacing w:after="200"/>
      </w:pPr>
    </w:p>
    <w:p>
      <w:pPr>
        <w:pStyle w:val="Heading2"/>
        <w:keepNext/>
        <w:spacing w:after="140" w:before="280"/>
      </w:pPr>
      <w:r>
        <w:rPr>
          <w:b/>
          <w:bCs/>
          <w:color w:val="1F4E79"/>
          <w:sz w:val="25"/>
          <w:szCs w:val="25"/>
        </w:rPr>
        <w:t xml:space="preserve">Paso 7 — Exportar y guardar</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400"/>
        <w:gridCol w:w="3600"/>
        <w:gridCol w:w="4080"/>
      </w:tblGrid>
      <w:tr>
        <w:trPr>
          <w:tblHeader/>
        </w:trPr>
        <w:tc>
          <w:tcPr>
            <w:tcW w:type="dxa" w:w="24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Para obtener</w:t>
            </w:r>
          </w:p>
        </w:tc>
        <w:tc>
          <w:tcPr>
            <w:tcW w:type="dxa" w:w="3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Use</w:t>
            </w:r>
          </w:p>
        </w:tc>
        <w:tc>
          <w:tcPr>
            <w:tcW w:type="dxa" w:w="40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Resultado</w:t>
            </w:r>
          </w:p>
        </w:tc>
      </w:tr>
      <w:tr>
        <w:tc>
          <w:tcPr>
            <w:tcW w:type="dxa" w:w="2400"/>
            <w:tcMar>
              <w:top w:type="dxa" w:w="70"/>
              <w:left w:type="dxa" w:w="110"/>
              <w:bottom w:type="dxa" w:w="70"/>
              <w:right w:type="dxa" w:w="110"/>
            </w:tcMar>
          </w:tcPr>
          <w:p>
            <w:pPr>
              <w:spacing w:after="0"/>
            </w:pPr>
            <w:r>
              <w:rPr>
                <w:i w:val="false"/>
                <w:iCs w:val="false"/>
                <w:sz w:val="19"/>
                <w:szCs w:val="19"/>
              </w:rPr>
              <w:t xml:space="preserve">La malla en su SIG</w:t>
            </w:r>
          </w:p>
        </w:tc>
        <w:tc>
          <w:tcPr>
            <w:tcW w:type="dxa" w:w="3600"/>
            <w:tcMar>
              <w:top w:type="dxa" w:w="70"/>
              <w:left w:type="dxa" w:w="110"/>
              <w:bottom w:type="dxa" w:w="70"/>
              <w:right w:type="dxa" w:w="110"/>
            </w:tcMar>
          </w:tcPr>
          <w:p>
            <w:pPr>
              <w:spacing w:after="0"/>
            </w:pPr>
            <w:r>
              <w:rPr>
                <w:i w:val="false"/>
                <w:iCs w:val="false"/>
                <w:sz w:val="19"/>
                <w:szCs w:val="19"/>
              </w:rPr>
              <w:t xml:space="preserve">File → Export mesh shapefile…</w:t>
            </w:r>
          </w:p>
        </w:tc>
        <w:tc>
          <w:tcPr>
            <w:tcW w:type="dxa" w:w="4080"/>
            <w:tcMar>
              <w:top w:type="dxa" w:w="70"/>
              <w:left w:type="dxa" w:w="110"/>
              <w:bottom w:type="dxa" w:w="70"/>
              <w:right w:type="dxa" w:w="110"/>
            </w:tcMar>
          </w:tcPr>
          <w:p>
            <w:pPr>
              <w:spacing w:after="0"/>
            </w:pPr>
            <w:r>
              <w:rPr>
                <w:i w:val="false"/>
                <w:iCs w:val="false"/>
                <w:sz w:val="19"/>
                <w:szCs w:val="19"/>
              </w:rPr>
              <w:t xml:space="preserve">Un shapefile de polígonos ESRI con su .prj</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Los arreglos DISV en bruto</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Export DISV properties (JSON)…</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ncpl, nvert, vertices, cell2d y centroids</w:t>
            </w:r>
          </w:p>
        </w:tc>
      </w:tr>
      <w:tr>
        <w:tc>
          <w:tcPr>
            <w:tcW w:type="dxa" w:w="2400"/>
            <w:tcMar>
              <w:top w:type="dxa" w:w="70"/>
              <w:left w:type="dxa" w:w="110"/>
              <w:bottom w:type="dxa" w:w="70"/>
              <w:right w:type="dxa" w:w="110"/>
            </w:tcMar>
          </w:tcPr>
          <w:p>
            <w:pPr>
              <w:spacing w:after="0"/>
            </w:pPr>
            <w:r>
              <w:rPr>
                <w:i w:val="false"/>
                <w:iCs w:val="false"/>
                <w:sz w:val="19"/>
                <w:szCs w:val="19"/>
              </w:rPr>
              <w:t xml:space="preserve">Un modelo MODFLOW 6</w:t>
            </w:r>
          </w:p>
        </w:tc>
        <w:tc>
          <w:tcPr>
            <w:tcW w:type="dxa" w:w="3600"/>
            <w:tcMar>
              <w:top w:type="dxa" w:w="70"/>
              <w:left w:type="dxa" w:w="110"/>
              <w:bottom w:type="dxa" w:w="70"/>
              <w:right w:type="dxa" w:w="110"/>
            </w:tcMar>
          </w:tcPr>
          <w:p>
            <w:pPr>
              <w:spacing w:after="0"/>
            </w:pPr>
            <w:r>
              <w:rPr>
                <w:i w:val="false"/>
                <w:iCs w:val="false"/>
                <w:sz w:val="19"/>
                <w:szCs w:val="19"/>
              </w:rPr>
              <w:t xml:space="preserve">File → Export ModelMuse MODFLOW 6 model…</w:t>
            </w:r>
          </w:p>
        </w:tc>
        <w:tc>
          <w:tcPr>
            <w:tcW w:type="dxa" w:w="4080"/>
            <w:tcMar>
              <w:top w:type="dxa" w:w="70"/>
              <w:left w:type="dxa" w:w="110"/>
              <w:bottom w:type="dxa" w:w="70"/>
              <w:right w:type="dxa" w:w="110"/>
            </w:tcMar>
          </w:tcPr>
          <w:p>
            <w:pPr>
              <w:spacing w:after="0"/>
            </w:pPr>
            <w:r>
              <w:rPr>
                <w:i w:val="false"/>
                <w:iCs w:val="false"/>
                <w:sz w:val="19"/>
                <w:szCs w:val="19"/>
              </w:rPr>
              <w:t xml:space="preserve">Ocho archivos, entre ellos mfsim.nam y el .disv</w:t>
            </w:r>
          </w:p>
        </w:tc>
      </w:tr>
      <w:tr>
        <w:tc>
          <w:tcPr>
            <w:tcW w:type="dxa" w:w="2400"/>
            <w:shd w:fill="F2F5F8" w:color="auto" w:val="clear"/>
            <w:tcMar>
              <w:top w:type="dxa" w:w="70"/>
              <w:left w:type="dxa" w:w="110"/>
              <w:bottom w:type="dxa" w:w="70"/>
              <w:right w:type="dxa" w:w="110"/>
            </w:tcMar>
          </w:tcPr>
          <w:p>
            <w:pPr>
              <w:spacing w:after="0"/>
            </w:pPr>
            <w:r>
              <w:rPr>
                <w:i w:val="false"/>
                <w:iCs w:val="false"/>
                <w:sz w:val="19"/>
                <w:szCs w:val="19"/>
              </w:rPr>
              <w:t xml:space="preserve">Recuperar su trabajo mañana</w:t>
            </w:r>
          </w:p>
        </w:tc>
        <w:tc>
          <w:tcPr>
            <w:tcW w:type="dxa" w:w="3600"/>
            <w:shd w:fill="F2F5F8" w:color="auto" w:val="clear"/>
            <w:tcMar>
              <w:top w:type="dxa" w:w="70"/>
              <w:left w:type="dxa" w:w="110"/>
              <w:bottom w:type="dxa" w:w="70"/>
              <w:right w:type="dxa" w:w="110"/>
            </w:tcMar>
          </w:tcPr>
          <w:p>
            <w:pPr>
              <w:spacing w:after="0"/>
            </w:pPr>
            <w:r>
              <w:rPr>
                <w:i w:val="false"/>
                <w:iCs w:val="false"/>
                <w:sz w:val="19"/>
                <w:szCs w:val="19"/>
              </w:rPr>
              <w:t xml:space="preserve">File → Save project (Ctrl+S)</w:t>
            </w:r>
          </w:p>
        </w:tc>
        <w:tc>
          <w:tcPr>
            <w:tcW w:type="dxa" w:w="4080"/>
            <w:shd w:fill="F2F5F8" w:color="auto" w:val="clear"/>
            <w:tcMar>
              <w:top w:type="dxa" w:w="70"/>
              <w:left w:type="dxa" w:w="110"/>
              <w:bottom w:type="dxa" w:w="70"/>
              <w:right w:type="dxa" w:w="110"/>
            </w:tcMar>
          </w:tcPr>
          <w:p>
            <w:pPr>
              <w:spacing w:after="0"/>
            </w:pPr>
            <w:r>
              <w:rPr>
                <w:i w:val="false"/>
                <w:iCs w:val="false"/>
                <w:sz w:val="19"/>
                <w:szCs w:val="19"/>
              </w:rPr>
              <w:t xml:space="preserve">Un único archivo .mf6vor con todo, malla incluida</w:t>
            </w:r>
          </w:p>
        </w:tc>
      </w:tr>
    </w:tbl>
    <w:p>
      <w:pPr>
        <w:spacing w:after="140"/>
      </w:pPr>
    </w:p>
    <w:p>
      <w:pPr>
        <w:pStyle w:val="Heading3"/>
        <w:keepNext/>
        <w:spacing w:after="110" w:before="220"/>
      </w:pPr>
      <w:r>
        <w:rPr>
          <w:b/>
          <w:bCs/>
          <w:color w:val="2E2E2E"/>
          <w:sz w:val="22"/>
          <w:szCs w:val="22"/>
        </w:rPr>
        <w:t xml:space="preserve">La exportación a ModelMuse, en breve</w:t>
      </w:r>
    </w:p>
    <w:p>
      <w:pPr>
        <w:pStyle w:val="ListParagraph"/>
        <w:numPr>
          <w:ilvl w:val="0"/>
          <w:numId w:val="2"/>
        </w:numPr>
        <w:spacing w:after="90"/>
      </w:pPr>
      <w:r>
        <w:rPr>
          <w:sz w:val="21"/>
          <w:szCs w:val="21"/>
        </w:rPr>
        <w:t xml:space="preserve">Elija File → Export ModelMuse MODFLOW 6 model…</w:t>
      </w:r>
    </w:p>
    <w:p>
      <w:pPr>
        <w:pStyle w:val="ListParagraph"/>
        <w:numPr>
          <w:ilvl w:val="0"/>
          <w:numId w:val="2"/>
        </w:numPr>
        <w:spacing w:after="90"/>
      </w:pPr>
      <w:r>
        <w:rPr>
          <w:sz w:val="21"/>
          <w:szCs w:val="21"/>
        </w:rPr>
        <w:t xml:space="preserve">Fije el número de capas en 4.</w:t>
      </w:r>
    </w:p>
    <w:p>
      <w:pPr>
        <w:pStyle w:val="ListParagraph"/>
        <w:numPr>
          <w:ilvl w:val="0"/>
          <w:numId w:val="2"/>
        </w:numPr>
        <w:spacing w:after="90"/>
      </w:pPr>
      <w:r>
        <w:rPr>
          <w:sz w:val="21"/>
          <w:szCs w:val="21"/>
        </w:rPr>
        <w:t xml:space="preserve">Ponga la cota superior en </w:t>
      </w:r>
      <w:r>
        <w:rPr>
          <w:rFonts w:ascii="Consolas" w:cs="Consolas" w:eastAsia="Consolas" w:hAnsi="Consolas"/>
          <w:color w:val="8A3B1E"/>
          <w:sz w:val="19"/>
          <w:szCs w:val="19"/>
        </w:rPr>
        <w:t xml:space="preserve">modelTop.tif</w:t>
      </w:r>
      <w:r>
        <w:rPr>
          <w:sz w:val="21"/>
          <w:szCs w:val="21"/>
        </w:rPr>
        <w:t xml:space="preserve"> y las cuatro bases de capa en </w:t>
      </w:r>
      <w:r>
        <w:rPr>
          <w:rFonts w:ascii="Consolas" w:cs="Consolas" w:eastAsia="Consolas" w:hAnsi="Consolas"/>
          <w:color w:val="8A3B1E"/>
          <w:sz w:val="19"/>
          <w:szCs w:val="19"/>
        </w:rPr>
        <w:t xml:space="preserve">bottomLy1.tif</w:t>
      </w:r>
      <w:r>
        <w:rPr>
          <w:sz w:val="21"/>
          <w:szCs w:val="21"/>
        </w:rPr>
        <w:t xml:space="preserve">–</w:t>
      </w:r>
      <w:r>
        <w:rPr>
          <w:rFonts w:ascii="Consolas" w:cs="Consolas" w:eastAsia="Consolas" w:hAnsi="Consolas"/>
          <w:color w:val="8A3B1E"/>
          <w:sz w:val="19"/>
          <w:szCs w:val="19"/>
        </w:rPr>
        <w:t xml:space="preserve">bottomLy4.tif</w:t>
      </w:r>
      <w:r>
        <w:rPr>
          <w:sz w:val="21"/>
          <w:szCs w:val="21"/>
        </w:rPr>
        <w:t xml:space="preserve"> (pulse Raster… en cada fila).</w:t>
      </w:r>
    </w:p>
    <w:p>
      <w:pPr>
        <w:pStyle w:val="ListParagraph"/>
        <w:numPr>
          <w:ilvl w:val="0"/>
          <w:numId w:val="2"/>
        </w:numPr>
        <w:spacing w:after="90"/>
      </w:pPr>
      <w:r>
        <w:rPr>
          <w:sz w:val="21"/>
          <w:szCs w:val="21"/>
        </w:rPr>
        <w:t xml:space="preserve">Elija una carpeta de salida vacía y pulse OK.</w:t>
      </w:r>
    </w:p>
    <w:p>
      <w:pPr>
        <w:pStyle w:val="ListParagraph"/>
        <w:numPr>
          <w:ilvl w:val="0"/>
          <w:numId w:val="2"/>
        </w:numPr>
        <w:spacing w:after="90"/>
      </w:pPr>
      <w:r>
        <w:rPr>
          <w:sz w:val="21"/>
          <w:szCs w:val="21"/>
        </w:rPr>
        <w:t xml:space="preserve">En ModelMuse: </w:t>
      </w:r>
      <w:r>
        <w:rPr>
          <w:b/>
          <w:bCs/>
          <w:sz w:val="21"/>
          <w:szCs w:val="21"/>
        </w:rPr>
        <w:t xml:space="preserve">File → Import → Import MODFLOW-6 Model…</w:t>
      </w:r>
      <w:r>
        <w:rPr>
          <w:sz w:val="21"/>
          <w:szCs w:val="21"/>
        </w:rPr>
        <w:t xml:space="preserve"> → seleccione </w:t>
      </w:r>
      <w:r>
        <w:rPr>
          <w:rFonts w:ascii="Consolas" w:cs="Consolas" w:eastAsia="Consolas" w:hAnsi="Consolas"/>
          <w:color w:val="8A3B1E"/>
          <w:sz w:val="19"/>
          <w:szCs w:val="19"/>
        </w:rPr>
        <w:t xml:space="preserve">mfsim.nam</w:t>
      </w:r>
      <w:r>
        <w:rPr>
          <w:sz w:val="21"/>
          <w:szCs w:val="21"/>
        </w:rPr>
        <w:t xml:space="preserve">.</w:t>
      </w:r>
    </w:p>
    <w:p>
      <w:pPr>
        <w:keepNext/>
        <w:spacing w:after="40" w:before="180"/>
        <w:jc w:val="center"/>
      </w:pPr>
      <w:r>
        <w:drawing>
          <wp:inline distT="0" distB="0" distL="0" distR="0">
            <wp:extent cx="38100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810000" cy="4562475"/>
                    </a:xfrm>
                    <a:prstGeom prst="rect">
                      <a:avLst/>
                    </a:prstGeom>
                  </pic:spPr>
                </pic:pic>
              </a:graphicData>
            </a:graphic>
          </wp:inline>
        </w:drawing>
      </w:r>
    </w:p>
    <w:p>
      <w:pPr>
        <w:spacing w:after="240"/>
        <w:jc w:val="center"/>
      </w:pPr>
      <w:r>
        <w:rPr>
          <w:i/>
          <w:iCs/>
          <w:color w:val="5A6672"/>
          <w:sz w:val="17"/>
          <w:szCs w:val="17"/>
        </w:rPr>
        <w:t xml:space="preserve">Figura 11. El diálogo de exportación, configurado para cuatro capas con un ráster para cada superficie.</w:t>
      </w:r>
    </w:p>
    <w:p>
      <w:pPr>
        <w:spacing w:after="120"/>
      </w:pPr>
      <w:r>
        <w:rPr>
          <w:sz w:val="21"/>
          <w:szCs w:val="21"/>
        </w:rPr>
        <w:t xml:space="preserve">Cualquier superficie puede ser un número en lugar de un ráster: escríbalo en el campo en vez de buscar un archivo.</w:t>
      </w:r>
    </w:p>
    <w:p>
      <w:r>
        <w:br w:type="page"/>
      </w:r>
    </w:p>
    <w:p>
      <w:pPr>
        <w:pStyle w:val="Heading1"/>
        <w:pBdr>
          <w:bottom w:val="single" w:color="C8D2DC" w:sz="8" w:space="6"/>
        </w:pBdr>
        <w:spacing w:after="200" w:before="320"/>
      </w:pPr>
      <w:r>
        <w:rPr>
          <w:b/>
          <w:bCs/>
          <w:color w:val="1F4E79"/>
          <w:sz w:val="32"/>
          <w:szCs w:val="32"/>
        </w:rPr>
        <w:t xml:space="preserve">3. De un vistazo</w:t>
      </w:r>
    </w:p>
    <w:p>
      <w:pPr>
        <w:pStyle w:val="Heading2"/>
        <w:keepNext/>
        <w:spacing w:after="140" w:before="280"/>
      </w:pPr>
      <w:r>
        <w:rPr>
          <w:b/>
          <w:bCs/>
          <w:color w:val="1F4E79"/>
          <w:sz w:val="25"/>
          <w:szCs w:val="25"/>
        </w:rPr>
        <w:t xml:space="preserve">Barra de herramientas</w:t>
      </w:r>
    </w:p>
    <w:p>
      <w:pPr>
        <w:keepNext/>
        <w:spacing w:after="40" w:before="180"/>
        <w:jc w:val="center"/>
      </w:pPr>
      <w:r>
        <w:drawing>
          <wp:inline distT="0" distB="0" distL="0" distR="0">
            <wp:extent cx="64008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00800" cy="476250"/>
                    </a:xfrm>
                    <a:prstGeom prst="rect">
                      <a:avLst/>
                    </a:prstGeom>
                  </pic:spPr>
                </pic:pic>
              </a:graphicData>
            </a:graphic>
          </wp:inline>
        </w:drawing>
      </w:r>
    </w:p>
    <w:p>
      <w:pPr>
        <w:spacing w:after="240"/>
        <w:jc w:val="center"/>
      </w:pPr>
      <w:r>
        <w:rPr>
          <w:i/>
          <w:iCs/>
          <w:color w:val="5A6672"/>
          <w:sz w:val="17"/>
          <w:szCs w:val="17"/>
        </w:rPr>
        <w:t xml:space="preserve">Figura 12. De izquierda a derecha: Navigate · Limit · +Points · +Lines · +Polygons · +Void · Measure · Finish layer · Cancel layer · Generate mesh · Zoom in · Zoom out · Fit to data.</w:t>
      </w:r>
    </w:p>
    <w:p>
      <w:pPr>
        <w:spacing w:after="120"/>
      </w:pPr>
      <w:r>
        <w:rPr>
          <w:sz w:val="21"/>
          <w:szCs w:val="21"/>
        </w:rPr>
        <w:t xml:space="preserve">Los siete primeros son modos: solo hay uno activo a la vez y su botón permanece pulsado. Navigate es el modo por defecto.</w:t>
      </w:r>
    </w:p>
    <w:p>
      <w:pPr>
        <w:pStyle w:val="Heading2"/>
        <w:keepNext/>
        <w:spacing w:after="140" w:before="280"/>
      </w:pPr>
      <w:r>
        <w:rPr>
          <w:b/>
          <w:bCs/>
          <w:color w:val="1F4E79"/>
          <w:sz w:val="25"/>
          <w:szCs w:val="25"/>
        </w:rPr>
        <w:t xml:space="preserve">Teclado y ratón</w:t>
      </w:r>
    </w:p>
    <w:tbl>
      <w:tblPr>
        <w:tblW w:type="dxa" w:w="10080"/>
        <w:tblBorders>
          <w:top w:val="single" w:color="C8D2DC" w:sz="4"/>
          <w:left w:val="single" w:color="C8D2DC" w:sz="4"/>
          <w:bottom w:val="single" w:color="C8D2DC" w:sz="4"/>
          <w:right w:val="single" w:color="C8D2DC" w:sz="4"/>
          <w:insideH w:val="single" w:color="C8D2DC" w:sz="2"/>
          <w:insideV w:val="single" w:color="C8D2DC" w:sz="2"/>
        </w:tblBorders>
      </w:tblPr>
      <w:tblGrid>
        <w:gridCol w:w="2600"/>
        <w:gridCol w:w="7480"/>
      </w:tblGrid>
      <w:tr>
        <w:trPr>
          <w:tblHeader/>
        </w:trPr>
        <w:tc>
          <w:tcPr>
            <w:tcW w:type="dxa" w:w="260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Acción</w:t>
            </w:r>
          </w:p>
        </w:tc>
        <w:tc>
          <w:tcPr>
            <w:tcW w:type="dxa" w:w="7480"/>
            <w:shd w:fill="1F4E79" w:color="auto" w:val="clear"/>
            <w:tcMar>
              <w:top w:type="dxa" w:w="70"/>
              <w:left w:type="dxa" w:w="110"/>
              <w:bottom w:type="dxa" w:w="70"/>
              <w:right w:type="dxa" w:w="110"/>
            </w:tcMar>
          </w:tcPr>
          <w:p>
            <w:pPr>
              <w:spacing w:after="0"/>
            </w:pPr>
            <w:r>
              <w:rPr>
                <w:b/>
                <w:bCs/>
                <w:i w:val="false"/>
                <w:iCs w:val="false"/>
                <w:color w:val="FFFFFF"/>
                <w:sz w:val="19"/>
                <w:szCs w:val="19"/>
              </w:rPr>
              <w:t xml:space="preserve">Hace</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Ctrl+N</w:t>
            </w:r>
            <w:r>
              <w:rPr>
                <w:i w:val="false"/>
                <w:iCs w:val="false"/>
                <w:sz w:val="19"/>
                <w:szCs w:val="19"/>
              </w:rPr>
              <w:t xml:space="preserve"> / </w:t>
            </w:r>
            <w:r>
              <w:rPr>
                <w:rFonts w:ascii="Consolas" w:cs="Consolas" w:eastAsia="Consolas" w:hAnsi="Consolas"/>
                <w:i w:val="false"/>
                <w:iCs w:val="false"/>
                <w:color w:val="8A3B1E"/>
                <w:sz w:val="18"/>
                <w:szCs w:val="18"/>
              </w:rPr>
              <w:t xml:space="preserve">Ctrl+O</w:t>
            </w:r>
            <w:r>
              <w:rPr>
                <w:i w:val="false"/>
                <w:iCs w:val="false"/>
                <w:sz w:val="19"/>
                <w:szCs w:val="19"/>
              </w:rPr>
              <w:t xml:space="preserve"> / </w:t>
            </w:r>
            <w:r>
              <w:rPr>
                <w:rFonts w:ascii="Consolas" w:cs="Consolas" w:eastAsia="Consolas" w:hAnsi="Consolas"/>
                <w:i w:val="false"/>
                <w:iCs w:val="false"/>
                <w:color w:val="8A3B1E"/>
                <w:sz w:val="18"/>
                <w:szCs w:val="18"/>
              </w:rPr>
              <w:t xml:space="preserve">Ctrl+S</w:t>
            </w:r>
          </w:p>
        </w:tc>
        <w:tc>
          <w:tcPr>
            <w:tcW w:type="dxa" w:w="7480"/>
            <w:tcMar>
              <w:top w:type="dxa" w:w="70"/>
              <w:left w:type="dxa" w:w="110"/>
              <w:bottom w:type="dxa" w:w="70"/>
              <w:right w:type="dxa" w:w="110"/>
            </w:tcMar>
          </w:tcPr>
          <w:p>
            <w:pPr>
              <w:spacing w:after="0"/>
            </w:pPr>
            <w:r>
              <w:rPr>
                <w:i w:val="false"/>
                <w:iCs w:val="false"/>
                <w:sz w:val="19"/>
                <w:szCs w:val="19"/>
              </w:rPr>
              <w:t xml:space="preserve">Nuevo proyecto / Abrir proyecto / Guardar proyecto</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Ctrl+Shift+S</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Guardar proyecto como…</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Enter</w:t>
            </w:r>
          </w:p>
        </w:tc>
        <w:tc>
          <w:tcPr>
            <w:tcW w:type="dxa" w:w="7480"/>
            <w:tcMar>
              <w:top w:type="dxa" w:w="70"/>
              <w:left w:type="dxa" w:w="110"/>
              <w:bottom w:type="dxa" w:w="70"/>
              <w:right w:type="dxa" w:w="110"/>
            </w:tcMar>
          </w:tcPr>
          <w:p>
            <w:pPr>
              <w:spacing w:after="0"/>
            </w:pPr>
            <w:r>
              <w:rPr>
                <w:i w:val="false"/>
                <w:iCs w:val="false"/>
                <w:sz w:val="19"/>
                <w:szCs w:val="19"/>
              </w:rPr>
              <w:t xml:space="preserve">Termina la geometría que está dibujando</w:t>
            </w:r>
          </w:p>
        </w:tc>
      </w:tr>
      <w:tr>
        <w:tc>
          <w:tcPr>
            <w:tcW w:type="dxa" w:w="2600"/>
            <w:shd w:fill="F2F5F8" w:color="auto" w:val="clear"/>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Esc</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Cancela la geometría o medición en curso; si no hay ninguna, deselecciona</w:t>
            </w:r>
          </w:p>
        </w:tc>
      </w:tr>
      <w:tr>
        <w:tc>
          <w:tcPr>
            <w:tcW w:type="dxa" w:w="2600"/>
            <w:tcMar>
              <w:top w:type="dxa" w:w="70"/>
              <w:left w:type="dxa" w:w="110"/>
              <w:bottom w:type="dxa" w:w="70"/>
              <w:right w:type="dxa" w:w="110"/>
            </w:tcMar>
          </w:tcPr>
          <w:p>
            <w:pPr>
              <w:spacing w:after="0"/>
            </w:pPr>
            <w:r>
              <w:rPr>
                <w:rFonts w:ascii="Consolas" w:cs="Consolas" w:eastAsia="Consolas" w:hAnsi="Consolas"/>
                <w:i w:val="false"/>
                <w:iCs w:val="false"/>
                <w:color w:val="8A3B1E"/>
                <w:sz w:val="18"/>
                <w:szCs w:val="18"/>
              </w:rPr>
              <w:t xml:space="preserve">Supr</w:t>
            </w:r>
          </w:p>
        </w:tc>
        <w:tc>
          <w:tcPr>
            <w:tcW w:type="dxa" w:w="7480"/>
            <w:tcMar>
              <w:top w:type="dxa" w:w="70"/>
              <w:left w:type="dxa" w:w="110"/>
              <w:bottom w:type="dxa" w:w="70"/>
              <w:right w:type="dxa" w:w="110"/>
            </w:tcMar>
          </w:tcPr>
          <w:p>
            <w:pPr>
              <w:spacing w:after="0"/>
            </w:pPr>
            <w:r>
              <w:rPr>
                <w:i w:val="false"/>
                <w:iCs w:val="false"/>
                <w:sz w:val="19"/>
                <w:szCs w:val="19"/>
              </w:rPr>
              <w:t xml:space="preserve">Elimina la imagen de fondo o el polígono de vacío seleccionado</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Arrastrar con el botón izquierdo</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Desplaza el mapa (en modo Navigate)</w:t>
            </w:r>
          </w:p>
        </w:tc>
      </w:tr>
      <w:tr>
        <w:tc>
          <w:tcPr>
            <w:tcW w:type="dxa" w:w="2600"/>
            <w:tcMar>
              <w:top w:type="dxa" w:w="70"/>
              <w:left w:type="dxa" w:w="110"/>
              <w:bottom w:type="dxa" w:w="70"/>
              <w:right w:type="dxa" w:w="110"/>
            </w:tcMar>
          </w:tcPr>
          <w:p>
            <w:pPr>
              <w:spacing w:after="0"/>
            </w:pPr>
            <w:r>
              <w:rPr>
                <w:i w:val="false"/>
                <w:iCs w:val="false"/>
                <w:sz w:val="19"/>
                <w:szCs w:val="19"/>
              </w:rPr>
              <w:t xml:space="preserve">Arrastrar con el botón central</w:t>
            </w:r>
          </w:p>
        </w:tc>
        <w:tc>
          <w:tcPr>
            <w:tcW w:type="dxa" w:w="7480"/>
            <w:tcMar>
              <w:top w:type="dxa" w:w="70"/>
              <w:left w:type="dxa" w:w="110"/>
              <w:bottom w:type="dxa" w:w="70"/>
              <w:right w:type="dxa" w:w="110"/>
            </w:tcMar>
          </w:tcPr>
          <w:p>
            <w:pPr>
              <w:spacing w:after="0"/>
            </w:pPr>
            <w:r>
              <w:rPr>
                <w:i w:val="false"/>
                <w:iCs w:val="false"/>
                <w:sz w:val="19"/>
                <w:szCs w:val="19"/>
              </w:rPr>
              <w:t xml:space="preserve">Desplaza el mapa (en cualquier modo)</w:t>
            </w:r>
          </w:p>
        </w:tc>
      </w:tr>
      <w:tr>
        <w:tc>
          <w:tcPr>
            <w:tcW w:type="dxa" w:w="2600"/>
            <w:shd w:fill="F2F5F8" w:color="auto" w:val="clear"/>
            <w:tcMar>
              <w:top w:type="dxa" w:w="70"/>
              <w:left w:type="dxa" w:w="110"/>
              <w:bottom w:type="dxa" w:w="70"/>
              <w:right w:type="dxa" w:w="110"/>
            </w:tcMar>
          </w:tcPr>
          <w:p>
            <w:pPr>
              <w:spacing w:after="0"/>
            </w:pPr>
            <w:r>
              <w:rPr>
                <w:i w:val="false"/>
                <w:iCs w:val="false"/>
                <w:sz w:val="19"/>
                <w:szCs w:val="19"/>
              </w:rPr>
              <w:t xml:space="preserve">Rueda del ratón</w:t>
            </w:r>
          </w:p>
        </w:tc>
        <w:tc>
          <w:tcPr>
            <w:tcW w:type="dxa" w:w="7480"/>
            <w:shd w:fill="F2F5F8" w:color="auto" w:val="clear"/>
            <w:tcMar>
              <w:top w:type="dxa" w:w="70"/>
              <w:left w:type="dxa" w:w="110"/>
              <w:bottom w:type="dxa" w:w="70"/>
              <w:right w:type="dxa" w:w="110"/>
            </w:tcMar>
          </w:tcPr>
          <w:p>
            <w:pPr>
              <w:spacing w:after="0"/>
            </w:pPr>
            <w:r>
              <w:rPr>
                <w:i w:val="false"/>
                <w:iCs w:val="false"/>
                <w:sz w:val="19"/>
                <w:szCs w:val="19"/>
              </w:rPr>
              <w:t xml:space="preserve">Acerca y aleja la vista</w:t>
            </w:r>
          </w:p>
        </w:tc>
      </w:tr>
      <w:tr>
        <w:tc>
          <w:tcPr>
            <w:tcW w:type="dxa" w:w="2600"/>
            <w:tcMar>
              <w:top w:type="dxa" w:w="70"/>
              <w:left w:type="dxa" w:w="110"/>
              <w:bottom w:type="dxa" w:w="70"/>
              <w:right w:type="dxa" w:w="110"/>
            </w:tcMar>
          </w:tcPr>
          <w:p>
            <w:pPr>
              <w:spacing w:after="0"/>
            </w:pPr>
            <w:r>
              <w:rPr>
                <w:i w:val="false"/>
                <w:iCs w:val="false"/>
                <w:sz w:val="19"/>
                <w:szCs w:val="19"/>
              </w:rPr>
              <w:t xml:space="preserve">Doble clic</w:t>
            </w:r>
          </w:p>
        </w:tc>
        <w:tc>
          <w:tcPr>
            <w:tcW w:type="dxa" w:w="7480"/>
            <w:tcMar>
              <w:top w:type="dxa" w:w="70"/>
              <w:left w:type="dxa" w:w="110"/>
              <w:bottom w:type="dxa" w:w="70"/>
              <w:right w:type="dxa" w:w="110"/>
            </w:tcMar>
          </w:tcPr>
          <w:p>
            <w:pPr>
              <w:spacing w:after="0"/>
            </w:pPr>
            <w:r>
              <w:rPr>
                <w:i w:val="false"/>
                <w:iCs w:val="false"/>
                <w:sz w:val="19"/>
                <w:szCs w:val="19"/>
              </w:rPr>
              <w:t xml:space="preserve">Termina la geometría que está dibujando</w:t>
            </w:r>
          </w:p>
        </w:tc>
      </w:tr>
    </w:tbl>
    <w:p>
      <w:pPr>
        <w:spacing w:after="160"/>
      </w:pPr>
    </w:p>
    <w:p>
      <w:pPr>
        <w:pStyle w:val="Heading2"/>
        <w:keepNext/>
        <w:spacing w:after="140" w:before="280"/>
      </w:pPr>
      <w:r>
        <w:rPr>
          <w:b/>
          <w:bCs/>
          <w:color w:val="1F4E79"/>
          <w:sz w:val="25"/>
          <w:szCs w:val="25"/>
        </w:rPr>
        <w:t xml:space="preserve">Cinco tropiezos habituales</w:t>
      </w:r>
    </w:p>
    <w:p>
      <w:pPr>
        <w:pStyle w:val="ListParagraph"/>
        <w:numPr>
          <w:ilvl w:val="0"/>
          <w:numId w:val="3"/>
        </w:numPr>
        <w:spacing w:after="70"/>
      </w:pPr>
      <w:r>
        <w:rPr>
          <w:b/>
          <w:bCs/>
          <w:sz w:val="21"/>
          <w:szCs w:val="21"/>
        </w:rPr>
        <w:t xml:space="preserve">Los elementos dibujados desaparecen. </w:t>
      </w:r>
      <w:r>
        <w:rPr>
          <w:sz w:val="21"/>
          <w:szCs w:val="21"/>
        </w:rPr>
        <w:t xml:space="preserve">No quedan confirmados hasta que pulsa Finish layer (el botón del visto bueno).</w:t>
      </w:r>
    </w:p>
    <w:p>
      <w:pPr>
        <w:pStyle w:val="ListParagraph"/>
        <w:numPr>
          <w:ilvl w:val="0"/>
          <w:numId w:val="3"/>
        </w:numPr>
        <w:spacing w:after="70"/>
      </w:pPr>
      <w:r>
        <w:rPr>
          <w:b/>
          <w:bCs/>
          <w:sz w:val="21"/>
          <w:szCs w:val="21"/>
        </w:rPr>
        <w:t xml:space="preserve">Se rechaza un shapefile. </w:t>
      </w:r>
      <w:r>
        <w:rPr>
          <w:sz w:val="21"/>
          <w:szCs w:val="21"/>
        </w:rPr>
        <w:t xml:space="preserve">Su CRS no coincide con el del proyecto. Reproyéctelo en su SIG: la aplicación no lo hará por usted.</w:t>
      </w:r>
    </w:p>
    <w:p>
      <w:pPr>
        <w:pStyle w:val="ListParagraph"/>
        <w:numPr>
          <w:ilvl w:val="0"/>
          <w:numId w:val="3"/>
        </w:numPr>
        <w:spacing w:after="70"/>
      </w:pPr>
      <w:r>
        <w:rPr>
          <w:b/>
          <w:bCs/>
          <w:sz w:val="21"/>
          <w:szCs w:val="21"/>
        </w:rPr>
        <w:t xml:space="preserve">El límite no se carga. </w:t>
      </w:r>
      <w:r>
        <w:rPr>
          <w:sz w:val="21"/>
          <w:szCs w:val="21"/>
        </w:rPr>
        <w:t xml:space="preserve">Debe ser exactamente un polígono de una sola parte.</w:t>
      </w:r>
    </w:p>
    <w:p>
      <w:pPr>
        <w:pStyle w:val="ListParagraph"/>
        <w:numPr>
          <w:ilvl w:val="0"/>
          <w:numId w:val="3"/>
        </w:numPr>
        <w:spacing w:after="70"/>
      </w:pPr>
      <w:r>
        <w:rPr>
          <w:b/>
          <w:bCs/>
          <w:sz w:val="21"/>
          <w:szCs w:val="21"/>
        </w:rPr>
        <w:t xml:space="preserve">Vertices (nvert) muestra 0. </w:t>
      </w:r>
      <w:r>
        <w:rPr>
          <w:sz w:val="21"/>
          <w:szCs w:val="21"/>
        </w:rPr>
        <w:t xml:space="preserve">Es lo normal: sigue en 0 hasta que exporta las propiedades DISV o un modelo para ModelMuse.</w:t>
      </w:r>
    </w:p>
    <w:p>
      <w:pPr>
        <w:pStyle w:val="ListParagraph"/>
        <w:numPr>
          <w:ilvl w:val="0"/>
          <w:numId w:val="3"/>
        </w:numPr>
        <w:spacing w:after="70"/>
      </w:pPr>
      <w:r>
        <w:rPr>
          <w:b/>
          <w:bCs/>
          <w:sz w:val="21"/>
          <w:szCs w:val="21"/>
        </w:rPr>
        <w:t xml:space="preserve">Muchas más celdas de las esperadas. </w:t>
      </w:r>
      <w:r>
        <w:rPr>
          <w:sz w:val="21"/>
          <w:szCs w:val="21"/>
        </w:rPr>
        <w:t xml:space="preserve">Su tamaño objetivo más fino es muy pequeño frente al grueso. Reducir a la mitad un tamaño objetivo multiplica por cuatro las celdas de esa zona.</w:t>
      </w:r>
    </w:p>
    <w:p>
      <w:pPr>
        <w:spacing w:after="160"/>
      </w:pPr>
    </w:p>
    <w:p>
      <w:pPr>
        <w:pStyle w:val="Heading2"/>
        <w:keepNext/>
        <w:spacing w:after="140" w:before="280"/>
      </w:pPr>
      <w:r>
        <w:rPr>
          <w:b/>
          <w:bCs/>
          <w:color w:val="1F4E79"/>
          <w:sz w:val="25"/>
          <w:szCs w:val="25"/>
        </w:rPr>
        <w:t xml:space="preserve">Dónde seguir</w:t>
      </w:r>
    </w:p>
    <w:p>
      <w:pPr>
        <w:spacing w:after="120"/>
      </w:pPr>
      <w:r>
        <w:rPr>
          <w:sz w:val="21"/>
          <w:szCs w:val="21"/>
        </w:rPr>
        <w:t xml:space="preserve">El Manual de Usuario cubre todos los comandos de menú, todos los paneles laterales, las herramientas de dibujo, los polígonos de vacío, las imágenes de fondo —incluida la nueva pestaña "Online satellite map" para obtener un mapa base satelital georreferenciado directamente de internet—, la herramienta de medición, cómo leer cada métrica de calidad y una tabla de resolución de problemas.</w:t>
      </w:r>
    </w:p>
    <w:p>
      <w:pPr>
        <w:spacing w:after="80"/>
      </w:pPr>
    </w:p>
    <w:p>
      <w:pPr>
        <w:spacing w:after="120"/>
      </w:pPr>
      <w:r>
        <w:rPr>
          <w:sz w:val="21"/>
          <w:szCs w:val="21"/>
        </w:rPr>
        <w:t xml:space="preserve">mf6Voronoi Studio es una interfaz gráfica para el paquete mf6Voronoi de Hatari Labs: https://github.com/hatarilabs/mf6Voronoi</w:t>
      </w:r>
    </w:p>
    <w:p>
      <w:pPr>
        <w:spacing w:after="80"/>
      </w:pPr>
    </w:p>
    <w:p>
      <w:pPr>
        <w:spacing w:after="120"/>
      </w:pPr>
      <w:r>
        <w:rPr>
          <w:i/>
          <w:iCs/>
          <w:color w:val="5A6672"/>
          <w:sz w:val="21"/>
          <w:szCs w:val="21"/>
        </w:rPr>
        <w:t xml:space="preserve">Viva el Software Libre</w:t>
      </w:r>
    </w:p>
    <w:sectPr>
      <w:headerReference w:type="default" r:id="rId7"/>
      <w:headerReference w:type="first" r:id="rId8"/>
      <w:footerReference w:type="default" r:id="rId9"/>
      <w:footerReference w:type="first" r:id="rId10"/>
      <w:pgSz w:w="12240" w:h="15840" w:orient="portrait"/>
      <w:pgMar w:top="1080" w:right="1080" w:bottom="108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672"/>
        <w:sz w:val="17"/>
        <w:szCs w:val="17"/>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DC" w:sz="4" w:space="4"/>
      </w:pBdr>
      <w:jc w:val="right"/>
    </w:pPr>
    <w:r>
      <w:rPr>
        <w:color w:val="5A6672"/>
        <w:sz w:val="17"/>
        <w:szCs w:val="17"/>
      </w:rPr>
      <w:t xml:space="preserve">mf6Voronoi Studio 3.0.1 — Guía de Inicio Rápido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20" w:hanging="24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5"/>
      <w:szCs w:val="25"/>
    </w:rPr>
  </w:style>
  <w:style w:type="paragraph" w:styleId="Heading3">
    <w:name w:val="Heading 3"/>
    <w:basedOn w:val="Normal"/>
    <w:next w:val="Normal"/>
    <w:qFormat/>
    <w:rPr>
      <w:rFonts w:ascii="Calibri" w:cs="Calibri" w:eastAsia="Calibri" w:hAnsi="Calibri"/>
      <w:b/>
      <w:bCs/>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55aa81739e24af8bd6606c4f53b855e42306b3f.png"/><Relationship Id="rId12" Type="http://schemas.openxmlformats.org/officeDocument/2006/relationships/image" Target="media/1128eea225627cbfaafc63e195ea28f0fab6ba4a.png"/><Relationship Id="rId13" Type="http://schemas.openxmlformats.org/officeDocument/2006/relationships/image" Target="media/1fc37e5730690a791e7c641b26d9bb238e5d1b0d.png"/><Relationship Id="rId14" Type="http://schemas.openxmlformats.org/officeDocument/2006/relationships/image" Target="media/fffac91c6739e9bf7367c3df111356be4f42698d.png"/><Relationship Id="rId15" Type="http://schemas.openxmlformats.org/officeDocument/2006/relationships/image" Target="media/61ee0d85678c097bf8f6ab8bc79fa92b16e228db.png"/><Relationship Id="rId16" Type="http://schemas.openxmlformats.org/officeDocument/2006/relationships/image" Target="media/15a35c375fd8a1693815f94334e17fc181a39920.png"/><Relationship Id="rId17" Type="http://schemas.openxmlformats.org/officeDocument/2006/relationships/image" Target="media/ae277e7b40a7d99850c5ac8ea94d42592f23e496.png"/><Relationship Id="rId18" Type="http://schemas.openxmlformats.org/officeDocument/2006/relationships/image" Target="media/53d707d6de44c6ad652157d140d5515380a34a59.png"/><Relationship Id="rId19" Type="http://schemas.openxmlformats.org/officeDocument/2006/relationships/image" Target="media/d33de22c09bf83082b4602c708c3f6aeef318e1f.png"/><Relationship Id="rId20" Type="http://schemas.openxmlformats.org/officeDocument/2006/relationships/image" Target="media/b5eb6fee00b6819b72d30e3df79fa8f6b02b1bc9.png"/><Relationship Id="rId21" Type="http://schemas.openxmlformats.org/officeDocument/2006/relationships/image" Target="media/328c80b6a6d1403936f6e28aa637917cebe9fc0e.png"/><Relationship Id="rId22" Type="http://schemas.openxmlformats.org/officeDocument/2006/relationships/image" Target="media/cb124a821658e95294267a6f1e03a53baa63902e.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mf6Voronoi Studio — Guía de Inicio Rápido</dc:title>
  <dc:creator>mf6Voronoi Studio</dc:creator>
  <dc:description>Guía de inicio rápido de mf6Voronoi Studio 3.0.1</dc:description>
  <cp:lastModifiedBy>Un-named</cp:lastModifiedBy>
  <cp:revision>1</cp:revision>
  <dcterms:created xsi:type="dcterms:W3CDTF">2026-09-21T23:20:05.228Z</dcterms:created>
  <dcterms:modified xsi:type="dcterms:W3CDTF">2026-09-21T23:20:05.229Z</dcterms:modified>
</cp:coreProperties>
</file>

<file path=docProps/custom.xml><?xml version="1.0" encoding="utf-8"?>
<Properties xmlns="http://schemas.openxmlformats.org/officeDocument/2006/custom-properties" xmlns:vt="http://schemas.openxmlformats.org/officeDocument/2006/docPropsVTypes"/>
</file>