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20" w:after="240"/>
        <w:jc w:val="center"/>
      </w:pPr>
      <w:r>
        <w:rPr>
          <w:rFonts w:ascii="宋体" w:hAnsi="宋体" w:eastAsia="宋体" w:cs="宋体"/>
          <w:b/>
          <w:i w:val="0"/>
          <w:color w:val="000000"/>
          <w:sz w:val="44"/>
        </w:rPr>
        <w:t>2026年 iCAN 大学生创新创业大赛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“集思杯”AI智能无人系统应用创新挑战赛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RoboRacer无人车竞速赛</w:t>
      </w:r>
    </w:p>
    <w:p>
      <w:pPr>
        <w:pStyle w:val="Title"/>
        <w:spacing w:before="320" w:after="240"/>
        <w:jc w:val="center"/>
      </w:pPr>
      <w:r>
        <w:rPr>
          <w:rFonts w:ascii="宋体" w:hAnsi="宋体" w:eastAsia="宋体" w:cs="宋体"/>
          <w:b/>
          <w:i w:val="0"/>
          <w:color w:val="000000"/>
          <w:sz w:val="44"/>
        </w:rPr>
        <w:t>产品技术方案书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项目名称：面向封闭园区轻型物资配送的自主无人车系统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学校名称：xxxxxxxxx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团队名称：xxxxxxxxx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应用方向：智慧物流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版本：V2.0    日期：2026年10月14日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方案摘要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方案面向园区固定站点间的轻型物资配送，以现有ROS竞速系统为技术基础，形成激光感知、地图定位、整圈路线规划、速度包络和连续轨迹跟踪的控制闭环。竞速平台承担高动态导航验证；配送模型与业务任务按行业需求独立设计。现有实现能够支持赛道连续运行、反馈检查和故障停车，行业车辆建模、订单管理及交接任务仍需实现与验证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团队报告当前最快有效五圈为72秒；已提供的历史裁判截图显示五圈87.546秒。72秒对应的官方结果原件【待补充验证】，一分钟以内仍为研发目标。本方案不把控制器参考闭环、离线模型时间或计划指标作为官方成绩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正文覆盖应用任务、系统构成、关键技术、竞速优化、仿真验证、技术迁移与应用价值。核心技术事实对应仓库111的main分支快照9d7af98d，核对依据见配套技术事实核对表。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一 项目概述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封闭园区内的文件、备件和小件耗材配送具有路线重复、站点固定、任务分散的特点。人工往返需要持续占用后勤人员，车辆在转弯、窄道和临时障碍附近的操作又依赖驾驶经验。针对这一类任务，本项目设计面向固定站点的轻型物资自主配送无人车，使常规运输按预定路线执行，并在感知、定位或控制异常时停止，交由操作员处置。自主车辆的价值在于承担可重复的移动过程，同时留下可追溯的任务与运行记录。系统以二维激光和里程计获取环境与运动信息，经地图定位确定车辆状态；在安全净空约束下生成平滑路线，结合曲率、转向速率及制动能力规划速度，再通过转向反馈完成连续跟踪。RoboRacer竞速平台用于检验弯道响应、闭环连续性和运行时效，行业任务则在独立建模的低速配送场景中验证停站、交接和异常处置。当前竞速控制已有实现，配送业务层和行业模型按本方案规划，不将竞速完赛直接等同于行业交付完成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二 应用场景与任务定义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2.1 应用背景与目标用户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目标用户为高校、科研园区及封闭厂区的后勤运营部门；操作员负责装载、放行与异常处理，收件人负责交接。首期服务可建图、通道可管理、与公共道路隔离的固定路线，不进入开放道路或密集人群。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2.2 核心需求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核心需求包括按固定站点自主通行、弯道连续跟踪、临时静态障碍前减速或停车、运行异常可追溯，以及静止交接。路线效率以配送任务完成时间衡量，安全边界按载荷和实车制动测试重新确定，竞速速度不直接用于配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2.3 无人车任务流程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规划实现】接收配送任务后检查定位和反馈，完成装载确认与零速转向准备，沿批准路线行驶，到达站点后停车并等待人工确认，再返回或执行下一任务。新增障碍先限速、停车；自动改道和订单管理尚未接入当前竞速控制器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05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5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图1 项目总体技术路线图  虚线框表示规划实现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三 系统总体方案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3.1 系统总体架构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本系统采用ROS 1模块化架构。环境层提供官方赛道、车辆与传感器仿真；定位层由地图服务、AMCL及TF组成；规划控制层由整圈规划器和连续控制器承担；执行层将速度、转角转换为Ackermann指令，再驱动轮速与转向关节。配送业务层【规划实现】，与运行保护分离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69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69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图2 无人车系统总体架构图  竞速主链路不启动move_base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3.2 软件模块及职责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4139"/>
        <w:gridCol w:w="2665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模块或节点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输入与处理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输出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map_server／AMCL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地图、scan、odom TF；粒子滤波定位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OccupancyGrid、amcl_pose、map至odom TF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continuous_race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静止规划；速度规划、跟踪和运行保护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race_path、race_baseline、cmd_vel；状态与报告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nav_sim／servo_commands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转角语义Twist转换；Ackermann轮速分配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ackermann_cmd_stamped；六路关节指令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Gazebo及ros_control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动力学与关节PID执行；反馈发布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scan、odom、joint_states、TF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sim_referee</w:t>
            </w:r>
          </w:p>
        </w:tc>
        <w:tc>
          <w:tcPr>
            <w:tcW w:type="dxa" w:w="413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独立核验环境和有效圈数</w:t>
            </w:r>
          </w:p>
        </w:tc>
        <w:tc>
          <w:tcPr>
            <w:tcW w:type="dxa" w:w="266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官方计时、结果锁定与上报</w:t>
            </w:r>
          </w:p>
        </w:tc>
      </w:tr>
    </w:tbl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整圈规划器与跟踪器是同一continuous_race节点内的Python模块，并非独立ROS节点。TEB、L1、Follow-the-gap、沿墙行驶及SLAM均保留为独立比较或建图入口；当前最快配置未同时启用这些控制器。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3.3 信息流和接口约定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2216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216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图3 ROS软件节点与数据交互图  话题均位于tianracer命名空间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连续控制器订阅scan、odom和joint_states，经TF取得map至base_footprint位姿。prepare、start、stop及status使用std_srvs/Trigger；race_path和race_baseline使用nav_msgs/Path。运行控制Twist的linear.x为速度，angular.z在本链路中为转角，nav_sim直接保留该语义。裁判独立观察仿真，不发送驾驶指令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四 关键技术路线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4.1 激光环境感知与路线走廊检查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针对弯道前的静态障碍，本系统检查LaserScan元数据和前向有效覆盖率，将测距点按采样时间的TF变换至参考坐标，沿前方路线采样有方向的矩形车体包络。障碍落入包络时计算允许速度；极低限速或无效扫描触发停车。该方法围绕实际转弯路线检查碰撞，避免仅按当前转角延伸直线或圆弧造成不匹配。配送场景可复用此机制处理走廊侵入物，但不具备物体语义识别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4.2 栅格地图约束下的整圈路线规划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针对离散目标导致的重复停车，LoopPlanner在静止状态下读取二维占据栅格，未知区域按障碍处理。距离变换建立净空场，带墙距代价的八邻域A*按有序航点构建闭环，禁止对角穿障。周期高斯平滑和弯道偏移候选均需重新通过净空、转向曲率及航点顺序检查。路线以约4厘米间隔重采样，不跳过规定检查点。行业固定配送路线可据此生成巡回通行轨迹；任意订单目标的通用规划【规划实现】。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4.3 连续轨迹跟踪与转向控制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针对高速转向滞后与左右纠偏，race_feedback采用路径曲率前馈、连续航向反馈和随实测速度归一化的横向误差反馈。转向目标限制在允许角度内，并约束每周期的指令变化；左右转向关节换算为等效实测转角，补偿增益随反馈年龄衰减。几何投影用于横向反馈，单调累计里程用于跨圈进度，避免定位修正被误认为横向偏离。该控制组合是代码中的工程实现，不称为MPC或标准Stanley控制器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4.4 速度规划与响应距离预留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速度上限取直道预算、横向加速度、横摆速率和转角空间变化约束的最小值，再跨闭环传播加速可达性。delayed_braking模式对下游弯道预留一次响应距离，其约束为：</w:t>
      </w:r>
    </w:p>
    <w:p>
      <w:pPr>
        <w:spacing w:line="288" w:lineRule="auto" w:after="120"/>
        <w:ind w:firstLine="0"/>
        <w:jc w:val="center"/>
      </w:pPr>
      <m:oMathPara>
        <m:oMath>
          <m:r>
            <w:rPr>
              <w:rFonts w:ascii="宋体" w:hAnsi="宋体" w:eastAsia="宋体" w:cs="宋体"/>
              <w:color w:val="000000"/>
              <w:sz w:val="24"/>
            </w:rPr>
            <m:t>d ≥ vτ + </m:t>
          </m:r>
          <m:f>
            <m:num>
              <m:r>
                <w:rPr>
                  <w:rFonts w:ascii="宋体" w:hAnsi="宋体" w:eastAsia="宋体" w:cs="宋体"/>
                  <w:color w:val="000000"/>
                  <w:sz w:val="24"/>
                </w:rPr>
                <m:t>v² − u²</m:t>
              </m:r>
            </m:num>
            <m:den>
              <m:r>
                <w:rPr>
                  <w:rFonts w:ascii="宋体" w:hAnsi="宋体" w:eastAsia="宋体" w:cs="宋体"/>
                  <w:color w:val="000000"/>
                  <w:sz w:val="24"/>
                </w:rPr>
                <m:t>2b</m:t>
              </m:r>
            </m:den>
          </m:f>
        </m:oMath>
      </m:oMathPara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其中v为接近速度、u为下游限速、b为制动预算、τ为响应预留。在线只对实测速度超出计划的部分追加预瞄，避免重复计入同一响应余量。制动预算必须经实车测试确认，τ=0.25秒是配置预留，尚非测得的电机延迟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4.5 静止准备与安全停止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针对发车后才对准转向造成的首弯停顿，prepare服务保持零线速度并预置转角；可选require_prepared_start要求新鲜实测转向就绪后才接受start。起步连接线先做净空检查；提前释放启动限速要求前进至少0.6米、跟踪误差小于2.5厘米、航向误差小于0.05弧度、目标与实测转角差小于0.05弧度，并持续0.3秒。scan、odom、TF以及本配置所需关节反馈超过时效、出现非有限值或越过安全边界时停车并记录故障，恢复须检查现场和重新准备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427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2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图4 自主导航与竞速控制流程图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五 针对RoboRacer的核心技术优化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5.1 路径规划精度与路线选择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路线搜索以预测通行时间比较可行候选，联合考察路线长度、曲率和速度包络。line_search_level=2扩大多尺度弯道细调，但仍固定赛道拓扑，并保护起点后6米区域及跨圈接缝附近区域。模型评分不包含起步损失，不能直接作为成绩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5.2 弯道处理与高速跟踪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弯前制动、曲率前馈和实测转向补偿协同工作；转向未对准、航向误差增大或向走廊边界漂移时连续降低速度。首弯的效率取决于实际反馈与启动限制释放，增大yaw或起步加速度并不保证更快。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5.3 静态障碍的实时处理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已有实现为地图约束路线选择及激光走廊碰撞规避，通过限速或停车阻止继续接近障碍。运行中自动生成绕障新路线【规划实现】，不能把安全停车描述为已经绕障通过。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5.4 跨圈控制与速度稳定性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控制器保持闭合轨迹和累计进度，跨圈不重置起步对齐。加速命令受预算限制，风险限速优先于提速；speed_recovery_hold可配置风险降速后的加速等待，72秒基线取0。0.34米路线净空、0.23米墙距停车及0.15米参考偏差停车分别使用不同几何量，不能相减后作为统一误差余量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5.5 实时性与计算资源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复杂路线搜索在发车前完成，运行控制目标频率50Hz。走廊碰撞计算采用批量采样和保守包围框过滤；报告快照后台写入，最终stop保存完整报告。CycleTiming分别记录计算墙钟耗时和仿真周期，不能据目标频率声称每台机器均达到稳定实时运行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089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8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图5 路径与速度联合优化核心算法流程图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六 仿真验证方案与结果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6.1 仿真环境与主要参数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官方初赛采用ROS2GO统一环境，Ubuntu 20.04、ROS Noetic与Gazebo 11。当前竞速入口为race_tuning_demo，使用tianracer_racetrack赛道及规定车模。地图分辨率0.025米；模型激光40Hz、1081束、270°视场、量程0.1～10米；关节反馈配置50Hz，里程计适配器20Hz。模型中的相机和IMU存在，但连续竞速决策没有直接订阅其图像或IMU话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2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参数组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团队报告72秒对应配置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速度规划与横向控制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delayed_braking；race_feedback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运动预算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lateral_accel=10.5 m/s²；acceleration=7.0 m/s²；braking=3.6 m/s²；yaw_rate=3.8 rad/s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起步设置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startup_speed=2.0 m/s；startup_acceleration=2.5 m/s²；startup_release_early=true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转向与误差反馈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steering_feedback_gain=0.25；steering_preview_time=0.12 s；heading/cross_track增益均为0.8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路线与其余设置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line_search_level=2；predict_pose=false；speed_recovery_hold=0.0 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保留保护</w:t>
            </w:r>
          </w:p>
        </w:tc>
        <w:tc>
          <w:tcPr>
            <w:tcW w:type="dxa" w:w="7200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max_speed=10 m/s上限；response_delay=0.25 s；净空0.34 m；墙距0.23 m；偏差0.15 m</w:t>
            </w:r>
          </w:p>
        </w:tc>
      </w:tr>
    </w:tbl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上述参数为复现实验配置，不代表已校准的物理极限。正式试验先核对运行参数、节点唯一性与参考路线指纹，再静止prepare、等待转向就绪、由裁判准备并调用一次start。裁判锁定5/5后stop保存报告；发生碰撞、翻车或保护停车立即终止该轮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112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12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图6 仿真验证与证据核验流程图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6.2 测试场景与指标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直道测试加速、实测速度和指令跟随；弯道测试入口速度、最低速度、恢复时间及参考偏差；静态障碍测试净空可行性、雷达限速与停车；跨圈和五圈测试连续性、官方有效圈数和总时间。反馈失效、时钟回退及非有限数据通过开发测试覆盖。行业配送测试【待补充验证】，需另行验证装载、到站和交接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6.3 已有验证结果与证据层级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231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证据类型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可引用结果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解释及限制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历史裁判截图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5/5；87.546 s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各圈19.224／16.963／17.082／17.044／17.233 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当前团队报告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最快有效五圈72 s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对应官方原件、各圈及本轮遥测【待补充验证】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历史Gazebo报告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五个参考闭环96.630／94.231／92.679 s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旧预算下三组单次试验；均last_fault=null；非官方成绩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当前假设模型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150 ms响应、20 ms位姿年龄：73.32／71.30 s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定位补偿关／开；模型非Gazebo，不能证明实测收益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模型反例</w:t>
            </w:r>
          </w:p>
        </w:tc>
        <w:tc>
          <w:tcPr>
            <w:tcW w:type="dxa" w:w="323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80 ms响应、20 ms位姿年龄：69.48／72.78 s</w:t>
            </w:r>
          </w:p>
        </w:tc>
        <w:tc>
          <w:tcPr>
            <w:tcW w:type="dxa" w:w="4195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补偿反而变慢，不能宣称普遍有效</w:t>
            </w:r>
          </w:p>
        </w:tc>
      </w:tr>
    </w:tbl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历史Gazebo报告最大参考偏差依次为0.1322、0.1114、0.1135米，单次结果不能证明稳定完赛率。仓库当前模型报告标记gazebo_tested=false、official_under_60_verified=false；这不否定旧版Gazebo测试，但说明新配置尚缺相同层级的物理仿真证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6.4 最终实测记录要求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待最终实测填入】本轮官方五圈时间、各圈时间、碰撞与翻车观察、last_fault、最大偏差及周期耗时。控制报告始终保留official_result=false；官方有效性须以裁判绑定、合规环境和原始结果核验，不手动修改该字段。reason、道路、阶段、圈别统计存在交叉归属，不简单相加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七 技术创新点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第一，针对最短路径未必最快的问题，将模型速度约束纳入可行路线比较，形成路线与速度联合优化。第二，针对响应余量重复限速的问题，将延迟制动写入闭环空间包络，并以实测超速量补充在线预瞄。第三，针对首弯转向未就绪和跨圈重复起步的问题，组合静止准备、实测转向核验与一次性启动释放。上述特点属于现有模块的竞速工程改进，实际收益仍按相同预算对照验证，不作原创算法或领先性声明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八 从竞速系统到实际应用的技术迁移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RoboRacer作为高动态自主移动技术验证平台，检验路线连续性、弯道跟踪、响应距离和运行保护。迁移至园区配送后，整圈赛道改为固定站点巡回路线，模型速度评分改为任务通行时间与停站成本评估，路线走廊检查用于临时障碍前停车，运行报告用于任务异常追溯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规划实现】建立独立行业车模与配送世界，增加任务状态机、站点管理和人工交接接口。状态链为待命、装载确认、导航、到站停车、交接、返回；异常转入停止与人工处理。行业初始测试限速目标为直道不高于1.2米/秒、弯道不高于0.8米/秒，仍须依据载荷和制动校准确定。任务成功率目标≥95%、到站纵向误差目标≤0.20米，均为设计验收值，尚无实测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九 工程实现与落地方案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9.1 软件部署与计算平台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仿真采用catkin工作空间部署Python规划控制模块和ROS节点，启动后核对包路径和参数，避免旧工作空间覆盖。实车计算平台【待补充验证】，可按算力、接口和供电约束选型；仓库列举的Jetson系列不等于本队已经装备。部署前核对ROS依赖、权限、驱动版本和传感器TF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9.2 实车接口与迁移条件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仓库包含TianBoard串口协议源码、激光与相机驱动入口、IMU滤波和里程计EKF配置；当前core launch实际调用外部tianbot_core。实车通过AckermannDrive对接底盘，需核对转角单位、轮距、轴距及反馈接口。通用cmd_vel转换器将angular.z解释为角速度，与当前竞速转角语义不同；应设计专用桥接并加入命令过期停车，不直接串接或沿用无限重发缓存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9.3 独立建模与验证步骤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规划实现】团队自行建立配送车URDF、载荷惯量、碰撞几何及Gazebo场景，记录模型来源和建模过程。先验证低速直行与零速转向，再测转向、制动和反馈延迟；之后开展固定站点任务、障碍停车及连续任务测试。官方竞速模型只作为指定验证平台，不作为团队自主行业建模成果；公共软件和模型按原许可证引用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实车验收前测量车辆外形、轴距、驱动电机数、电池和雷达规格，并对照规则检录。仿真里程计适配器以Gazebo link_states生成反馈，属于现有仿真链路；实车必须更换为底盘里程计及相应定位反馈，且需核对官方仿真适配器的允许版本。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6"/>
        </w:rPr>
        <w:t>十 预期应用价值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10.1 技术与工程价值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系统将路线生成、速度约束和转向反馈组合为可检查的连续闭环，便于定位效率损失发生在规划、执行器或定位环节。将复杂搜索移至静止阶段，并保留运行故障和周期诊断，有助于在有限算力条件下调试和复现。不同控制入口的明确隔离，也为课程实验和算法对照提供工程基础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10.2 应用价值与推广边界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在固定站点、通行区域可管理的园区，预期以自主运输减少人员重复往返，并通过任务状态和运行记录支持后勤调度。收益需与人工配送对照，以任务总时长、人工介入次数、空驶距离、能耗和故障恢复时间评价。当前没有客户订单、商业收入或成本节约实测，不给出投资回报率承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10.3 落地验收与阶段安排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798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阶段</w:t>
            </w:r>
          </w:p>
        </w:tc>
        <w:tc>
          <w:tcPr>
            <w:tcW w:type="dxa" w:w="37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工作内容</w:t>
            </w:r>
          </w:p>
        </w:tc>
        <w:tc>
          <w:tcPr>
            <w:tcW w:type="dxa" w:w="396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验收证据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竞速复验</w:t>
            </w:r>
          </w:p>
        </w:tc>
        <w:tc>
          <w:tcPr>
            <w:tcW w:type="dxa" w:w="37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保留最快有效配置，单变量对照</w:t>
            </w:r>
          </w:p>
        </w:tc>
        <w:tc>
          <w:tcPr>
            <w:tcW w:type="dxa" w:w="396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官方5/5、原始时间、无碰撞翻车及保护停车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行业建模</w:t>
            </w:r>
          </w:p>
        </w:tc>
        <w:tc>
          <w:tcPr>
            <w:tcW w:type="dxa" w:w="37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独立车模、配送通道与固定站点</w:t>
            </w:r>
          </w:p>
        </w:tc>
        <w:tc>
          <w:tcPr>
            <w:tcW w:type="dxa" w:w="396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URDF／世界文件、建模说明、仿真截图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业务接入</w:t>
            </w:r>
          </w:p>
        </w:tc>
        <w:tc>
          <w:tcPr>
            <w:tcW w:type="dxa" w:w="37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任务状态机、停站和人工交接</w:t>
            </w:r>
          </w:p>
        </w:tc>
        <w:tc>
          <w:tcPr>
            <w:tcW w:type="dxa" w:w="396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任务日志、到站误差、异常处理记录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低速实车</w:t>
            </w:r>
          </w:p>
        </w:tc>
        <w:tc>
          <w:tcPr>
            <w:tcW w:type="dxa" w:w="3798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底盘桥接、反馈校准、载荷制动</w:t>
            </w:r>
          </w:p>
        </w:tc>
        <w:tc>
          <w:tcPr>
            <w:tcW w:type="dxa" w:w="3969"/>
            <w:vAlign w:val="center"/>
            <w:tcMar>
              <w:top w:w="50" w:type="dxa"/>
              <w:bottom w:w="50" w:type="dxa"/>
              <w:left w:w="95" w:type="dxa"/>
              <w:right w:w="95" w:type="dxa"/>
            </w:tcMar>
          </w:tcPr>
          <w:p>
            <w:pPr>
              <w:spacing w:after="0" w:before="0" w:line="310" w:lineRule="exact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配置清单、实车照片、制动及反馈测试报告</w:t>
            </w:r>
          </w:p>
        </w:tc>
      </w:tr>
    </w:tbl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本方案以已有竞速规划与控制为基础，将成熟的通行闭环逐步迁移至低速配送任务。下一阶段应优先补齐官方成绩原件、独立行业模型和任务演示证据，再依据验证结果确定产品运行边界。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2"/>
        </w:rPr>
        <w:t>参考资料</w:t>
      </w:r>
    </w:p>
    <w:p>
      <w:pPr>
        <w:ind w:firstLine="0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[1] 组委会发11号通知，作品提交要求与评审说明，第2—5、7页。</w:t>
      </w:r>
    </w:p>
    <w:p>
      <w:pPr>
        <w:ind w:firstLine="0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[2] RoboRacer无人车竞速赛竞赛规则，初赛平台、五圈判定及实车限制。</w:t>
      </w:r>
    </w:p>
    <w:p>
      <w:pPr>
        <w:ind w:firstLine="0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[3] taylorcelia571-maker/111，main快照9d7af98d；规划、跟踪、接口与验证代码。</w:t>
      </w:r>
    </w:p>
    <w:p>
      <w:pPr>
        <w:ind w:firstLine="0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[4] USER72_CURRENT_TUNING_CN.md、USER72_CURRENT_MODEL_RESULTS.json、GAZEBO_STARTUP_RESULTS.json及对应说明。</w:t>
      </w:r>
    </w:p>
    <w:p>
      <w:pPr>
        <w:ind w:firstLine="0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[5] Tianbot Tianracer、HyphaROS RaceCar及Lord-Z ackermann_gazebo，平台与资源来源；仓库根LICENSE为GPLv3，个别包许可证字段尚需核对。</w:t>
      </w:r>
    </w:p>
    <w:sectPr w:rsidR="00FC693F" w:rsidRPr="0006063C" w:rsidSect="00034616">
      <w:footerReference w:type="default" r:id="rId9"/>
      <w:pgSz w:w="11906" w:h="16838"/>
      <w:pgMar w:top="1077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宋体" w:hAnsi="宋体" w:eastAsia="宋体" w:cs="宋体"/>
        <w:b w:val="0"/>
        <w:i w:val="0"/>
        <w:color w:val="000000"/>
        <w:sz w:val="24"/>
      </w:rPr>
      <w:t xml:space="preserve">第 </w:t>
    </w:r>
    <w:r>
      <w:rPr>
        <w:rFonts w:ascii="宋体" w:hAnsi="宋体" w:eastAsia="宋体" w:cs="宋体"/>
        <w:b w:val="0"/>
        <w:i w:val="0"/>
        <w:color w:val="000000"/>
        <w:sz w:val="24"/>
      </w:rPr>
    </w:r>
    <w:fldSimple w:instr="PAGE">
      <w:r>
        <w:rPr>
          <w:rFonts w:ascii="宋体" w:hAnsi="宋体" w:eastAsia="宋体" w:cs="宋体"/>
          <w:color w:val="000000"/>
          <w:sz w:val="24"/>
        </w:rPr>
        <w:t>1</w:t>
      </w:r>
    </w:fldSimple>
    <w:r>
      <w:rPr>
        <w:rFonts w:ascii="宋体" w:hAnsi="宋体" w:eastAsia="宋体" w:cs="宋体"/>
        <w:b w:val="0"/>
        <w:i w:val="0"/>
        <w:color w:val="000000"/>
        <w:sz w:val="24"/>
      </w:rPr>
      <w:t xml:space="preserve"> 页  共 </w:t>
    </w:r>
    <w:r>
      <w:rPr>
        <w:rFonts w:ascii="宋体" w:hAnsi="宋体" w:eastAsia="宋体" w:cs="宋体"/>
        <w:b w:val="0"/>
        <w:i w:val="0"/>
        <w:color w:val="000000"/>
        <w:sz w:val="24"/>
      </w:rPr>
    </w:r>
    <w:fldSimple w:instr="NUMPAGES">
      <w:r>
        <w:rPr>
          <w:rFonts w:ascii="宋体" w:hAnsi="宋体" w:eastAsia="宋体" w:cs="宋体"/>
          <w:color w:val="000000"/>
          <w:sz w:val="24"/>
        </w:rPr>
        <w:t>10</w:t>
      </w:r>
    </w:fldSimple>
    <w:r>
      <w:rPr>
        <w:rFonts w:ascii="宋体" w:hAnsi="宋体" w:eastAsia="宋体" w:cs="宋体"/>
        <w:b w:val="0"/>
        <w:i w:val="0"/>
        <w:color w:val="000000"/>
        <w:sz w:val="24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100"/>
      <w:ind w:firstLine="420"/>
    </w:pPr>
    <w:rPr>
      <w:rFonts w:ascii="宋体" w:hAnsi="宋体" w:eastAsia="宋体" w:cs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460" w:lineRule="exact"/>
      <w:ind w:firstLine="0"/>
      <w:outlineLvl w:val="0"/>
    </w:pPr>
    <w:rPr>
      <w:rFonts w:ascii="宋体" w:hAnsi="宋体" w:eastAsia="宋体" w:cs="宋体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420" w:lineRule="exact"/>
      <w:ind w:firstLine="0"/>
      <w:outlineLvl w:val="1"/>
    </w:pPr>
    <w:rPr>
      <w:rFonts w:ascii="宋体" w:hAnsi="宋体" w:eastAsia="宋体" w:cs="宋体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80" w:lineRule="exact"/>
      <w:ind w:firstLine="0"/>
      <w:outlineLvl w:val="2"/>
    </w:pPr>
    <w:rPr>
      <w:rFonts w:ascii="宋体" w:hAnsi="宋体" w:eastAsia="宋体" w:cs="宋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40" w:lineRule="exact"/>
      <w:ind w:firstLine="0"/>
      <w:contextualSpacing/>
    </w:pPr>
    <w:rPr>
      <w:rFonts w:ascii="宋体" w:hAnsi="宋体" w:eastAsia="宋体" w:cs="宋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60" w:lineRule="exact" w:after="100"/>
      <w:ind w:firstLine="0"/>
    </w:pPr>
    <w:rPr>
      <w:rFonts w:ascii="宋体" w:hAnsi="宋体" w:eastAsia="宋体" w:cs="宋体"/>
      <w:b/>
      <w:i w:val="0"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50" w:lineRule="exact" w:after="100"/>
      <w:ind w:firstLine="0"/>
    </w:pPr>
    <w:rPr>
      <w:rFonts w:ascii="宋体" w:hAnsi="宋体" w:eastAsia="宋体" w:cs="宋体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面向封闭园区轻型物资配送的自主无人车系统 产品技术方案书</dc:title>
  <dc:subject>2026年iCAN RoboRacer初赛提交内容2</dc:subject>
  <dc:creator>xxxxxxxxx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