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Website Structure &amp; Development Outline</w:t>
      </w:r>
    </w:p>
    <w:p>
      <w:r>
        <w:rPr>
          <w:b/>
        </w:rPr>
        <w:t xml:space="preserve">Prepared for: </w:t>
      </w:r>
      <w:r>
        <w:t>Calan Bryant / The Pocket Dance Conference</w:t>
      </w:r>
    </w:p>
    <w:p>
      <w:r>
        <w:t>This document outlines the recommended website structure, navigation, branding direction, content sections, and development goals for both the Calan Bryant brand and The Pocket: Dance Conference.</w:t>
      </w:r>
    </w:p>
    <w:p>
      <w:pPr>
        <w:pStyle w:val="Heading2"/>
      </w:pPr>
      <w:r>
        <w:t>1. Overall Website Structure</w:t>
      </w:r>
    </w:p>
    <w:p>
      <w:pPr>
        <w:pStyle w:val="ListBullet"/>
      </w:pPr>
      <w:r>
        <w:rPr>
          <w:sz w:val="22"/>
        </w:rPr>
        <w:t>Primary Navigation: Home, About, Services, Media, The Pocket, Shop (Optional), Contact</w:t>
      </w:r>
    </w:p>
    <w:p>
      <w:pPr>
        <w:pStyle w:val="ListBullet"/>
      </w:pPr>
      <w:r>
        <w:rPr>
          <w:sz w:val="22"/>
        </w:rPr>
        <w:t>Site should support both Calan Bryant personal brand and The Pocket conference brand.</w:t>
      </w:r>
    </w:p>
    <w:p>
      <w:pPr>
        <w:pStyle w:val="ListBullet"/>
      </w:pPr>
      <w:r>
        <w:rPr>
          <w:sz w:val="22"/>
        </w:rPr>
        <w:t>Modern cinematic aesthetic with mobile optimization.</w:t>
      </w:r>
    </w:p>
    <w:p>
      <w:pPr>
        <w:pStyle w:val="ListBullet"/>
      </w:pPr>
      <w:r>
        <w:rPr>
          <w:sz w:val="22"/>
        </w:rPr>
        <w:t>Video-ready homepage with fast load performance.</w:t>
      </w:r>
    </w:p>
    <w:p>
      <w:pPr>
        <w:pStyle w:val="Heading2"/>
      </w:pPr>
      <w:r>
        <w:t>2. Homepage</w:t>
      </w:r>
    </w:p>
    <w:p>
      <w:pPr>
        <w:pStyle w:val="ListBullet"/>
      </w:pPr>
      <w:r>
        <w:rPr>
          <w:sz w:val="22"/>
        </w:rPr>
        <w:t>Hero Banner with choreography/performance footage and strong headline.</w:t>
      </w:r>
    </w:p>
    <w:p>
      <w:pPr>
        <w:pStyle w:val="ListBullet"/>
      </w:pPr>
      <w:r>
        <w:rPr>
          <w:sz w:val="22"/>
        </w:rPr>
        <w:t>Call-to-action buttons: Book Calan, Explore The Pocket, Watch Reel.</w:t>
      </w:r>
    </w:p>
    <w:p>
      <w:pPr>
        <w:pStyle w:val="ListBullet"/>
      </w:pPr>
      <w:r>
        <w:rPr>
          <w:sz w:val="22"/>
        </w:rPr>
        <w:t>Short professional bio with industry credits.</w:t>
      </w:r>
    </w:p>
    <w:p>
      <w:pPr>
        <w:pStyle w:val="ListBullet"/>
      </w:pPr>
      <w:r>
        <w:rPr>
          <w:sz w:val="22"/>
        </w:rPr>
        <w:t>Featured work gallery/carousel.</w:t>
      </w:r>
    </w:p>
    <w:p>
      <w:pPr>
        <w:pStyle w:val="ListBullet"/>
      </w:pPr>
      <w:r>
        <w:rPr>
          <w:sz w:val="22"/>
        </w:rPr>
        <w:t>Services overview section.</w:t>
      </w:r>
    </w:p>
    <w:p>
      <w:pPr>
        <w:pStyle w:val="ListBullet"/>
      </w:pPr>
      <w:r>
        <w:rPr>
          <w:sz w:val="22"/>
        </w:rPr>
        <w:t>Preview section for The Pocket conference.</w:t>
      </w:r>
    </w:p>
    <w:p>
      <w:pPr>
        <w:pStyle w:val="ListBullet"/>
      </w:pPr>
      <w:r>
        <w:rPr>
          <w:sz w:val="22"/>
        </w:rPr>
        <w:t>Testimonials section.</w:t>
      </w:r>
    </w:p>
    <w:p>
      <w:pPr>
        <w:pStyle w:val="ListBullet"/>
      </w:pPr>
      <w:r>
        <w:rPr>
          <w:sz w:val="22"/>
        </w:rPr>
        <w:t>Footer with social media, booking email, newsletter signup.</w:t>
      </w:r>
    </w:p>
    <w:p>
      <w:pPr>
        <w:pStyle w:val="Heading2"/>
      </w:pPr>
      <w:r>
        <w:t>3. About Calan Section</w:t>
      </w:r>
    </w:p>
    <w:p>
      <w:pPr>
        <w:pStyle w:val="ListBullet"/>
      </w:pPr>
      <w:r>
        <w:rPr>
          <w:sz w:val="22"/>
        </w:rPr>
        <w:t>Long-form biography.</w:t>
      </w:r>
    </w:p>
    <w:p>
      <w:pPr>
        <w:pStyle w:val="ListBullet"/>
      </w:pPr>
      <w:r>
        <w:rPr>
          <w:sz w:val="22"/>
        </w:rPr>
        <w:t>Professional resume/CV downloads.</w:t>
      </w:r>
    </w:p>
    <w:p>
      <w:pPr>
        <w:pStyle w:val="ListBullet"/>
      </w:pPr>
      <w:r>
        <w:rPr>
          <w:sz w:val="22"/>
        </w:rPr>
        <w:t>Teaching philosophy section.</w:t>
      </w:r>
    </w:p>
    <w:p>
      <w:pPr>
        <w:pStyle w:val="ListBullet"/>
      </w:pPr>
      <w:r>
        <w:rPr>
          <w:sz w:val="22"/>
        </w:rPr>
        <w:t>Press and media features.</w:t>
      </w:r>
    </w:p>
    <w:p>
      <w:pPr>
        <w:pStyle w:val="ListBullet"/>
      </w:pPr>
      <w:r>
        <w:rPr>
          <w:sz w:val="22"/>
        </w:rPr>
        <w:t>Client and collaborator list.</w:t>
      </w:r>
    </w:p>
    <w:p>
      <w:pPr>
        <w:pStyle w:val="Heading2"/>
      </w:pPr>
      <w:r>
        <w:t>4. Services Section</w:t>
      </w:r>
    </w:p>
    <w:p>
      <w:pPr>
        <w:pStyle w:val="ListBullet"/>
      </w:pPr>
      <w:r>
        <w:rPr>
          <w:sz w:val="22"/>
        </w:rPr>
        <w:t>Choreography services.</w:t>
      </w:r>
    </w:p>
    <w:p>
      <w:pPr>
        <w:pStyle w:val="ListBullet"/>
      </w:pPr>
      <w:r>
        <w:rPr>
          <w:sz w:val="22"/>
        </w:rPr>
        <w:t>Creative direction services.</w:t>
      </w:r>
    </w:p>
    <w:p>
      <w:pPr>
        <w:pStyle w:val="ListBullet"/>
      </w:pPr>
      <w:r>
        <w:rPr>
          <w:sz w:val="22"/>
        </w:rPr>
        <w:t>Workshops and masterclasses.</w:t>
      </w:r>
    </w:p>
    <w:p>
      <w:pPr>
        <w:pStyle w:val="ListBullet"/>
      </w:pPr>
      <w:r>
        <w:rPr>
          <w:sz w:val="22"/>
        </w:rPr>
        <w:t>Educational programming and school residencies.</w:t>
      </w:r>
    </w:p>
    <w:p>
      <w:pPr>
        <w:pStyle w:val="ListBullet"/>
      </w:pPr>
      <w:r>
        <w:rPr>
          <w:sz w:val="22"/>
        </w:rPr>
        <w:t>Event production services.</w:t>
      </w:r>
    </w:p>
    <w:p>
      <w:pPr>
        <w:pStyle w:val="ListBullet"/>
      </w:pPr>
      <w:r>
        <w:rPr>
          <w:sz w:val="22"/>
        </w:rPr>
        <w:t>Booking inquiry form with budget/date/location fields.</w:t>
      </w:r>
    </w:p>
    <w:p>
      <w:pPr>
        <w:pStyle w:val="Heading2"/>
      </w:pPr>
      <w:r>
        <w:t>5. Media Section</w:t>
      </w:r>
    </w:p>
    <w:p>
      <w:pPr>
        <w:pStyle w:val="ListBullet"/>
      </w:pPr>
      <w:r>
        <w:rPr>
          <w:sz w:val="22"/>
        </w:rPr>
        <w:t>Performance reel/video embeds.</w:t>
      </w:r>
    </w:p>
    <w:p>
      <w:pPr>
        <w:pStyle w:val="ListBullet"/>
      </w:pPr>
      <w:r>
        <w:rPr>
          <w:sz w:val="22"/>
        </w:rPr>
        <w:t>Photo gallery organized by category.</w:t>
      </w:r>
    </w:p>
    <w:p>
      <w:pPr>
        <w:pStyle w:val="ListBullet"/>
      </w:pPr>
      <w:r>
        <w:rPr>
          <w:sz w:val="22"/>
        </w:rPr>
        <w:t>Stage concepts and visual renderings.</w:t>
      </w:r>
    </w:p>
    <w:p>
      <w:pPr>
        <w:pStyle w:val="ListBullet"/>
      </w:pPr>
      <w:r>
        <w:rPr>
          <w:sz w:val="22"/>
        </w:rPr>
        <w:t>Behind-the-scenes media.</w:t>
      </w:r>
    </w:p>
    <w:p>
      <w:pPr>
        <w:pStyle w:val="Heading2"/>
      </w:pPr>
      <w:r>
        <w:t>6. The Pocket Conference Section</w:t>
      </w:r>
    </w:p>
    <w:p>
      <w:pPr>
        <w:pStyle w:val="ListBullet"/>
      </w:pPr>
      <w:r>
        <w:rPr>
          <w:sz w:val="22"/>
        </w:rPr>
        <w:t>Dedicated branded landing page.</w:t>
      </w:r>
    </w:p>
    <w:p>
      <w:pPr>
        <w:pStyle w:val="ListBullet"/>
      </w:pPr>
      <w:r>
        <w:rPr>
          <w:sz w:val="22"/>
        </w:rPr>
        <w:t>Mission statement and conference vision.</w:t>
      </w:r>
    </w:p>
    <w:p>
      <w:pPr>
        <w:pStyle w:val="ListBullet"/>
      </w:pPr>
      <w:r>
        <w:rPr>
          <w:sz w:val="22"/>
        </w:rPr>
        <w:t>Conference experience breakdown.</w:t>
      </w:r>
    </w:p>
    <w:p>
      <w:pPr>
        <w:pStyle w:val="ListBullet"/>
      </w:pPr>
      <w:r>
        <w:rPr>
          <w:sz w:val="22"/>
        </w:rPr>
        <w:t>Faculty and guest artist bios.</w:t>
      </w:r>
    </w:p>
    <w:p>
      <w:pPr>
        <w:pStyle w:val="ListBullet"/>
      </w:pPr>
      <w:r>
        <w:rPr>
          <w:sz w:val="22"/>
        </w:rPr>
        <w:t>Schedule section.</w:t>
      </w:r>
    </w:p>
    <w:p>
      <w:pPr>
        <w:pStyle w:val="ListBullet"/>
      </w:pPr>
      <w:r>
        <w:rPr>
          <w:sz w:val="22"/>
        </w:rPr>
        <w:t>Registration and pricing section.</w:t>
      </w:r>
    </w:p>
    <w:p>
      <w:pPr>
        <w:pStyle w:val="ListBullet"/>
      </w:pPr>
      <w:r>
        <w:rPr>
          <w:sz w:val="22"/>
        </w:rPr>
        <w:t>Sponsorship information and downloadable sponsorship deck.</w:t>
      </w:r>
    </w:p>
    <w:p>
      <w:pPr>
        <w:pStyle w:val="ListBullet"/>
      </w:pPr>
      <w:r>
        <w:rPr>
          <w:sz w:val="22"/>
        </w:rPr>
        <w:t>Gallery and recap media.</w:t>
      </w:r>
    </w:p>
    <w:p>
      <w:pPr>
        <w:pStyle w:val="ListBullet"/>
      </w:pPr>
      <w:r>
        <w:rPr>
          <w:sz w:val="22"/>
        </w:rPr>
        <w:t>FAQ section.</w:t>
      </w:r>
    </w:p>
    <w:p>
      <w:pPr>
        <w:pStyle w:val="Heading2"/>
      </w:pPr>
      <w:r>
        <w:t>7. Shop Section (Optional Future Feature)</w:t>
      </w:r>
    </w:p>
    <w:p>
      <w:pPr>
        <w:pStyle w:val="ListBullet"/>
      </w:pPr>
      <w:r>
        <w:rPr>
          <w:sz w:val="22"/>
        </w:rPr>
        <w:t>Merchandise.</w:t>
      </w:r>
    </w:p>
    <w:p>
      <w:pPr>
        <w:pStyle w:val="ListBullet"/>
      </w:pPr>
      <w:r>
        <w:rPr>
          <w:sz w:val="22"/>
        </w:rPr>
        <w:t>Digital classes/workshops.</w:t>
      </w:r>
    </w:p>
    <w:p>
      <w:pPr>
        <w:pStyle w:val="ListBullet"/>
      </w:pPr>
      <w:r>
        <w:rPr>
          <w:sz w:val="22"/>
        </w:rPr>
        <w:t>Choreography packs.</w:t>
      </w:r>
    </w:p>
    <w:p>
      <w:pPr>
        <w:pStyle w:val="ListBullet"/>
      </w:pPr>
      <w:r>
        <w:rPr>
          <w:sz w:val="22"/>
        </w:rPr>
        <w:t>Mentorship opportunities.</w:t>
      </w:r>
    </w:p>
    <w:p>
      <w:pPr>
        <w:pStyle w:val="Heading2"/>
      </w:pPr>
      <w:r>
        <w:t>8. Contact Section</w:t>
      </w:r>
    </w:p>
    <w:p>
      <w:pPr>
        <w:pStyle w:val="ListBullet"/>
      </w:pPr>
      <w:r>
        <w:rPr>
          <w:sz w:val="22"/>
        </w:rPr>
        <w:t>General inquiries.</w:t>
      </w:r>
    </w:p>
    <w:p>
      <w:pPr>
        <w:pStyle w:val="ListBullet"/>
      </w:pPr>
      <w:r>
        <w:rPr>
          <w:sz w:val="22"/>
        </w:rPr>
        <w:t>Booking inquiries.</w:t>
      </w:r>
    </w:p>
    <w:p>
      <w:pPr>
        <w:pStyle w:val="ListBullet"/>
      </w:pPr>
      <w:r>
        <w:rPr>
          <w:sz w:val="22"/>
        </w:rPr>
        <w:t>Sponsorship inquiries.</w:t>
      </w:r>
    </w:p>
    <w:p>
      <w:pPr>
        <w:pStyle w:val="ListBullet"/>
      </w:pPr>
      <w:r>
        <w:rPr>
          <w:sz w:val="22"/>
        </w:rPr>
        <w:t>Media/press inquiries.</w:t>
      </w:r>
    </w:p>
    <w:p>
      <w:pPr>
        <w:pStyle w:val="Heading2"/>
      </w:pPr>
      <w:r>
        <w:t>9. Visual Branding Direction</w:t>
      </w:r>
    </w:p>
    <w:p>
      <w:pPr>
        <w:pStyle w:val="ListBullet"/>
      </w:pPr>
      <w:r>
        <w:rPr>
          <w:sz w:val="22"/>
        </w:rPr>
        <w:t>Calan Bryant brand: cinematic, editorial, black/white/charcoal aesthetic.</w:t>
      </w:r>
    </w:p>
    <w:p>
      <w:pPr>
        <w:pStyle w:val="ListBullet"/>
      </w:pPr>
      <w:r>
        <w:rPr>
          <w:sz w:val="22"/>
        </w:rPr>
        <w:t>The Pocket brand: energetic, textured, youth culture-inspired visual language.</w:t>
      </w:r>
    </w:p>
    <w:p>
      <w:pPr>
        <w:pStyle w:val="ListBullet"/>
      </w:pPr>
      <w:r>
        <w:rPr>
          <w:sz w:val="22"/>
        </w:rPr>
        <w:t>Use strong typography and immersive visuals throughout.</w:t>
      </w:r>
    </w:p>
    <w:p>
      <w:pPr>
        <w:pStyle w:val="Heading2"/>
      </w:pPr>
      <w:r>
        <w:t>10. Recommended Features</w:t>
      </w:r>
    </w:p>
    <w:p>
      <w:pPr>
        <w:pStyle w:val="ListBullet"/>
      </w:pPr>
      <w:r>
        <w:rPr>
          <w:sz w:val="22"/>
        </w:rPr>
        <w:t>Fully responsive mobile design.</w:t>
      </w:r>
    </w:p>
    <w:p>
      <w:pPr>
        <w:pStyle w:val="ListBullet"/>
      </w:pPr>
      <w:r>
        <w:rPr>
          <w:sz w:val="22"/>
        </w:rPr>
        <w:t>Embedded video support.</w:t>
      </w:r>
    </w:p>
    <w:p>
      <w:pPr>
        <w:pStyle w:val="ListBullet"/>
      </w:pPr>
      <w:r>
        <w:rPr>
          <w:sz w:val="22"/>
        </w:rPr>
        <w:t>Integrated social media.</w:t>
      </w:r>
    </w:p>
    <w:p>
      <w:pPr>
        <w:pStyle w:val="ListBullet"/>
      </w:pPr>
      <w:r>
        <w:rPr>
          <w:sz w:val="22"/>
        </w:rPr>
        <w:t>Newsletter/email marketing integration.</w:t>
      </w:r>
    </w:p>
    <w:p>
      <w:pPr>
        <w:pStyle w:val="ListBullet"/>
      </w:pPr>
      <w:r>
        <w:rPr>
          <w:sz w:val="22"/>
        </w:rPr>
        <w:t>Potential future member portal.</w:t>
      </w:r>
    </w:p>
    <w:p>
      <w:pPr>
        <w:pStyle w:val="ListBullet"/>
      </w:pPr>
      <w:r>
        <w:rPr>
          <w:sz w:val="22"/>
        </w:rPr>
        <w:t>Blog or journal functionality.</w:t>
      </w:r>
    </w:p>
    <w:p>
      <w:pPr>
        <w:pStyle w:val="ListBullet"/>
      </w:pPr>
      <w:r>
        <w:rPr>
          <w:sz w:val="22"/>
        </w:rPr>
        <w:t>Interactive workshop/event map.</w:t>
      </w:r>
    </w:p>
    <w:p>
      <w:pPr>
        <w:pStyle w:val="Heading2"/>
      </w:pPr>
      <w:r>
        <w:t>Developer Notes</w:t>
      </w:r>
    </w:p>
    <w:p>
      <w:pPr>
        <w:pStyle w:val="ListBullet"/>
      </w:pPr>
      <w:r>
        <w:t>Website should prioritize clean navigation and visual storytelling.</w:t>
      </w:r>
    </w:p>
    <w:p>
      <w:pPr>
        <w:pStyle w:val="ListBullet"/>
      </w:pPr>
      <w:r>
        <w:t>Backend should allow easy updating of events, galleries, and faculty.</w:t>
      </w:r>
    </w:p>
    <w:p>
      <w:pPr>
        <w:pStyle w:val="ListBullet"/>
      </w:pPr>
      <w:r>
        <w:t>Homepage video should be optimized for performance.</w:t>
      </w:r>
    </w:p>
    <w:p>
      <w:pPr>
        <w:pStyle w:val="ListBullet"/>
      </w:pPr>
      <w:r>
        <w:t>Site should be scalable for future expansion of The Pocket brand.</w:t>
      </w:r>
    </w:p>
    <w:p>
      <w:pPr>
        <w:pStyle w:val="ListBullet"/>
      </w:pPr>
      <w:r>
        <w:t>Include strong SEO structure for dance education, choreography, and creative direction keywords.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