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ISPOR</w:t>
      </w:r>
      <w:r>
        <w:t xml:space="preserve"> </w:t>
      </w:r>
      <w:r>
        <w:t xml:space="preserve">Europe</w:t>
      </w:r>
      <w:r>
        <w:t xml:space="preserve"> </w:t>
      </w:r>
      <w:r>
        <w:t xml:space="preserve">2021: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goals</w:t>
      </w:r>
      <w:r>
        <w:t xml:space="preserve"> </w:t>
      </w:r>
      <w:r>
        <w:t xml:space="preserve">vs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attainment</w:t>
      </w:r>
      <w:r>
        <w:t xml:space="preserve"> </w:t>
      </w:r>
      <w:r>
        <w:t xml:space="preserve">levels</w:t>
      </w:r>
    </w:p>
    <w:bookmarkStart w:id="20" w:name="important-dates"/>
    <w:p>
      <w:pPr>
        <w:pStyle w:val="Heading1"/>
      </w:pPr>
      <w:r>
        <w:t xml:space="preserve">Important dates</w:t>
      </w:r>
    </w:p>
    <w:p>
      <w:pPr>
        <w:numPr>
          <w:ilvl w:val="0"/>
          <w:numId w:val="1001"/>
        </w:numPr>
        <w:pStyle w:val="Compact"/>
      </w:pPr>
      <w:r>
        <w:t xml:space="preserve">Deadline: Tuesday, June 29 2021</w:t>
      </w:r>
    </w:p>
    <w:p>
      <w:pPr>
        <w:numPr>
          <w:ilvl w:val="0"/>
          <w:numId w:val="1001"/>
        </w:numPr>
        <w:pStyle w:val="Compact"/>
      </w:pPr>
      <w:r>
        <w:t xml:space="preserve">Acceptance notification: Tuesday, August 17 2021</w:t>
      </w:r>
    </w:p>
    <w:p>
      <w:pPr>
        <w:numPr>
          <w:ilvl w:val="0"/>
          <w:numId w:val="1001"/>
        </w:numPr>
        <w:pStyle w:val="Compact"/>
      </w:pPr>
      <w:r>
        <w:t xml:space="preserve">Conference: December 1-3 2021</w:t>
      </w:r>
    </w:p>
    <w:bookmarkEnd w:id="20"/>
    <w:bookmarkStart w:id="21" w:name="guidelines"/>
    <w:p>
      <w:pPr>
        <w:pStyle w:val="Heading1"/>
      </w:pPr>
      <w:r>
        <w:t xml:space="preserve">Guidelines</w:t>
      </w:r>
    </w:p>
    <w:p>
      <w:pPr>
        <w:numPr>
          <w:ilvl w:val="0"/>
          <w:numId w:val="1002"/>
        </w:numPr>
        <w:pStyle w:val="Compact"/>
      </w:pPr>
      <w:r>
        <w:t xml:space="preserve">Title in title case</w:t>
      </w:r>
    </w:p>
    <w:p>
      <w:pPr>
        <w:numPr>
          <w:ilvl w:val="0"/>
          <w:numId w:val="1002"/>
        </w:numPr>
        <w:pStyle w:val="Compact"/>
      </w:pPr>
      <w:r>
        <w:t xml:space="preserve">Study approach:</w:t>
      </w:r>
    </w:p>
    <w:p>
      <w:pPr>
        <w:numPr>
          <w:ilvl w:val="1"/>
          <w:numId w:val="1003"/>
        </w:numPr>
        <w:pStyle w:val="Compact"/>
      </w:pPr>
      <w:r>
        <w:t xml:space="preserve">Decision Modeling &amp; Simulation</w:t>
      </w:r>
    </w:p>
    <w:p>
      <w:pPr>
        <w:numPr>
          <w:ilvl w:val="0"/>
          <w:numId w:val="1002"/>
        </w:numPr>
        <w:pStyle w:val="Compact"/>
      </w:pPr>
      <w:r>
        <w:t xml:space="preserve">Choose a topics and subtopics, some relevant ones to this abstract:</w:t>
      </w:r>
    </w:p>
    <w:p>
      <w:pPr>
        <w:numPr>
          <w:ilvl w:val="1"/>
          <w:numId w:val="1004"/>
        </w:numPr>
        <w:pStyle w:val="Compact"/>
      </w:pPr>
      <w:r>
        <w:t xml:space="preserve">Clinical Outcomes</w:t>
      </w:r>
    </w:p>
    <w:p>
      <w:pPr>
        <w:numPr>
          <w:ilvl w:val="2"/>
          <w:numId w:val="1005"/>
        </w:numPr>
        <w:pStyle w:val="Compact"/>
      </w:pPr>
      <w:r>
        <w:t xml:space="preserve">Clinician Report Outcomes</w:t>
      </w:r>
    </w:p>
    <w:p>
      <w:pPr>
        <w:numPr>
          <w:ilvl w:val="1"/>
          <w:numId w:val="1004"/>
        </w:numPr>
        <w:pStyle w:val="Compact"/>
      </w:pPr>
      <w:r>
        <w:t xml:space="preserve">Methodological &amp; Statistical Research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Modeling &amp; Simulation</w:t>
      </w:r>
    </w:p>
    <w:p>
      <w:pPr>
        <w:numPr>
          <w:ilvl w:val="1"/>
          <w:numId w:val="1004"/>
        </w:numPr>
        <w:pStyle w:val="Compact"/>
      </w:pPr>
      <w:r>
        <w:t xml:space="preserve">Patient-Centered Research</w:t>
      </w:r>
    </w:p>
    <w:p>
      <w:pPr>
        <w:numPr>
          <w:ilvl w:val="2"/>
          <w:numId w:val="1007"/>
        </w:numPr>
        <w:pStyle w:val="Compact"/>
      </w:pPr>
      <w:r>
        <w:t xml:space="preserve">Stated Preference &amp; Patient Satisfaction</w:t>
      </w:r>
    </w:p>
    <w:p>
      <w:pPr>
        <w:numPr>
          <w:ilvl w:val="2"/>
          <w:numId w:val="1007"/>
        </w:numPr>
        <w:pStyle w:val="Compact"/>
      </w:pPr>
      <w:r>
        <w:t xml:space="preserve">Patient-reported Outcomes &amp; Quality of Life Outcomes</w:t>
      </w:r>
    </w:p>
    <w:p>
      <w:pPr>
        <w:numPr>
          <w:ilvl w:val="0"/>
          <w:numId w:val="1002"/>
        </w:numPr>
        <w:pStyle w:val="Compact"/>
      </w:pPr>
      <w:r>
        <w:t xml:space="preserve">Specific disease/specialized treatment area</w:t>
      </w:r>
    </w:p>
    <w:p>
      <w:pPr>
        <w:numPr>
          <w:ilvl w:val="1"/>
          <w:numId w:val="1008"/>
        </w:numPr>
        <w:pStyle w:val="Compact"/>
      </w:pPr>
      <w:r>
        <w:t xml:space="preserve">Can select up to 4 that best describes your research</w:t>
      </w:r>
    </w:p>
    <w:p>
      <w:pPr>
        <w:numPr>
          <w:ilvl w:val="1"/>
          <w:numId w:val="1008"/>
        </w:numPr>
        <w:pStyle w:val="Compact"/>
      </w:pPr>
      <w:r>
        <w:t xml:space="preserve">You can choose</w:t>
      </w:r>
      <w:r>
        <w:t xml:space="preserve"> </w:t>
      </w:r>
      <w:r>
        <w:t xml:space="preserve">“</w:t>
      </w:r>
      <w:r>
        <w:t xml:space="preserve">multiple</w:t>
      </w:r>
      <w:r>
        <w:t xml:space="preserve">”</w:t>
      </w:r>
      <w:r>
        <w:t xml:space="preserve"> </w:t>
      </w:r>
      <w:r>
        <w:t xml:space="preserve">if one choice does not apply</w:t>
      </w:r>
    </w:p>
    <w:p>
      <w:pPr>
        <w:numPr>
          <w:ilvl w:val="0"/>
          <w:numId w:val="1002"/>
        </w:numPr>
        <w:pStyle w:val="Compact"/>
      </w:pPr>
      <w:r>
        <w:t xml:space="preserve">300 words or fewer</w:t>
      </w:r>
    </w:p>
    <w:p>
      <w:pPr>
        <w:numPr>
          <w:ilvl w:val="0"/>
          <w:numId w:val="1002"/>
        </w:numPr>
        <w:pStyle w:val="Compact"/>
      </w:pPr>
      <w:r>
        <w:t xml:space="preserve">No tables or graphs</w:t>
      </w:r>
    </w:p>
    <w:p>
      <w:pPr>
        <w:numPr>
          <w:ilvl w:val="0"/>
          <w:numId w:val="1002"/>
        </w:numPr>
        <w:pStyle w:val="Compact"/>
      </w:pPr>
      <w:r>
        <w:t xml:space="preserve">Research presented at a previous ISPOR meeting is not allowed</w:t>
      </w:r>
    </w:p>
    <w:p>
      <w:r>
        <w:br w:type="page"/>
      </w:r>
    </w:p>
    <w:bookmarkEnd w:id="21"/>
    <w:bookmarkStart w:id="2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Title: Distributional assumptions of goal attainment scaling data: a simulation study</w:t>
      </w:r>
    </w:p>
    <w:p>
      <w:pPr>
        <w:pStyle w:val="BodyText"/>
      </w:pPr>
      <w:r>
        <w:t xml:space="preserve">Authors: Taylor, Justin, Kari, Sanja, Susan, Ken</w:t>
      </w:r>
    </w:p>
    <w:bookmarkStart w:id="22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Goal attainment scaling (GAS) is a patient-centric outcome measure that captures meaningful change through personally identified goals of treatment.</w:t>
      </w:r>
      <w:r>
        <w:t xml:space="preserve"> </w:t>
      </w:r>
      <w:r>
        <w:t xml:space="preserve">Typically, each patient sets a minimum of three goals, and for each goal a 5-point attainment scale is defined to describe possible outcomes, with the midpoint of the scale representing the</w:t>
      </w:r>
      <w:r>
        <w:t xml:space="preserve"> </w:t>
      </w:r>
      <w:r>
        <w:t xml:space="preserve">“</w:t>
      </w:r>
      <w:r>
        <w:t xml:space="preserve">expected outcome</w:t>
      </w:r>
      <w:r>
        <w:t xml:space="preserve">”</w:t>
      </w:r>
      <w:r>
        <w:t xml:space="preserve"> </w:t>
      </w:r>
      <w:r>
        <w:t xml:space="preserve">under the intervention.</w:t>
      </w:r>
      <w:r>
        <w:t xml:space="preserve"> </w:t>
      </w:r>
      <w:r>
        <w:t xml:space="preserve">A key assumption in traditional GAS analysis is that the distribution of scores on the scale approximate a normal distribution.</w:t>
      </w:r>
      <w:r>
        <w:t xml:space="preserve"> </w:t>
      </w:r>
      <w:r>
        <w:t xml:space="preserve">Using data simulation techniques, we investigated the implications of this assumption.</w:t>
      </w:r>
    </w:p>
    <w:bookmarkEnd w:id="22"/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employed a probabilistic latent variable model introduced by Urach et al. (2019) for generating GAS data.</w:t>
      </w:r>
      <w:r>
        <w:t xml:space="preserve"> </w:t>
      </w:r>
      <w:r>
        <w:t xml:space="preserve">We varied the number of subjects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(40, 60, 80; randomly allocated to control or treatment group with equal probability), the treatment effect size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(0.3, 0.5, 0.7, 0.9 and 1.1), and the number of goals per subject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(from 1 to 5 goals).</w:t>
      </w:r>
      <w:r>
        <w:t xml:space="preserve"> </w:t>
      </w:r>
      <w:r>
        <w:t xml:space="preserve">Latent goal scores were discretized into 5-point scales using two sets of thresholds:</w:t>
      </w:r>
      <w:r>
        <w:t xml:space="preserve"> </w:t>
      </w:r>
      <w:r>
        <w:t xml:space="preserve">“</w:t>
      </w:r>
      <w:r>
        <w:t xml:space="preserve">uniform</w:t>
      </w:r>
      <w:r>
        <w:t xml:space="preserve">”</w:t>
      </w:r>
      <w:r>
        <w:t xml:space="preserve"> </w:t>
      </w:r>
      <w:r>
        <w:t xml:space="preserve">thresholds were equally spaced so to return a uniform distribution of scores, and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thresholds were spaced so to return an approximately normal distribution of scores.</w:t>
      </w:r>
      <w:r>
        <w:t xml:space="preserve"> </w:t>
      </w:r>
      <w:r>
        <w:t xml:space="preserve">For each set of parameters, 1000 trials were simulated and a two-sided</w:t>
      </w:r>
      <w:r>
        <w:t xml:space="preserve"> </w:t>
      </w:r>
      <m:oMath>
        <m:r>
          <m:t>t</m:t>
        </m:r>
      </m:oMath>
      <w:r>
        <w:t xml:space="preserve">-test was performed on summary T-scores.</w:t>
      </w:r>
      <w:r>
        <w:t xml:space="preserve"> </w:t>
      </w:r>
      <w:r>
        <w:t xml:space="preserve">Power was computed as the percentage of simulations detecting a significant treatment effect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bookmarkEnd w:id="23"/>
    <w:bookmarkStart w:id="24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statistical power did not vary significantly whether using uniform or normal thresholds – less than 1% difference for most parameter combinations.</w:t>
      </w:r>
      <w:r>
        <w:t xml:space="preserve"> </w:t>
      </w:r>
      <w:r>
        <w:t xml:space="preserve">There was a consistent difference, however, in the estimated effect size (difference between treatment and control group scores).</w:t>
      </w:r>
      <w:r>
        <w:t xml:space="preserve"> </w:t>
      </w:r>
      <w:r>
        <w:t xml:space="preserve">Across all parameter combinations, the uniform thresholds gave standardized effect sizes</w:t>
      </w:r>
      <w:r>
        <w:t xml:space="preserve"> </w:t>
      </w:r>
      <w:r>
        <w:t xml:space="preserve">between 1.7 and 4.6 points higher than those with the normal thresholds.</w:t>
      </w:r>
    </w:p>
    <w:bookmarkEnd w:id="24"/>
    <w:bookmarkStart w:id="25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Violating the distributional assumptions of goal attainment scaling data may lead to biased estimates of treatment effect size, though it is unlikely to affect the power to detect a treatment effect.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ISPOR Europe 2021: number of goals vs number of attainment levels</dc:title>
  <dc:creator/>
  <cp:keywords/>
  <dcterms:created xsi:type="dcterms:W3CDTF">2021-06-21T18:06:26Z</dcterms:created>
  <dcterms:modified xsi:type="dcterms:W3CDTF">2021-06-21T18:06:26Z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