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10/30/14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Congress makes general enviornmental laws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appoint EPA to make specific laws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Facility / Area - permits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Compliance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Delecated authority to state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Hazardous Waste Act- RCRA (Resource conservation recovery Act)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 releases and exposures of hazardous waste..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“Cradle to Grave” tracking and management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Containerization and Disposal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Storage, Treatment and Disposal (TSD) facilities permitted hazardous waste landfills and incinerator in Utah’s west desert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Hazardous Waste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Toxic Metals (As, Ba, Cr, Cd, Hg, Pb, Se)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Acids and Bases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Reacts with water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Ignites at a low temperature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depends on how much you generate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 C&amp;D waste not hazardous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Paint, acids, solvenets glue, light tubes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oil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Recycling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CERCLA or superfund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government clean up of abandoned waste disposal sites at federal and private sties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Money allocated in Superfund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cleans it up and send the responsible parties the bill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EPCRA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emergency planning and community right to know act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passed by congress in response to concerns regarding the environmental and safety hazards posed by the storage and handling of toxic chemicals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concerns were triggered by the 1984 disaster in Bhopal india, caused by an accidental release of methylisocyanate. The release killed or severely injured more than 2000 people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