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Crash of 1929 and the Great Depression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1920’s Durable consumer good (cars, appliances) drive economic growth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Investmet income goes through the roof, where wage income doesn't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Coolidge-era economic policies fuel wast income inequality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 purchasing depends on credit (installment buying)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market buble driven by credit (10% margins)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Tuesday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Investors notice that people aren't spending as much, so they pull their money out in a giant amount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Stocks are down 50% in two months 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Worth 1/5th a year later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Didnt return to normal price till 1954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Depression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freeze and buisness failure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Reserve worsens credit crunch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 congress raises tariffs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Hoover tries to balance federal budget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Consumption dries up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Catastrophic banking crisis (3600 banks fail in 1930-31)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Unemployment 25% by 1932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Worldwide ripple effect (except soviet russia)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Herbert Hoover more willing to feed animals than the population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1932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FDR wins by a land slide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Innagural address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employmnet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Federeal works projects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Regulating banking system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congress into special sessions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cannot do anything, he will get the power to do it himself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FDR’s New Deal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would go to the bank, try to get money, but they wouldnt have enough in resereve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 standard suspended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Holiday, federal bank bailouts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Liquidity to the banks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FDR’s fireside chats encourage public confidence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“Banks will only reopen when the banks are safe”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Deposit Insurance Corporation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Glass Stegall Act (1933) seperates commercial and investment banking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Taken down during the clinton administration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Civilian Conservatioin Corps (ccc)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national parks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Unemployed young men that worked under army supervision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Planted trees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works administration (pwa)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bridges and roads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improvements and infrastructure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