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cs="Times New Roman"/>
          <w:b w:val="0"/>
          <w:i w:val="0"/>
          <w:color w:val="000000"/>
          <w:sz w:val="24"/>
        </w:rPr>
        <w:t>Dear Hiring Panel,</w:t>
      </w:r>
    </w:p>
    <w:p>
      <w:pPr>
        <w:jc w:val="both"/>
      </w:pPr>
      <w:r>
        <w:rPr>
          <w:rFonts w:ascii="Times New Roman" w:hAnsi="Times New Roman" w:cs="Times New Roman"/>
          <w:b w:val="0"/>
          <w:i w:val="0"/>
          <w:color w:val="000000"/>
          <w:sz w:val="24"/>
        </w:rPr>
        <w:t>I am applying for the Biomedical and Health AI Scientist (KTP Associate) role (REQ10187) at the University of Essex in partnership with Hurdle. This role asks for someone who can carry applied machine learning from academic research into a working health product, and that is the space I already work in. I am completing an MSc in Advanced Computer Science at Essex after a BSc in Biology with a minor in Computer Science and Data Analytics, so I read both the clinical and the engineering side of a problem, and I am fluent in Python, R, and SQL.</w:t>
      </w:r>
    </w:p>
    <w:p>
      <w:pPr>
        <w:jc w:val="both"/>
      </w:pPr>
      <w:r>
        <w:rPr>
          <w:rFonts w:ascii="Times New Roman" w:hAnsi="Times New Roman" w:cs="Times New Roman"/>
          <w:b w:val="0"/>
          <w:i w:val="0"/>
          <w:color w:val="000000"/>
          <w:sz w:val="24"/>
        </w:rPr>
        <w:t>The essentials in your person spec map closely onto what I do. My research runs on health and biological time-series, from a biophysical neural-circuit model built with signal processing to interpretable prediction on 3D motion-capture data using nested cross-validation and explainable-AI methods, work now being written up for publication, alongside a co-authored peer-reviewed biomarker study. To bring these skills together in one place, I built an end-to-end multimodal health-AI pipeline that fuses multi-omics, retinal imaging, and wearable and continuous-glucose signals, fine-tunes an open-source model for the imaging component, and runs on cloud infrastructure across both AWS and GCP with a SQL data layer, containers, and tests. That mix of multimodal fusion, time-series, model fine-tuning, and cloud deployment is exactly what a KTP bridging Essex research and Hurdle's product needs day to day.</w:t>
      </w:r>
    </w:p>
    <w:p>
      <w:pPr>
        <w:jc w:val="both"/>
      </w:pPr>
      <w:r>
        <w:rPr>
          <w:rFonts w:ascii="Times New Roman" w:hAnsi="Times New Roman" w:cs="Times New Roman"/>
          <w:b w:val="0"/>
          <w:i w:val="0"/>
          <w:color w:val="000000"/>
          <w:sz w:val="24"/>
        </w:rPr>
        <w:t>I have kept this short because a detailed report accompanies the application. In brief, the project predicts diabetes risk from linked biomedical data and is validated honestly, with each result reported against its real evidence rather than an inflated headline. I want to be candid about the limits: the four-way data fusion and the privacy-preserving components, differential privacy and federated learning, are demonstrations built to show the method rather than clinical findings, and they are labelled as such. I would rather show a defensible result and its boundaries than overstate what the data support.</w:t>
      </w:r>
    </w:p>
    <w:p>
      <w:pPr>
        <w:jc w:val="both"/>
      </w:pPr>
      <w:r>
        <w:rPr>
          <w:rFonts w:ascii="Times New Roman" w:hAnsi="Times New Roman" w:cs="Times New Roman"/>
          <w:b w:val="0"/>
          <w:i w:val="0"/>
          <w:color w:val="000000"/>
          <w:sz w:val="24"/>
        </w:rPr>
        <w:t>Beyond research I have led people. I was captain of an NCAA Division I soccer team and co-captain of a BUCS Premier football team, a Governor's STEM Scholars team lead selected as one of thirteen, Chief Data Officer building an R and bibliometrics curriculum for over 1,500 students, and founder of a health startup. A KTP lives or dies on communication between a university and a company, and delivering under deadline while explaining technical work plainly is something I have done repeatedly.</w:t>
      </w:r>
    </w:p>
    <w:p>
      <w:pPr>
        <w:jc w:val="both"/>
      </w:pPr>
      <w:r>
        <w:rPr>
          <w:rFonts w:ascii="Times New Roman" w:hAnsi="Times New Roman" w:cs="Times New Roman"/>
          <w:b w:val="0"/>
          <w:i w:val="0"/>
          <w:color w:val="000000"/>
          <w:sz w:val="24"/>
        </w:rPr>
        <w:t>The full code, tests, report, and interactive demo are available at [GITHUB REPO LINK]. I would welcome the chance to discuss how I could contribute to this partnership. Thank you for your consideration.</w:t>
      </w:r>
    </w:p>
    <w:p>
      <w:pPr>
        <w:jc w:val="left"/>
      </w:pPr>
      <w:r>
        <w:rPr>
          <w:rFonts w:ascii="Times New Roman" w:hAnsi="Times New Roman" w:cs="Times New Roman"/>
          <w:b w:val="0"/>
          <w:i w:val="0"/>
          <w:color w:val="000000"/>
          <w:sz w:val="24"/>
        </w:rPr>
        <w:t>Sincerely,</w:t>
      </w:r>
      <w:r>
        <w:br/>
      </w:r>
      <w:r>
        <w:rPr>
          <w:rFonts w:ascii="Times New Roman" w:hAnsi="Times New Roman" w:cs="Times New Roman"/>
          <w:b w:val="0"/>
          <w:i w:val="0"/>
          <w:color w:val="000000"/>
          <w:sz w:val="24"/>
        </w:rPr>
        <w:t>Taylor Pape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