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1157D" w14:textId="77777777" w:rsidR="00607527" w:rsidRDefault="00000000">
      <w:pPr>
        <w:pStyle w:val="Heading1"/>
      </w:pPr>
      <w:r>
        <w:rPr>
          <w:rFonts w:ascii="Times New Roman" w:hAnsi="Times New Roman"/>
          <w:color w:val="000000"/>
          <w:sz w:val="32"/>
        </w:rPr>
        <w:t>Multimodal Machine Learning for Insulin-Resistance Risk Prediction</w:t>
      </w:r>
    </w:p>
    <w:p w14:paraId="10816521" w14:textId="77777777" w:rsidR="00607527" w:rsidRDefault="00000000">
      <w:pPr>
        <w:jc w:val="both"/>
      </w:pPr>
      <w:r>
        <w:rPr>
          <w:color w:val="000000"/>
        </w:rPr>
        <w:t>Taylor Pape</w:t>
      </w:r>
    </w:p>
    <w:p w14:paraId="4F116FB7" w14:textId="77777777" w:rsidR="00607527" w:rsidRDefault="00000000">
      <w:pPr>
        <w:jc w:val="both"/>
      </w:pPr>
      <w:r>
        <w:rPr>
          <w:color w:val="000000"/>
        </w:rPr>
        <w:t>---</w:t>
      </w:r>
    </w:p>
    <w:p w14:paraId="6AF79951" w14:textId="77777777" w:rsidR="00607527" w:rsidRDefault="00000000">
      <w:pPr>
        <w:pStyle w:val="Heading2"/>
      </w:pPr>
      <w:r>
        <w:rPr>
          <w:rFonts w:ascii="Times New Roman" w:hAnsi="Times New Roman"/>
          <w:color w:val="000000"/>
          <w:sz w:val="28"/>
        </w:rPr>
        <w:t>Abstract</w:t>
      </w:r>
    </w:p>
    <w:p w14:paraId="37C1B076" w14:textId="27EBE88E" w:rsidR="00607527" w:rsidRDefault="00000000">
      <w:pPr>
        <w:jc w:val="both"/>
      </w:pPr>
      <w:r>
        <w:rPr>
          <w:color w:val="000000"/>
        </w:rPr>
        <w:t xml:space="preserve">Insulin resistance precedes type 2 diabetes by years, yet the molecular and physiological signals that mark it are usually analysed in isolation. This work builds and honestly evaluates a machine-learning pipeline that predicts a gold-standard insulin-resistance measure </w:t>
      </w:r>
      <w:r w:rsidR="00260115">
        <w:rPr>
          <w:color w:val="000000"/>
        </w:rPr>
        <w:t>(</w:t>
      </w:r>
      <w:r>
        <w:rPr>
          <w:color w:val="000000"/>
        </w:rPr>
        <w:t>steady-state plasma glucose (SSPG)</w:t>
      </w:r>
      <w:r w:rsidR="00260115">
        <w:rPr>
          <w:color w:val="000000"/>
        </w:rPr>
        <w:t>)</w:t>
      </w:r>
      <w:r>
        <w:rPr>
          <w:color w:val="000000"/>
        </w:rPr>
        <w:t xml:space="preserve"> from blood multi-omics, and integrates four biomedical data modalities (omics, continuous glucose monitoring, wearable physiology, and retinal fundus imaging) through late fusion. On 59 real patients from the Stanford integrative personal-omics cohort, a gradient-boosted model predicts SSPG with a leave-one-out coefficient of determination of R² = 0.49 (Pearson r = 0.70, p = 7.3×10⁻¹⁰), a result that survives nested cross-validation (nested R² = 0.46 vs non-nested 0.47 on the same run, an optimism gap of only 0.012) and a label-permutation null (p = 0.005) and outperforms all trivial baselines. The most predictive analytes </w:t>
      </w:r>
      <w:r w:rsidR="00260115">
        <w:rPr>
          <w:color w:val="000000"/>
        </w:rPr>
        <w:t>(</w:t>
      </w:r>
      <w:r>
        <w:rPr>
          <w:color w:val="000000"/>
        </w:rPr>
        <w:t>HDL cholesterol and triglycerides</w:t>
      </w:r>
      <w:r w:rsidR="00260115">
        <w:rPr>
          <w:color w:val="000000"/>
        </w:rPr>
        <w:t xml:space="preserve">) </w:t>
      </w:r>
      <w:r>
        <w:rPr>
          <w:color w:val="000000"/>
        </w:rPr>
        <w:t>are established markers of insulin resistance, supporting biological validity. Because the four public datasets describe different individuals, multimodal fusion is demonstrated on a latent-variable virtual cohort calibrated to 22 real overlapping patients</w:t>
      </w:r>
      <w:r w:rsidR="00260115">
        <w:rPr>
          <w:color w:val="000000"/>
        </w:rPr>
        <w:t>. T</w:t>
      </w:r>
      <w:r>
        <w:rPr>
          <w:color w:val="000000"/>
        </w:rPr>
        <w:t>his is stated wherever a fusion result appears and is not presented as a clinical outcome. The study contributes a rigorously validated single-modality result and a transparent, reproducible template for multimodal integration.</w:t>
      </w:r>
    </w:p>
    <w:p w14:paraId="1C9B7869" w14:textId="77777777" w:rsidR="00607527" w:rsidRDefault="00000000">
      <w:pPr>
        <w:jc w:val="both"/>
      </w:pPr>
      <w:r>
        <w:rPr>
          <w:color w:val="000000"/>
        </w:rPr>
        <w:t>---</w:t>
      </w:r>
    </w:p>
    <w:p w14:paraId="136709F2" w14:textId="77777777" w:rsidR="00607527" w:rsidRDefault="00000000">
      <w:pPr>
        <w:pStyle w:val="Heading2"/>
      </w:pPr>
      <w:r>
        <w:rPr>
          <w:rFonts w:ascii="Times New Roman" w:hAnsi="Times New Roman"/>
          <w:color w:val="000000"/>
          <w:sz w:val="28"/>
        </w:rPr>
        <w:t>1. Introduction</w:t>
      </w:r>
    </w:p>
    <w:p w14:paraId="72F54C6C" w14:textId="6A878F49" w:rsidR="00607527" w:rsidRDefault="00000000">
      <w:pPr>
        <w:jc w:val="both"/>
      </w:pPr>
      <w:r>
        <w:rPr>
          <w:color w:val="000000"/>
        </w:rPr>
        <w:t xml:space="preserve">Type 2 diabetes affects hundreds of millions of people, and the insulin-resistant state that drives it develops silently long before diagnosis. Detecting that state early, from data that can be collected non-invasively or from a single blood draw, is therefore of substantial clinical value. Modern cohorts increasingly capture several data types per participant </w:t>
      </w:r>
      <w:r w:rsidR="00260115">
        <w:rPr>
          <w:color w:val="000000"/>
        </w:rPr>
        <w:t>(</w:t>
      </w:r>
      <w:r>
        <w:rPr>
          <w:color w:val="000000"/>
        </w:rPr>
        <w:t>molecular profiles, wearable physiology, continuous glucose, and medical imaging</w:t>
      </w:r>
      <w:r w:rsidR="00260115">
        <w:rPr>
          <w:color w:val="000000"/>
        </w:rPr>
        <w:t>)</w:t>
      </w:r>
      <w:r>
        <w:rPr>
          <w:color w:val="000000"/>
        </w:rPr>
        <w:t xml:space="preserve"> but these modalities are typically modelled separately, leaving cross-modal signal unused.</w:t>
      </w:r>
    </w:p>
    <w:p w14:paraId="4781BE53" w14:textId="77777777" w:rsidR="00607527" w:rsidRDefault="00000000">
      <w:pPr>
        <w:jc w:val="both"/>
      </w:pPr>
      <w:r>
        <w:rPr>
          <w:color w:val="000000"/>
        </w:rPr>
        <w:t xml:space="preserve">This study asks two questions. First, how well can insulin resistance be predicted from blood multi-omics alone, and is that prediction real rather than an artefact of a small sample? Second, how should heterogeneous modalities be combined when they are only weakly coupled? The aim is a pipeline that delivers one rigorously validated real result </w:t>
      </w:r>
      <w:r>
        <w:rPr>
          <w:color w:val="000000"/>
        </w:rPr>
        <w:lastRenderedPageBreak/>
        <w:t>and a principled, honestly-labelled demonstration of multimodal fusion, rather than an inflated headline number.</w:t>
      </w:r>
    </w:p>
    <w:p w14:paraId="576F4FFE" w14:textId="77777777" w:rsidR="00607527" w:rsidRDefault="00000000">
      <w:pPr>
        <w:pStyle w:val="Heading2"/>
      </w:pPr>
      <w:r>
        <w:rPr>
          <w:rFonts w:ascii="Times New Roman" w:hAnsi="Times New Roman"/>
          <w:color w:val="000000"/>
          <w:sz w:val="28"/>
        </w:rPr>
        <w:t>2. Related work</w:t>
      </w:r>
    </w:p>
    <w:p w14:paraId="645C94F2" w14:textId="77777777" w:rsidR="00607527" w:rsidRDefault="00000000">
      <w:pPr>
        <w:jc w:val="both"/>
      </w:pPr>
      <w:r>
        <w:rPr>
          <w:color w:val="000000"/>
        </w:rPr>
        <w:t>Multimodal integration is now standard in biomedical machine learning, and reviews of the field consistently find that late (decision-level) fusion is competitive with or superior to early fusion when modalities are heterogeneous or weakly correlated, because it lets each modality use its own optimal model and degrades gracefully when one modality is uninformative [1–3]. This motivates the late-fusion design adopted here: each modality is modelled independently and combined through a lightweight meta-model, rather than concatenating raw features into a single high-dimensional vector.</w:t>
      </w:r>
    </w:p>
    <w:p w14:paraId="4ECAE14E" w14:textId="77777777" w:rsidR="00607527" w:rsidRDefault="00000000">
      <w:pPr>
        <w:pStyle w:val="Heading2"/>
      </w:pPr>
      <w:r>
        <w:rPr>
          <w:rFonts w:ascii="Times New Roman" w:hAnsi="Times New Roman"/>
          <w:color w:val="000000"/>
          <w:sz w:val="28"/>
        </w:rPr>
        <w:t>3. Methodology</w:t>
      </w:r>
    </w:p>
    <w:p w14:paraId="58323B8F" w14:textId="77777777" w:rsidR="00607527" w:rsidRDefault="00000000">
      <w:pPr>
        <w:pStyle w:val="Heading3"/>
      </w:pPr>
      <w:r>
        <w:rPr>
          <w:rFonts w:ascii="Times New Roman" w:hAnsi="Times New Roman"/>
          <w:color w:val="000000"/>
        </w:rPr>
        <w:t>3.1 Data</w:t>
      </w:r>
    </w:p>
    <w:p w14:paraId="1A23CF11" w14:textId="6A6BC2A7" w:rsidR="00607527" w:rsidRDefault="00000000">
      <w:pPr>
        <w:jc w:val="both"/>
      </w:pPr>
      <w:r>
        <w:rPr>
          <w:color w:val="000000"/>
        </w:rPr>
        <w:t>Four publicly available datasets were used. Blood multi-omics and clinical labels come from the Stanford integrative Human Microbiome / personal-omics profiling cohort (n = 106 with follow-up</w:t>
      </w:r>
      <w:r w:rsidR="00260115">
        <w:rPr>
          <w:color w:val="000000"/>
        </w:rPr>
        <w:t>,</w:t>
      </w:r>
      <w:r>
        <w:rPr>
          <w:color w:val="000000"/>
        </w:rPr>
        <w:t xml:space="preserve"> metabolites, proteins, cytokines, clinical chemistries, and microbiome taxa). Wearable physiology (heart rate, skin temperature, accelerometry) comes from 43 participants wearing a wrist device over an average of 152 days. Continuous glucose monitoring comes from 57 participants sampled every five minutes. Retinal fundus images come from the RetinaMNIST benchmark (1,600 images graded 0–4 for diabetic retinopathy).</w:t>
      </w:r>
    </w:p>
    <w:p w14:paraId="6ACB8B27" w14:textId="759B54FE" w:rsidR="00607527" w:rsidRDefault="00000000">
      <w:pPr>
        <w:jc w:val="both"/>
      </w:pPr>
      <w:r>
        <w:rPr>
          <w:color w:val="000000"/>
        </w:rPr>
        <w:t xml:space="preserve">These datasets describe </w:t>
      </w:r>
      <w:r w:rsidRPr="00260115">
        <w:rPr>
          <w:bCs/>
          <w:color w:val="000000"/>
        </w:rPr>
        <w:t>different individuals</w:t>
      </w:r>
      <w:r w:rsidR="00260115">
        <w:rPr>
          <w:color w:val="000000"/>
        </w:rPr>
        <w:t>,</w:t>
      </w:r>
      <w:r>
        <w:rPr>
          <w:color w:val="000000"/>
        </w:rPr>
        <w:t xml:space="preserve"> only 22 patients overlap between the omics and continuous-glucose cohorts. This is a genuine limitation and is handled explicitly (Section 3.5) rather than concealed.</w:t>
      </w:r>
    </w:p>
    <w:p w14:paraId="1DA6380D" w14:textId="77777777" w:rsidR="00607527" w:rsidRDefault="00000000">
      <w:pPr>
        <w:pStyle w:val="Heading3"/>
      </w:pPr>
      <w:r>
        <w:rPr>
          <w:rFonts w:ascii="Times New Roman" w:hAnsi="Times New Roman"/>
          <w:color w:val="000000"/>
        </w:rPr>
        <w:t>3.2 Preprocessing and feature engineering</w:t>
      </w:r>
    </w:p>
    <w:p w14:paraId="0CC11F52" w14:textId="77777777" w:rsidR="00607527" w:rsidRDefault="00000000">
      <w:pPr>
        <w:jc w:val="both"/>
      </w:pPr>
      <w:r>
        <w:rPr>
          <w:color w:val="000000"/>
        </w:rPr>
        <w:t>Omics association tables were cleaned to a subjects-by-analytes matrix (59 patients × 86 analytes for the SSPG panel) with no missing values after filtering patients with more than 50% missingness. Wearable series were resampled to one-minute means, unworn periods removed, and summarised into circadian (cosinor amplitude and acrophase, interdaily stability, intradaily variability, relative amplitude), sleep, and activity features. Continuous-glucose traces were reduced to established glycaemic-variability indices (time-in-range, MAGE, CONGA, MODD, glucose management indicator). Retinal images were used at 224 px with standard augmentation.</w:t>
      </w:r>
    </w:p>
    <w:p w14:paraId="67DB4309" w14:textId="77777777" w:rsidR="00607527" w:rsidRDefault="00000000">
      <w:pPr>
        <w:pStyle w:val="Heading3"/>
      </w:pPr>
      <w:r>
        <w:rPr>
          <w:rFonts w:ascii="Times New Roman" w:hAnsi="Times New Roman"/>
          <w:color w:val="000000"/>
        </w:rPr>
        <w:t>3.3 Models</w:t>
      </w:r>
    </w:p>
    <w:p w14:paraId="61A79D97" w14:textId="19BE0144" w:rsidR="00607527" w:rsidRDefault="00000000">
      <w:pPr>
        <w:jc w:val="both"/>
      </w:pPr>
      <w:r>
        <w:rPr>
          <w:color w:val="000000"/>
        </w:rPr>
        <w:t>The primary omics</w:t>
      </w:r>
      <w:r w:rsidR="00260115">
        <w:rPr>
          <w:color w:val="000000"/>
        </w:rPr>
        <w:t xml:space="preserve"> to </w:t>
      </w:r>
      <w:r>
        <w:rPr>
          <w:color w:val="000000"/>
        </w:rPr>
        <w:t xml:space="preserve">SSPG model is gradient-boosted regression trees (300 estimators, depth 3, learning rate 0.05, subsample 0.8). The imaging model is a ResNet-50 pretrained on ImageNet and fine-tuned by transfer learning. Fusion is late/stacking: each modality </w:t>
      </w:r>
      <w:r>
        <w:rPr>
          <w:color w:val="000000"/>
        </w:rPr>
        <w:lastRenderedPageBreak/>
        <w:t>produces an out-of-fold risk score, and a ridge meta-model (cross-validated regularisation) combines those scores into the final prediction.</w:t>
      </w:r>
    </w:p>
    <w:p w14:paraId="76558437" w14:textId="77777777" w:rsidR="00607527" w:rsidRDefault="00000000">
      <w:pPr>
        <w:pStyle w:val="Heading3"/>
      </w:pPr>
      <w:r>
        <w:rPr>
          <w:rFonts w:ascii="Times New Roman" w:hAnsi="Times New Roman"/>
          <w:color w:val="000000"/>
        </w:rPr>
        <w:t>3.4 Virtual cohort for fusion</w:t>
      </w:r>
    </w:p>
    <w:p w14:paraId="49BE346E" w14:textId="38E33A15" w:rsidR="00607527" w:rsidRDefault="00000000">
      <w:pPr>
        <w:jc w:val="both"/>
      </w:pPr>
      <w:r>
        <w:rPr>
          <w:color w:val="000000"/>
        </w:rPr>
        <w:t>Because the modalities describe disjoint individuals, a virtual cohort (n = 300) was generated from a shared latent risk factor, with each modality's feature block loaded on that factor and calibrated to the 22 real overlapping patients</w:t>
      </w:r>
      <w:r w:rsidR="00260115">
        <w:rPr>
          <w:color w:val="000000"/>
        </w:rPr>
        <w:t>. T</w:t>
      </w:r>
      <w:r>
        <w:rPr>
          <w:color w:val="000000"/>
        </w:rPr>
        <w:t>he retinal block uses the real fine-tuned CNN embeddings. All fusion results are reported on this virtual cohort and are labelled as a pipeline demonstration, not a clinical measurement.</w:t>
      </w:r>
    </w:p>
    <w:p w14:paraId="20EE42F2" w14:textId="77777777" w:rsidR="00607527" w:rsidRDefault="00000000">
      <w:pPr>
        <w:pStyle w:val="Heading3"/>
      </w:pPr>
      <w:r>
        <w:rPr>
          <w:rFonts w:ascii="Times New Roman" w:hAnsi="Times New Roman"/>
          <w:color w:val="000000"/>
        </w:rPr>
        <w:t>3.5 Evaluation</w:t>
      </w:r>
    </w:p>
    <w:p w14:paraId="6F8AEF5D" w14:textId="77777777" w:rsidR="00607527" w:rsidRDefault="00000000">
      <w:pPr>
        <w:jc w:val="both"/>
      </w:pPr>
      <w:r>
        <w:rPr>
          <w:color w:val="000000"/>
        </w:rPr>
        <w:t>The real omics result is evaluated by leave-one-out cross-validation, with three independent checks against over-optimism: nested cross-validation (to detect hyperparameter leakage), a 1,000-iteration label-permutation null, and comparison against predict-the-mean, shuffled-feature, and random-noise baselines. Uncertainty is reported as 2,000-sample bootstrap 95% confidence intervals. Fusion is checked against scrambled-cohort and additive-only controls, and modality importance by leave-one-modality-out ablation. Feature attribution uses SHAP and accumulated local effects (ALE), the latter chosen over partial-dependence because the omics features are correlated.</w:t>
      </w:r>
    </w:p>
    <w:p w14:paraId="400DBE7E" w14:textId="77777777" w:rsidR="00607527" w:rsidRDefault="00000000">
      <w:pPr>
        <w:pStyle w:val="Heading3"/>
      </w:pPr>
      <w:r>
        <w:rPr>
          <w:rFonts w:ascii="Times New Roman" w:hAnsi="Times New Roman"/>
          <w:color w:val="000000"/>
        </w:rPr>
        <w:t>3.6 Software and infrastructure</w:t>
      </w:r>
    </w:p>
    <w:p w14:paraId="6A51BD6A" w14:textId="0F963C6D" w:rsidR="00607527" w:rsidRDefault="00000000">
      <w:pPr>
        <w:jc w:val="both"/>
      </w:pPr>
      <w:r>
        <w:rPr>
          <w:color w:val="000000"/>
        </w:rPr>
        <w:t>The pipeline is implemented in Python (scikit-learn, XGBoost, PyTorch, SHAP). The relational store runs on SQLite locally and was loaded into Google BigQuery for the cloud store</w:t>
      </w:r>
      <w:r w:rsidR="00260115">
        <w:rPr>
          <w:color w:val="000000"/>
        </w:rPr>
        <w:t xml:space="preserve"> while</w:t>
      </w:r>
      <w:r>
        <w:rPr>
          <w:color w:val="000000"/>
        </w:rPr>
        <w:t xml:space="preserve"> training infrastructure (object storage, container registry, a GPU launch template) was provisioned on AWS with Terraform. An interactive demonstration is built with Streamlit, and the codebase is tested with pytest (183 tests) under continuous integration. </w:t>
      </w:r>
    </w:p>
    <w:p w14:paraId="5CDC7CF3" w14:textId="77777777" w:rsidR="00607527" w:rsidRDefault="00000000">
      <w:pPr>
        <w:pStyle w:val="Heading2"/>
      </w:pPr>
      <w:r>
        <w:rPr>
          <w:rFonts w:ascii="Times New Roman" w:hAnsi="Times New Roman"/>
          <w:color w:val="000000"/>
          <w:sz w:val="28"/>
        </w:rPr>
        <w:t>4. Results</w:t>
      </w:r>
    </w:p>
    <w:p w14:paraId="11B25045" w14:textId="77777777" w:rsidR="00607527" w:rsidRDefault="00000000">
      <w:pPr>
        <w:pStyle w:val="Heading3"/>
      </w:pPr>
      <w:r>
        <w:rPr>
          <w:rFonts w:ascii="Times New Roman" w:hAnsi="Times New Roman"/>
          <w:color w:val="000000"/>
        </w:rPr>
        <w:t>4.1 Insulin resistance is predictable from blood omics</w:t>
      </w:r>
    </w:p>
    <w:p w14:paraId="00BE2051" w14:textId="7FF21A7B" w:rsidR="00607527" w:rsidRDefault="00000000">
      <w:pPr>
        <w:jc w:val="both"/>
      </w:pPr>
      <w:r>
        <w:rPr>
          <w:color w:val="000000"/>
        </w:rPr>
        <w:t xml:space="preserve">The gradient-boosted model predicts SSPG on the 59 real patients with </w:t>
      </w:r>
      <w:r w:rsidRPr="00260115">
        <w:rPr>
          <w:bCs/>
          <w:color w:val="000000"/>
        </w:rPr>
        <w:t>R² = 0.49 and Pearson r = 0.70 (p = 7.3×10⁻¹⁰)</w:t>
      </w:r>
      <w:r>
        <w:rPr>
          <w:color w:val="000000"/>
        </w:rPr>
        <w:t xml:space="preserve"> under leave-one-out cross-validation (Figure 1). The result is robust: on a matched grid-search run, non-nested cross-validation gives R² = 0.47 and nested cross-validation R² = 0.46, an optimism gap of only 0.012, indicating negligible hyperparameter leakage</w:t>
      </w:r>
      <w:r w:rsidR="00260115">
        <w:rPr>
          <w:color w:val="000000"/>
        </w:rPr>
        <w:t>. T</w:t>
      </w:r>
      <w:r>
        <w:rPr>
          <w:color w:val="000000"/>
        </w:rPr>
        <w:t>he label-permutation null gives p = 0.005 and the model beats every trivial baseline (predict-mean R² = −0.03, shuffled features −0.24, random noise −0.22). For the related binary task (insulin-resistant vs insulin-sensitive), a classifier reaches AUROC = 0.94 (95% CI 0.87–0.99).</w:t>
      </w:r>
    </w:p>
    <w:p w14:paraId="7492DC97" w14:textId="4D3A1309" w:rsidR="00607527" w:rsidRDefault="00000000">
      <w:pPr>
        <w:jc w:val="both"/>
      </w:pPr>
      <w:r>
        <w:rPr>
          <w:color w:val="000000"/>
        </w:rPr>
        <w:t xml:space="preserve">The signal reproduces across the three model families able to capture non-linear and interaction structure, while the two purely linear or kernel models underperform (Table </w:t>
      </w:r>
      <w:r>
        <w:rPr>
          <w:color w:val="000000"/>
        </w:rPr>
        <w:lastRenderedPageBreak/>
        <w:t>1). ElasticNet (0.47), random forest (0.46), and gradient boosting (0.49) agree closely under identical leave-one-out cross-validation</w:t>
      </w:r>
      <w:r w:rsidR="00260115">
        <w:rPr>
          <w:color w:val="000000"/>
        </w:rPr>
        <w:t xml:space="preserve"> while</w:t>
      </w:r>
      <w:r>
        <w:rPr>
          <w:color w:val="000000"/>
        </w:rPr>
        <w:t xml:space="preserve"> a linear ridge model reaches only 0.11 and an RBF-kernel SVR only 0.04. This pattern is itself evidence that the predictive signal is genuinely non-linear rather than an artefact of one model, and that the headline figure is not cherry-picked from a </w:t>
      </w:r>
      <w:proofErr w:type="spellStart"/>
      <w:r>
        <w:rPr>
          <w:color w:val="000000"/>
        </w:rPr>
        <w:t>favourable</w:t>
      </w:r>
      <w:proofErr w:type="spellEnd"/>
      <w:r>
        <w:rPr>
          <w:color w:val="000000"/>
        </w:rPr>
        <w:t xml:space="preserve"> estimator.</w:t>
      </w:r>
    </w:p>
    <w:tbl>
      <w:tblPr>
        <w:tblStyle w:val="TableGrid"/>
        <w:tblW w:w="0" w:type="auto"/>
        <w:tblLook w:val="04A0" w:firstRow="1" w:lastRow="0" w:firstColumn="1" w:lastColumn="0" w:noHBand="0" w:noVBand="1"/>
      </w:tblPr>
      <w:tblGrid>
        <w:gridCol w:w="2158"/>
        <w:gridCol w:w="2157"/>
        <w:gridCol w:w="2157"/>
        <w:gridCol w:w="2158"/>
      </w:tblGrid>
      <w:tr w:rsidR="00607527" w14:paraId="6E53DE54" w14:textId="77777777">
        <w:tc>
          <w:tcPr>
            <w:tcW w:w="2160" w:type="dxa"/>
          </w:tcPr>
          <w:p w14:paraId="4125836E" w14:textId="77777777" w:rsidR="00607527" w:rsidRDefault="00000000">
            <w:r>
              <w:rPr>
                <w:b/>
                <w:color w:val="000000"/>
                <w:sz w:val="21"/>
              </w:rPr>
              <w:t>Model</w:t>
            </w:r>
          </w:p>
        </w:tc>
        <w:tc>
          <w:tcPr>
            <w:tcW w:w="2160" w:type="dxa"/>
          </w:tcPr>
          <w:p w14:paraId="572FEADA" w14:textId="77777777" w:rsidR="00607527" w:rsidRDefault="00000000">
            <w:r>
              <w:rPr>
                <w:b/>
                <w:color w:val="000000"/>
                <w:sz w:val="21"/>
              </w:rPr>
              <w:t>LOO R²</w:t>
            </w:r>
          </w:p>
        </w:tc>
        <w:tc>
          <w:tcPr>
            <w:tcW w:w="2160" w:type="dxa"/>
          </w:tcPr>
          <w:p w14:paraId="64518981" w14:textId="77777777" w:rsidR="00607527" w:rsidRDefault="00000000">
            <w:r>
              <w:rPr>
                <w:b/>
                <w:color w:val="000000"/>
                <w:sz w:val="21"/>
              </w:rPr>
              <w:t>Pearson r</w:t>
            </w:r>
          </w:p>
        </w:tc>
        <w:tc>
          <w:tcPr>
            <w:tcW w:w="2160" w:type="dxa"/>
          </w:tcPr>
          <w:p w14:paraId="271511AD" w14:textId="77777777" w:rsidR="00607527" w:rsidRDefault="00000000">
            <w:r>
              <w:rPr>
                <w:b/>
                <w:color w:val="000000"/>
                <w:sz w:val="21"/>
              </w:rPr>
              <w:t>Permutation p</w:t>
            </w:r>
          </w:p>
        </w:tc>
      </w:tr>
      <w:tr w:rsidR="00607527" w14:paraId="631DA2CF" w14:textId="77777777">
        <w:tc>
          <w:tcPr>
            <w:tcW w:w="2160" w:type="dxa"/>
          </w:tcPr>
          <w:p w14:paraId="22853D78" w14:textId="77777777" w:rsidR="00607527" w:rsidRDefault="00000000">
            <w:r>
              <w:rPr>
                <w:color w:val="000000"/>
                <w:sz w:val="21"/>
              </w:rPr>
              <w:t>Gradient boosting (XGBoost)</w:t>
            </w:r>
          </w:p>
        </w:tc>
        <w:tc>
          <w:tcPr>
            <w:tcW w:w="2160" w:type="dxa"/>
          </w:tcPr>
          <w:p w14:paraId="6C93EF4B" w14:textId="77777777" w:rsidR="00607527" w:rsidRDefault="00000000">
            <w:r>
              <w:rPr>
                <w:color w:val="000000"/>
                <w:sz w:val="21"/>
              </w:rPr>
              <w:t>0.49</w:t>
            </w:r>
          </w:p>
        </w:tc>
        <w:tc>
          <w:tcPr>
            <w:tcW w:w="2160" w:type="dxa"/>
          </w:tcPr>
          <w:p w14:paraId="02501420" w14:textId="77777777" w:rsidR="00607527" w:rsidRDefault="00000000">
            <w:r>
              <w:rPr>
                <w:color w:val="000000"/>
                <w:sz w:val="21"/>
              </w:rPr>
              <w:t>0.70</w:t>
            </w:r>
          </w:p>
        </w:tc>
        <w:tc>
          <w:tcPr>
            <w:tcW w:w="2160" w:type="dxa"/>
          </w:tcPr>
          <w:p w14:paraId="5520B71C" w14:textId="77777777" w:rsidR="00607527" w:rsidRDefault="00000000">
            <w:r>
              <w:rPr>
                <w:color w:val="000000"/>
                <w:sz w:val="21"/>
              </w:rPr>
              <w:t>0.005</w:t>
            </w:r>
          </w:p>
        </w:tc>
      </w:tr>
      <w:tr w:rsidR="00607527" w14:paraId="3869DBA7" w14:textId="77777777">
        <w:tc>
          <w:tcPr>
            <w:tcW w:w="2160" w:type="dxa"/>
          </w:tcPr>
          <w:p w14:paraId="02FBD6CA" w14:textId="77777777" w:rsidR="00607527" w:rsidRDefault="00000000">
            <w:r>
              <w:rPr>
                <w:color w:val="000000"/>
                <w:sz w:val="21"/>
              </w:rPr>
              <w:t>ElasticNet</w:t>
            </w:r>
          </w:p>
        </w:tc>
        <w:tc>
          <w:tcPr>
            <w:tcW w:w="2160" w:type="dxa"/>
          </w:tcPr>
          <w:p w14:paraId="126BB2F7" w14:textId="77777777" w:rsidR="00607527" w:rsidRDefault="00000000">
            <w:r>
              <w:rPr>
                <w:color w:val="000000"/>
                <w:sz w:val="21"/>
              </w:rPr>
              <w:t>0.47</w:t>
            </w:r>
          </w:p>
        </w:tc>
        <w:tc>
          <w:tcPr>
            <w:tcW w:w="2160" w:type="dxa"/>
          </w:tcPr>
          <w:p w14:paraId="48BD6E52" w14:textId="77777777" w:rsidR="00607527" w:rsidRDefault="00000000">
            <w:r>
              <w:rPr>
                <w:color w:val="000000"/>
                <w:sz w:val="21"/>
              </w:rPr>
              <w:t>0.71</w:t>
            </w:r>
          </w:p>
        </w:tc>
        <w:tc>
          <w:tcPr>
            <w:tcW w:w="2160" w:type="dxa"/>
          </w:tcPr>
          <w:p w14:paraId="263E204C" w14:textId="77777777" w:rsidR="00607527" w:rsidRDefault="00000000">
            <w:r>
              <w:rPr>
                <w:color w:val="000000"/>
                <w:sz w:val="21"/>
              </w:rPr>
              <w:t>0.005</w:t>
            </w:r>
          </w:p>
        </w:tc>
      </w:tr>
      <w:tr w:rsidR="00607527" w14:paraId="439226B7" w14:textId="77777777">
        <w:tc>
          <w:tcPr>
            <w:tcW w:w="2160" w:type="dxa"/>
          </w:tcPr>
          <w:p w14:paraId="501C598D" w14:textId="77777777" w:rsidR="00607527" w:rsidRDefault="00000000">
            <w:r>
              <w:rPr>
                <w:color w:val="000000"/>
                <w:sz w:val="21"/>
              </w:rPr>
              <w:t>Random forest</w:t>
            </w:r>
          </w:p>
        </w:tc>
        <w:tc>
          <w:tcPr>
            <w:tcW w:w="2160" w:type="dxa"/>
          </w:tcPr>
          <w:p w14:paraId="6AA465CA" w14:textId="77777777" w:rsidR="00607527" w:rsidRDefault="00000000">
            <w:r>
              <w:rPr>
                <w:color w:val="000000"/>
                <w:sz w:val="21"/>
              </w:rPr>
              <w:t>0.46</w:t>
            </w:r>
          </w:p>
        </w:tc>
        <w:tc>
          <w:tcPr>
            <w:tcW w:w="2160" w:type="dxa"/>
          </w:tcPr>
          <w:p w14:paraId="3FE1E1FB" w14:textId="77777777" w:rsidR="00607527" w:rsidRDefault="00000000">
            <w:r>
              <w:rPr>
                <w:color w:val="000000"/>
                <w:sz w:val="21"/>
              </w:rPr>
              <w:t>0.69</w:t>
            </w:r>
          </w:p>
        </w:tc>
        <w:tc>
          <w:tcPr>
            <w:tcW w:w="2160" w:type="dxa"/>
          </w:tcPr>
          <w:p w14:paraId="57A72DBA" w14:textId="77777777" w:rsidR="00607527" w:rsidRDefault="00000000">
            <w:r>
              <w:rPr>
                <w:color w:val="000000"/>
                <w:sz w:val="21"/>
              </w:rPr>
              <w:t>0.005</w:t>
            </w:r>
          </w:p>
        </w:tc>
      </w:tr>
      <w:tr w:rsidR="00607527" w14:paraId="01BAEFDC" w14:textId="77777777">
        <w:tc>
          <w:tcPr>
            <w:tcW w:w="2160" w:type="dxa"/>
          </w:tcPr>
          <w:p w14:paraId="58E414C5" w14:textId="77777777" w:rsidR="00607527" w:rsidRDefault="00000000">
            <w:r>
              <w:rPr>
                <w:color w:val="000000"/>
                <w:sz w:val="21"/>
              </w:rPr>
              <w:t>Ridge (linear)</w:t>
            </w:r>
          </w:p>
        </w:tc>
        <w:tc>
          <w:tcPr>
            <w:tcW w:w="2160" w:type="dxa"/>
          </w:tcPr>
          <w:p w14:paraId="40FD9EAF" w14:textId="77777777" w:rsidR="00607527" w:rsidRDefault="00000000">
            <w:r>
              <w:rPr>
                <w:color w:val="000000"/>
                <w:sz w:val="21"/>
              </w:rPr>
              <w:t>0.11</w:t>
            </w:r>
          </w:p>
        </w:tc>
        <w:tc>
          <w:tcPr>
            <w:tcW w:w="2160" w:type="dxa"/>
          </w:tcPr>
          <w:p w14:paraId="5CBD8699" w14:textId="77777777" w:rsidR="00607527" w:rsidRDefault="00000000">
            <w:r>
              <w:rPr>
                <w:color w:val="000000"/>
                <w:sz w:val="21"/>
              </w:rPr>
              <w:t>0.51</w:t>
            </w:r>
          </w:p>
        </w:tc>
        <w:tc>
          <w:tcPr>
            <w:tcW w:w="2160" w:type="dxa"/>
          </w:tcPr>
          <w:p w14:paraId="6DE1926A" w14:textId="77777777" w:rsidR="00607527" w:rsidRDefault="00000000">
            <w:r>
              <w:rPr>
                <w:color w:val="000000"/>
                <w:sz w:val="21"/>
              </w:rPr>
              <w:t>0.005</w:t>
            </w:r>
          </w:p>
        </w:tc>
      </w:tr>
      <w:tr w:rsidR="00607527" w14:paraId="6B14D922" w14:textId="77777777">
        <w:tc>
          <w:tcPr>
            <w:tcW w:w="2160" w:type="dxa"/>
          </w:tcPr>
          <w:p w14:paraId="7B908E6E" w14:textId="77777777" w:rsidR="00607527" w:rsidRDefault="00000000">
            <w:r>
              <w:rPr>
                <w:color w:val="000000"/>
                <w:sz w:val="21"/>
              </w:rPr>
              <w:t>SVR (RBF kernel)</w:t>
            </w:r>
          </w:p>
        </w:tc>
        <w:tc>
          <w:tcPr>
            <w:tcW w:w="2160" w:type="dxa"/>
          </w:tcPr>
          <w:p w14:paraId="73B5050D" w14:textId="77777777" w:rsidR="00607527" w:rsidRDefault="00000000">
            <w:r>
              <w:rPr>
                <w:color w:val="000000"/>
                <w:sz w:val="21"/>
              </w:rPr>
              <w:t>0.04</w:t>
            </w:r>
          </w:p>
        </w:tc>
        <w:tc>
          <w:tcPr>
            <w:tcW w:w="2160" w:type="dxa"/>
          </w:tcPr>
          <w:p w14:paraId="028FB4A5" w14:textId="77777777" w:rsidR="00607527" w:rsidRDefault="00000000">
            <w:r>
              <w:rPr>
                <w:color w:val="000000"/>
                <w:sz w:val="21"/>
              </w:rPr>
              <w:t>0.57</w:t>
            </w:r>
          </w:p>
        </w:tc>
        <w:tc>
          <w:tcPr>
            <w:tcW w:w="2160" w:type="dxa"/>
          </w:tcPr>
          <w:p w14:paraId="5E11C73A" w14:textId="77777777" w:rsidR="00607527" w:rsidRDefault="00000000">
            <w:r>
              <w:rPr>
                <w:color w:val="000000"/>
                <w:sz w:val="21"/>
              </w:rPr>
              <w:t>0.030</w:t>
            </w:r>
          </w:p>
        </w:tc>
      </w:tr>
    </w:tbl>
    <w:p w14:paraId="406282AA" w14:textId="77777777" w:rsidR="006A04B1" w:rsidRPr="006A04B1" w:rsidRDefault="006A04B1" w:rsidP="006A04B1">
      <w:pPr>
        <w:ind w:left="720"/>
        <w:jc w:val="both"/>
        <w:rPr>
          <w:sz w:val="20"/>
          <w:szCs w:val="20"/>
        </w:rPr>
      </w:pPr>
      <w:r w:rsidRPr="006A04B1">
        <w:rPr>
          <w:b/>
          <w:color w:val="000000"/>
          <w:sz w:val="20"/>
          <w:szCs w:val="20"/>
        </w:rPr>
        <w:t>Table 1. Omics to SSPG prediction across five model families (leave-one-out, n = 59).</w:t>
      </w:r>
    </w:p>
    <w:p w14:paraId="00C27DD8" w14:textId="77777777" w:rsidR="006A04B1" w:rsidRDefault="006A04B1">
      <w:pPr>
        <w:jc w:val="center"/>
      </w:pPr>
    </w:p>
    <w:p w14:paraId="19DACEC3" w14:textId="682579E7" w:rsidR="00607527" w:rsidRDefault="00000000">
      <w:pPr>
        <w:jc w:val="center"/>
      </w:pPr>
      <w:r>
        <w:rPr>
          <w:noProof/>
          <w:color w:val="000000"/>
        </w:rPr>
        <w:drawing>
          <wp:inline distT="0" distB="0" distL="0" distR="0" wp14:anchorId="1EB74BFD" wp14:editId="6CCCA556">
            <wp:extent cx="3337560" cy="340386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c490164a_omics_sspg_scatter.png"/>
                    <pic:cNvPicPr/>
                  </pic:nvPicPr>
                  <pic:blipFill>
                    <a:blip r:embed="rId6"/>
                    <a:stretch>
                      <a:fillRect/>
                    </a:stretch>
                  </pic:blipFill>
                  <pic:spPr>
                    <a:xfrm>
                      <a:off x="0" y="0"/>
                      <a:ext cx="3343131" cy="3409550"/>
                    </a:xfrm>
                    <a:prstGeom prst="rect">
                      <a:avLst/>
                    </a:prstGeom>
                  </pic:spPr>
                </pic:pic>
              </a:graphicData>
            </a:graphic>
          </wp:inline>
        </w:drawing>
      </w:r>
    </w:p>
    <w:p w14:paraId="7A3AC768" w14:textId="36717298" w:rsidR="00607527" w:rsidRDefault="00000000">
      <w:pPr>
        <w:jc w:val="center"/>
      </w:pPr>
      <w:r>
        <w:rPr>
          <w:b/>
          <w:i/>
          <w:color w:val="000000"/>
          <w:sz w:val="20"/>
        </w:rPr>
        <w:t xml:space="preserve">Figure 1. </w:t>
      </w:r>
      <w:r>
        <w:rPr>
          <w:i/>
          <w:color w:val="000000"/>
          <w:sz w:val="20"/>
        </w:rPr>
        <w:t xml:space="preserve">Predicted versus measured SSPG for the 59 real patients under leave-one-out cross-validation. </w:t>
      </w:r>
    </w:p>
    <w:p w14:paraId="3C00E64E" w14:textId="77777777" w:rsidR="00607527" w:rsidRDefault="00000000">
      <w:pPr>
        <w:pStyle w:val="Heading3"/>
      </w:pPr>
      <w:r>
        <w:rPr>
          <w:rFonts w:ascii="Times New Roman" w:hAnsi="Times New Roman"/>
          <w:color w:val="000000"/>
        </w:rPr>
        <w:t xml:space="preserve">4.2 The predictive signal is biologically </w:t>
      </w:r>
      <w:proofErr w:type="gramStart"/>
      <w:r>
        <w:rPr>
          <w:rFonts w:ascii="Times New Roman" w:hAnsi="Times New Roman"/>
          <w:color w:val="000000"/>
        </w:rPr>
        <w:t>plausible</w:t>
      </w:r>
      <w:proofErr w:type="gramEnd"/>
    </w:p>
    <w:p w14:paraId="09900C31" w14:textId="77777777" w:rsidR="00607527" w:rsidRDefault="00000000">
      <w:pPr>
        <w:jc w:val="both"/>
      </w:pPr>
      <w:r>
        <w:rPr>
          <w:color w:val="000000"/>
        </w:rPr>
        <w:t>SHAP attribution identifies HDL cholesterol and triglycerides as the strongest contributors (Figure 2), both well-established lipid markers of insulin resistance, with a metabolite feature and microbiome taxa also contributing. The signal is distributed rather than driven by one analyte: 26 of 86 analytes carry 80% of the total attribution. This distribution, and the identity of the top features, supports the interpretation that the model captures real metabolic biology rather than noise.</w:t>
      </w:r>
    </w:p>
    <w:p w14:paraId="76305CB5" w14:textId="77777777" w:rsidR="00607527" w:rsidRDefault="00000000">
      <w:pPr>
        <w:jc w:val="center"/>
      </w:pPr>
      <w:r>
        <w:rPr>
          <w:noProof/>
          <w:color w:val="000000"/>
        </w:rPr>
        <w:lastRenderedPageBreak/>
        <w:drawing>
          <wp:inline distT="0" distB="0" distL="0" distR="0" wp14:anchorId="65381215" wp14:editId="4E7F765F">
            <wp:extent cx="4137660" cy="3259252"/>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5326e675_shap_summary.png"/>
                    <pic:cNvPicPr/>
                  </pic:nvPicPr>
                  <pic:blipFill>
                    <a:blip r:embed="rId7"/>
                    <a:stretch>
                      <a:fillRect/>
                    </a:stretch>
                  </pic:blipFill>
                  <pic:spPr>
                    <a:xfrm>
                      <a:off x="0" y="0"/>
                      <a:ext cx="4143549" cy="3263891"/>
                    </a:xfrm>
                    <a:prstGeom prst="rect">
                      <a:avLst/>
                    </a:prstGeom>
                  </pic:spPr>
                </pic:pic>
              </a:graphicData>
            </a:graphic>
          </wp:inline>
        </w:drawing>
      </w:r>
    </w:p>
    <w:p w14:paraId="386192B3" w14:textId="0E780A28" w:rsidR="00607527" w:rsidRDefault="00000000">
      <w:pPr>
        <w:jc w:val="center"/>
      </w:pPr>
      <w:r>
        <w:rPr>
          <w:b/>
          <w:i/>
          <w:color w:val="000000"/>
          <w:sz w:val="20"/>
        </w:rPr>
        <w:t xml:space="preserve">Figure 2. </w:t>
      </w:r>
      <w:r>
        <w:rPr>
          <w:i/>
          <w:color w:val="000000"/>
          <w:sz w:val="20"/>
        </w:rPr>
        <w:t>SHAP feature attribution for the omics</w:t>
      </w:r>
      <w:r w:rsidR="006A04B1">
        <w:rPr>
          <w:i/>
          <w:color w:val="000000"/>
          <w:sz w:val="20"/>
        </w:rPr>
        <w:t xml:space="preserve"> to </w:t>
      </w:r>
      <w:r>
        <w:rPr>
          <w:i/>
          <w:color w:val="000000"/>
          <w:sz w:val="20"/>
        </w:rPr>
        <w:t>SSPG model. HDL cholesterol and triglycerides dominate, consistent with the biology of insulin resistance.</w:t>
      </w:r>
    </w:p>
    <w:p w14:paraId="1245BC1D" w14:textId="77777777" w:rsidR="00607527" w:rsidRDefault="00000000">
      <w:pPr>
        <w:pStyle w:val="Heading3"/>
      </w:pPr>
      <w:r>
        <w:rPr>
          <w:rFonts w:ascii="Times New Roman" w:hAnsi="Times New Roman"/>
          <w:color w:val="000000"/>
        </w:rPr>
        <w:t>4.3 Retinal imaging model</w:t>
      </w:r>
    </w:p>
    <w:p w14:paraId="184E6B45" w14:textId="2FA4BA8F" w:rsidR="00607527" w:rsidRDefault="00000000">
      <w:pPr>
        <w:jc w:val="both"/>
      </w:pPr>
      <w:r>
        <w:rPr>
          <w:color w:val="000000"/>
        </w:rPr>
        <w:t>The fine-tuned ResNet-50 reaches 62.5% validation accuracy on five-class diabetic-retinopathy grading, above the 44.6% majority-class baseline</w:t>
      </w:r>
      <w:r w:rsidR="006A04B1">
        <w:rPr>
          <w:color w:val="000000"/>
        </w:rPr>
        <w:t>.</w:t>
      </w:r>
    </w:p>
    <w:p w14:paraId="1375FB87" w14:textId="77777777" w:rsidR="00607527" w:rsidRDefault="00000000">
      <w:pPr>
        <w:pStyle w:val="Heading3"/>
      </w:pPr>
      <w:r>
        <w:rPr>
          <w:rFonts w:ascii="Times New Roman" w:hAnsi="Times New Roman"/>
          <w:color w:val="000000"/>
        </w:rPr>
        <w:t>4.4 Real two-modality fusion on linked patients</w:t>
      </w:r>
    </w:p>
    <w:p w14:paraId="303F2C22" w14:textId="6CE5A441" w:rsidR="00607527" w:rsidRDefault="00000000">
      <w:pPr>
        <w:jc w:val="both"/>
      </w:pPr>
      <w:r>
        <w:rPr>
          <w:color w:val="000000"/>
        </w:rPr>
        <w:t>Twenty-two patients are measured on both omics and continuous glucose (19 with SSPG labels), so a genuine two-modality fusion is possible without any synthetic data. On these 19 real patients, omics alone predicts SSPG at LOO R² = 0.11 (r = 0.53, p = 0.02)</w:t>
      </w:r>
      <w:r w:rsidR="006A04B1">
        <w:rPr>
          <w:color w:val="000000"/>
        </w:rPr>
        <w:t xml:space="preserve">, </w:t>
      </w:r>
      <w:r>
        <w:rPr>
          <w:color w:val="000000"/>
        </w:rPr>
        <w:t>continuous-glucose variability alone is uninformative (R² = −0.43, p = 0.50)</w:t>
      </w:r>
      <w:r w:rsidR="006A04B1">
        <w:rPr>
          <w:color w:val="000000"/>
        </w:rPr>
        <w:t>,</w:t>
      </w:r>
      <w:r>
        <w:rPr>
          <w:color w:val="000000"/>
        </w:rPr>
        <w:t xml:space="preserve"> and combining the two gives R² = 0.10</w:t>
      </w:r>
      <w:r w:rsidR="006A04B1">
        <w:rPr>
          <w:color w:val="000000"/>
        </w:rPr>
        <w:t xml:space="preserve">, </w:t>
      </w:r>
      <w:r w:rsidRPr="006A04B1">
        <w:rPr>
          <w:bCs/>
          <w:color w:val="000000"/>
        </w:rPr>
        <w:t>no improvement over omics alone</w:t>
      </w:r>
      <w:r>
        <w:rPr>
          <w:color w:val="000000"/>
        </w:rPr>
        <w:t xml:space="preserve">. This is a real, if underpowered, negative result: at this sample size, glucose-variability features add no predictive value beyond the omics profile, possibly because fasting omics already captures the insulin-resistance signal. </w:t>
      </w:r>
    </w:p>
    <w:p w14:paraId="6F0B93FA" w14:textId="37BA7B80" w:rsidR="00607527" w:rsidRPr="006A04B1" w:rsidRDefault="00000000">
      <w:pPr>
        <w:jc w:val="both"/>
      </w:pPr>
      <w:r>
        <w:rPr>
          <w:color w:val="000000"/>
        </w:rPr>
        <w:t xml:space="preserve">The null is not an artefact of one modelling choice. A per-fold consensus feature-selection analysis (filter, wrapper, and embedded selectors voting inside each of the 19 leave-one-out folds) shows that </w:t>
      </w:r>
      <w:r w:rsidRPr="006A04B1">
        <w:rPr>
          <w:bCs/>
          <w:color w:val="000000"/>
        </w:rPr>
        <w:t>not one of the fourteen glucose-variability features is ever selected</w:t>
      </w:r>
      <w:r>
        <w:rPr>
          <w:color w:val="000000"/>
        </w:rPr>
        <w:t>, in any fold, while the omics features are chosen stably (Table 2). Their mean ranks sit at the bottom of the roughly one hundred candidate features. Re-engineering a richer glucose-variability set (postprandial slopes, sample entropy, area-over-threshold) changes nothing: those features are also selected in zero folds.</w:t>
      </w:r>
    </w:p>
    <w:tbl>
      <w:tblPr>
        <w:tblStyle w:val="TableGrid"/>
        <w:tblW w:w="0" w:type="auto"/>
        <w:tblLook w:val="04A0" w:firstRow="1" w:lastRow="0" w:firstColumn="1" w:lastColumn="0" w:noHBand="0" w:noVBand="1"/>
      </w:tblPr>
      <w:tblGrid>
        <w:gridCol w:w="2878"/>
        <w:gridCol w:w="2876"/>
        <w:gridCol w:w="2876"/>
      </w:tblGrid>
      <w:tr w:rsidR="00607527" w14:paraId="7B5154C9" w14:textId="77777777">
        <w:tc>
          <w:tcPr>
            <w:tcW w:w="2880" w:type="dxa"/>
          </w:tcPr>
          <w:p w14:paraId="2A38CEBE" w14:textId="77777777" w:rsidR="00607527" w:rsidRDefault="00000000">
            <w:r>
              <w:rPr>
                <w:b/>
                <w:color w:val="000000"/>
                <w:sz w:val="21"/>
              </w:rPr>
              <w:lastRenderedPageBreak/>
              <w:t>Feature</w:t>
            </w:r>
          </w:p>
        </w:tc>
        <w:tc>
          <w:tcPr>
            <w:tcW w:w="2880" w:type="dxa"/>
          </w:tcPr>
          <w:p w14:paraId="60600F3C" w14:textId="77777777" w:rsidR="00607527" w:rsidRDefault="00000000">
            <w:r>
              <w:rPr>
                <w:b/>
                <w:color w:val="000000"/>
                <w:sz w:val="21"/>
              </w:rPr>
              <w:t>Modality</w:t>
            </w:r>
          </w:p>
        </w:tc>
        <w:tc>
          <w:tcPr>
            <w:tcW w:w="2880" w:type="dxa"/>
          </w:tcPr>
          <w:p w14:paraId="6035642F" w14:textId="77777777" w:rsidR="00607527" w:rsidRDefault="00000000">
            <w:r>
              <w:rPr>
                <w:b/>
                <w:color w:val="000000"/>
                <w:sz w:val="21"/>
              </w:rPr>
              <w:t>Selected in</w:t>
            </w:r>
          </w:p>
        </w:tc>
      </w:tr>
      <w:tr w:rsidR="00607527" w14:paraId="7C1294A7" w14:textId="77777777">
        <w:tc>
          <w:tcPr>
            <w:tcW w:w="2880" w:type="dxa"/>
          </w:tcPr>
          <w:p w14:paraId="7A2E8A91" w14:textId="77777777" w:rsidR="00607527" w:rsidRDefault="00000000">
            <w:r>
              <w:rPr>
                <w:color w:val="000000"/>
                <w:sz w:val="21"/>
              </w:rPr>
              <w:t>APOD</w:t>
            </w:r>
          </w:p>
        </w:tc>
        <w:tc>
          <w:tcPr>
            <w:tcW w:w="2880" w:type="dxa"/>
          </w:tcPr>
          <w:p w14:paraId="6686DE13" w14:textId="77777777" w:rsidR="00607527" w:rsidRDefault="00000000">
            <w:r>
              <w:rPr>
                <w:color w:val="000000"/>
                <w:sz w:val="21"/>
              </w:rPr>
              <w:t>omics</w:t>
            </w:r>
          </w:p>
        </w:tc>
        <w:tc>
          <w:tcPr>
            <w:tcW w:w="2880" w:type="dxa"/>
          </w:tcPr>
          <w:p w14:paraId="5F02736A" w14:textId="77777777" w:rsidR="00607527" w:rsidRDefault="00000000">
            <w:r>
              <w:rPr>
                <w:color w:val="000000"/>
                <w:sz w:val="21"/>
              </w:rPr>
              <w:t>100% of folds</w:t>
            </w:r>
          </w:p>
        </w:tc>
      </w:tr>
      <w:tr w:rsidR="00607527" w14:paraId="3755F95C" w14:textId="77777777">
        <w:tc>
          <w:tcPr>
            <w:tcW w:w="2880" w:type="dxa"/>
          </w:tcPr>
          <w:p w14:paraId="6FDDC121" w14:textId="77777777" w:rsidR="00607527" w:rsidRDefault="00000000">
            <w:r>
              <w:rPr>
                <w:color w:val="000000"/>
                <w:sz w:val="21"/>
              </w:rPr>
              <w:t>K01358</w:t>
            </w:r>
          </w:p>
        </w:tc>
        <w:tc>
          <w:tcPr>
            <w:tcW w:w="2880" w:type="dxa"/>
          </w:tcPr>
          <w:p w14:paraId="2946EF93" w14:textId="77777777" w:rsidR="00607527" w:rsidRDefault="00000000">
            <w:r>
              <w:rPr>
                <w:color w:val="000000"/>
                <w:sz w:val="21"/>
              </w:rPr>
              <w:t>omics</w:t>
            </w:r>
          </w:p>
        </w:tc>
        <w:tc>
          <w:tcPr>
            <w:tcW w:w="2880" w:type="dxa"/>
          </w:tcPr>
          <w:p w14:paraId="21619320" w14:textId="77777777" w:rsidR="00607527" w:rsidRDefault="00000000">
            <w:r>
              <w:rPr>
                <w:color w:val="000000"/>
                <w:sz w:val="21"/>
              </w:rPr>
              <w:t>89%</w:t>
            </w:r>
          </w:p>
        </w:tc>
      </w:tr>
      <w:tr w:rsidR="00607527" w14:paraId="44C7957F" w14:textId="77777777">
        <w:tc>
          <w:tcPr>
            <w:tcW w:w="2880" w:type="dxa"/>
          </w:tcPr>
          <w:p w14:paraId="784C03E1" w14:textId="77777777" w:rsidR="00607527" w:rsidRDefault="00000000">
            <w:r>
              <w:rPr>
                <w:color w:val="000000"/>
                <w:sz w:val="21"/>
              </w:rPr>
              <w:t>HDL</w:t>
            </w:r>
          </w:p>
        </w:tc>
        <w:tc>
          <w:tcPr>
            <w:tcW w:w="2880" w:type="dxa"/>
          </w:tcPr>
          <w:p w14:paraId="173DB731" w14:textId="77777777" w:rsidR="00607527" w:rsidRDefault="00000000">
            <w:r>
              <w:rPr>
                <w:color w:val="000000"/>
                <w:sz w:val="21"/>
              </w:rPr>
              <w:t>omics</w:t>
            </w:r>
          </w:p>
        </w:tc>
        <w:tc>
          <w:tcPr>
            <w:tcW w:w="2880" w:type="dxa"/>
          </w:tcPr>
          <w:p w14:paraId="35A98E5F" w14:textId="77777777" w:rsidR="00607527" w:rsidRDefault="00000000">
            <w:r>
              <w:rPr>
                <w:color w:val="000000"/>
                <w:sz w:val="21"/>
              </w:rPr>
              <w:t>79%</w:t>
            </w:r>
          </w:p>
        </w:tc>
      </w:tr>
      <w:tr w:rsidR="00607527" w14:paraId="604FA2A1" w14:textId="77777777">
        <w:tc>
          <w:tcPr>
            <w:tcW w:w="2880" w:type="dxa"/>
          </w:tcPr>
          <w:p w14:paraId="37BF11D0" w14:textId="77777777" w:rsidR="00607527" w:rsidRDefault="00000000">
            <w:r>
              <w:rPr>
                <w:color w:val="000000"/>
                <w:sz w:val="21"/>
              </w:rPr>
              <w:t>pRPLC_180.0654_2</w:t>
            </w:r>
          </w:p>
        </w:tc>
        <w:tc>
          <w:tcPr>
            <w:tcW w:w="2880" w:type="dxa"/>
          </w:tcPr>
          <w:p w14:paraId="381B28E3" w14:textId="77777777" w:rsidR="00607527" w:rsidRDefault="00000000">
            <w:r>
              <w:rPr>
                <w:color w:val="000000"/>
                <w:sz w:val="21"/>
              </w:rPr>
              <w:t>omics</w:t>
            </w:r>
          </w:p>
        </w:tc>
        <w:tc>
          <w:tcPr>
            <w:tcW w:w="2880" w:type="dxa"/>
          </w:tcPr>
          <w:p w14:paraId="04FC5B85" w14:textId="77777777" w:rsidR="00607527" w:rsidRDefault="00000000">
            <w:r>
              <w:rPr>
                <w:color w:val="000000"/>
                <w:sz w:val="21"/>
              </w:rPr>
              <w:t>79%</w:t>
            </w:r>
          </w:p>
        </w:tc>
      </w:tr>
      <w:tr w:rsidR="00607527" w14:paraId="73A650AF" w14:textId="77777777">
        <w:tc>
          <w:tcPr>
            <w:tcW w:w="2880" w:type="dxa"/>
          </w:tcPr>
          <w:p w14:paraId="6A1EE5DC" w14:textId="77777777" w:rsidR="00607527" w:rsidRDefault="00000000">
            <w:r>
              <w:rPr>
                <w:color w:val="000000"/>
                <w:sz w:val="21"/>
              </w:rPr>
              <w:t>EGFR</w:t>
            </w:r>
          </w:p>
        </w:tc>
        <w:tc>
          <w:tcPr>
            <w:tcW w:w="2880" w:type="dxa"/>
          </w:tcPr>
          <w:p w14:paraId="3E650DED" w14:textId="77777777" w:rsidR="00607527" w:rsidRDefault="00000000">
            <w:r>
              <w:rPr>
                <w:color w:val="000000"/>
                <w:sz w:val="21"/>
              </w:rPr>
              <w:t>omics</w:t>
            </w:r>
          </w:p>
        </w:tc>
        <w:tc>
          <w:tcPr>
            <w:tcW w:w="2880" w:type="dxa"/>
          </w:tcPr>
          <w:p w14:paraId="45D4113E" w14:textId="77777777" w:rsidR="00607527" w:rsidRDefault="00000000">
            <w:r>
              <w:rPr>
                <w:color w:val="000000"/>
                <w:sz w:val="21"/>
              </w:rPr>
              <w:t>74%</w:t>
            </w:r>
          </w:p>
        </w:tc>
      </w:tr>
      <w:tr w:rsidR="00607527" w14:paraId="3A97FE32" w14:textId="77777777">
        <w:tc>
          <w:tcPr>
            <w:tcW w:w="2880" w:type="dxa"/>
          </w:tcPr>
          <w:p w14:paraId="4E724F9F" w14:textId="77777777" w:rsidR="00607527" w:rsidRDefault="00000000">
            <w:r>
              <w:rPr>
                <w:color w:val="000000"/>
                <w:sz w:val="21"/>
              </w:rPr>
              <w:t>All 14 glucose-variability features</w:t>
            </w:r>
          </w:p>
        </w:tc>
        <w:tc>
          <w:tcPr>
            <w:tcW w:w="2880" w:type="dxa"/>
          </w:tcPr>
          <w:p w14:paraId="12655EF5" w14:textId="77777777" w:rsidR="00607527" w:rsidRDefault="00000000">
            <w:r>
              <w:rPr>
                <w:color w:val="000000"/>
                <w:sz w:val="21"/>
              </w:rPr>
              <w:t>CGM</w:t>
            </w:r>
          </w:p>
        </w:tc>
        <w:tc>
          <w:tcPr>
            <w:tcW w:w="2880" w:type="dxa"/>
          </w:tcPr>
          <w:p w14:paraId="55F88876" w14:textId="77777777" w:rsidR="00607527" w:rsidRDefault="00000000">
            <w:r>
              <w:rPr>
                <w:color w:val="000000"/>
                <w:sz w:val="21"/>
              </w:rPr>
              <w:t>0%</w:t>
            </w:r>
          </w:p>
        </w:tc>
      </w:tr>
    </w:tbl>
    <w:p w14:paraId="253544B3" w14:textId="19205F53" w:rsidR="006A04B1" w:rsidRPr="006A04B1" w:rsidRDefault="006A04B1">
      <w:pPr>
        <w:jc w:val="both"/>
        <w:rPr>
          <w:sz w:val="20"/>
          <w:szCs w:val="20"/>
        </w:rPr>
      </w:pPr>
      <w:r w:rsidRPr="006A04B1">
        <w:rPr>
          <w:b/>
          <w:color w:val="000000"/>
          <w:sz w:val="20"/>
          <w:szCs w:val="20"/>
        </w:rPr>
        <w:t>Table 2. Per-fold selection frequency across 19 leave-one-out folds (omics + CGM on the 19 linked patients).</w:t>
      </w:r>
    </w:p>
    <w:p w14:paraId="73FF8A25" w14:textId="270C7D72" w:rsidR="00607527" w:rsidRDefault="00000000">
      <w:pPr>
        <w:jc w:val="both"/>
      </w:pPr>
      <w:r>
        <w:rPr>
          <w:color w:val="000000"/>
        </w:rPr>
        <w:t>A "fair" test that first selects the top omics features and only then adds CGM confirms the same conclusion: adding the glucose features never improves the held-out score and usually degrades it (for example, top-10 omics alone R² = −0.18 versus −1.03 with CGM added), and on the binary insulin-resistance task the CGM-augmented classifier stays near chance (AUROC ≈ 0.40–0.51). At n = 19 the glucose-variability modality carries no recoverable signal for this target.</w:t>
      </w:r>
    </w:p>
    <w:p w14:paraId="2D63A04F" w14:textId="77777777" w:rsidR="00607527" w:rsidRDefault="00000000">
      <w:pPr>
        <w:pStyle w:val="Heading3"/>
      </w:pPr>
      <w:r>
        <w:rPr>
          <w:rFonts w:ascii="Times New Roman" w:hAnsi="Times New Roman"/>
          <w:color w:val="000000"/>
        </w:rPr>
        <w:t>4.5 Four-modality fusion (virtual-cohort demonstration)</w:t>
      </w:r>
    </w:p>
    <w:p w14:paraId="6209BBB5" w14:textId="51550633" w:rsidR="00607527" w:rsidRDefault="00000000">
      <w:pPr>
        <w:jc w:val="both"/>
      </w:pPr>
      <w:r>
        <w:rPr>
          <w:color w:val="000000"/>
        </w:rPr>
        <w:t>Because no public dataset links all four modalities in the same individuals, four-way fusion is demonstrated on the latent-variable virtual cohort. Late fusion reaches R² = 0.85 against a scrambled-cohort control of 0.01 and an additive-only baseline of −3.55 (Figure 3)</w:t>
      </w:r>
      <w:r w:rsidR="006A04B1">
        <w:rPr>
          <w:color w:val="000000"/>
        </w:rPr>
        <w:t>.</w:t>
      </w:r>
      <w:r>
        <w:rPr>
          <w:color w:val="000000"/>
        </w:rPr>
        <w:t xml:space="preserve"> </w:t>
      </w:r>
      <w:r w:rsidR="006A04B1">
        <w:rPr>
          <w:color w:val="000000"/>
        </w:rPr>
        <w:t>T</w:t>
      </w:r>
      <w:r>
        <w:rPr>
          <w:color w:val="000000"/>
        </w:rPr>
        <w:t>he controls confirm the meta-model correctly requires the true patient-to-target alignment and is not exploiting an artefact. Leave-one-modality-out ablation ranks omics dominant (removing it drops R² by 0.10) and imaging weakest (0.005).</w:t>
      </w:r>
    </w:p>
    <w:p w14:paraId="2A72F3C2" w14:textId="2E7FFB5A" w:rsidR="00607527" w:rsidRDefault="00000000">
      <w:pPr>
        <w:jc w:val="both"/>
      </w:pPr>
      <w:r w:rsidRPr="006A04B1">
        <w:rPr>
          <w:bCs/>
          <w:color w:val="000000"/>
        </w:rPr>
        <w:t xml:space="preserve">This 0.85 is design-dependent, not a discovered result. </w:t>
      </w:r>
      <w:r>
        <w:rPr>
          <w:color w:val="000000"/>
        </w:rPr>
        <w:t xml:space="preserve">A sensitivity analysis confirms it tracks the synthetic signal strength directly: as the latent loading is raised from 0.2 to 1.2 the fusion R² moves from 0.55 to 0.89, and as the injected noise is raised from 0.5 to 4.0 it falls from 0.93 to 0.25. The number therefore reflects the parameters chosen when generating the </w:t>
      </w:r>
      <w:proofErr w:type="gramStart"/>
      <w:r>
        <w:rPr>
          <w:color w:val="000000"/>
        </w:rPr>
        <w:t>cohort, and</w:t>
      </w:r>
      <w:proofErr w:type="gramEnd"/>
      <w:r>
        <w:rPr>
          <w:color w:val="000000"/>
        </w:rPr>
        <w:t xml:space="preserve"> is included only to show the fusion machinery combines modalities correctly and passes its controls </w:t>
      </w:r>
      <w:r w:rsidR="006A04B1">
        <w:rPr>
          <w:color w:val="000000"/>
        </w:rPr>
        <w:t>(</w:t>
      </w:r>
      <w:r>
        <w:rPr>
          <w:color w:val="000000"/>
        </w:rPr>
        <w:t>exactly the template that would apply to a properly linked cohort</w:t>
      </w:r>
      <w:r w:rsidR="006A04B1">
        <w:rPr>
          <w:color w:val="000000"/>
        </w:rPr>
        <w:t>)</w:t>
      </w:r>
      <w:r>
        <w:rPr>
          <w:color w:val="000000"/>
        </w:rPr>
        <w:t>. Read alongside the real two-modality result (Section 4.4), the contrast is the point: on genuinely linked data the fusion lift disappears, which is why the synthetic number is labelled as a demonstration rather than a finding.</w:t>
      </w:r>
    </w:p>
    <w:p w14:paraId="16FE2DA0" w14:textId="77777777" w:rsidR="00607527" w:rsidRDefault="00000000">
      <w:pPr>
        <w:jc w:val="center"/>
      </w:pPr>
      <w:r>
        <w:rPr>
          <w:noProof/>
          <w:color w:val="000000"/>
        </w:rPr>
        <w:lastRenderedPageBreak/>
        <w:drawing>
          <wp:inline distT="0" distB="0" distL="0" distR="0" wp14:anchorId="202363B6" wp14:editId="70BD2552">
            <wp:extent cx="3733800" cy="220464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a078660_fusion_comparison.png"/>
                    <pic:cNvPicPr/>
                  </pic:nvPicPr>
                  <pic:blipFill>
                    <a:blip r:embed="rId8"/>
                    <a:stretch>
                      <a:fillRect/>
                    </a:stretch>
                  </pic:blipFill>
                  <pic:spPr>
                    <a:xfrm>
                      <a:off x="0" y="0"/>
                      <a:ext cx="3738150" cy="2207215"/>
                    </a:xfrm>
                    <a:prstGeom prst="rect">
                      <a:avLst/>
                    </a:prstGeom>
                  </pic:spPr>
                </pic:pic>
              </a:graphicData>
            </a:graphic>
          </wp:inline>
        </w:drawing>
      </w:r>
    </w:p>
    <w:p w14:paraId="302905ED" w14:textId="77777777" w:rsidR="00607527" w:rsidRDefault="00000000">
      <w:pPr>
        <w:jc w:val="center"/>
      </w:pPr>
      <w:r>
        <w:rPr>
          <w:b/>
          <w:i/>
          <w:color w:val="000000"/>
          <w:sz w:val="20"/>
        </w:rPr>
        <w:t xml:space="preserve">Figure 3. </w:t>
      </w:r>
      <w:r>
        <w:rPr>
          <w:i/>
          <w:color w:val="000000"/>
          <w:sz w:val="20"/>
        </w:rPr>
        <w:t>Fusion versus single-modality and control baselines on the virtual cohort.</w:t>
      </w:r>
    </w:p>
    <w:p w14:paraId="30D534C8" w14:textId="77777777" w:rsidR="00607527" w:rsidRDefault="00000000">
      <w:pPr>
        <w:pStyle w:val="Heading3"/>
      </w:pPr>
      <w:r>
        <w:rPr>
          <w:rFonts w:ascii="Times New Roman" w:hAnsi="Times New Roman"/>
          <w:color w:val="000000"/>
        </w:rPr>
        <w:t>4.6 Privacy-preserving variants</w:t>
      </w:r>
    </w:p>
    <w:p w14:paraId="7E56B4C5" w14:textId="77777777" w:rsidR="00607527" w:rsidRDefault="00000000">
      <w:pPr>
        <w:jc w:val="both"/>
      </w:pPr>
      <w:r>
        <w:rPr>
          <w:color w:val="000000"/>
        </w:rPr>
        <w:t>Under differential privacy, utility degrades gracefully with the privacy budget (R² from 0.50 at ε = 0.1 to 0.78 at ε = ∞), and a federated simulation retains useful accuracy as data are split across sites (central R² = 0.72; 0.67, 0.61, and 0.56 across two, four, and eight sites), demonstrating the pipeline is compatible with privacy constraints.</w:t>
      </w:r>
    </w:p>
    <w:p w14:paraId="5F61DAC8" w14:textId="77777777" w:rsidR="00607527" w:rsidRDefault="00000000">
      <w:pPr>
        <w:pStyle w:val="Heading3"/>
      </w:pPr>
      <w:r>
        <w:rPr>
          <w:rFonts w:ascii="Times New Roman" w:hAnsi="Times New Roman"/>
          <w:color w:val="000000"/>
        </w:rPr>
        <w:t>4.7 Cloud store</w:t>
      </w:r>
    </w:p>
    <w:p w14:paraId="4813162E" w14:textId="0A6C8697" w:rsidR="00607527" w:rsidRDefault="00000000">
      <w:pPr>
        <w:jc w:val="both"/>
      </w:pPr>
      <w:r>
        <w:rPr>
          <w:color w:val="000000"/>
        </w:rPr>
        <w:t>The relational store</w:t>
      </w:r>
      <w:r w:rsidR="006A04B1">
        <w:rPr>
          <w:color w:val="000000"/>
        </w:rPr>
        <w:t xml:space="preserve">, </w:t>
      </w:r>
      <w:r>
        <w:rPr>
          <w:color w:val="000000"/>
        </w:rPr>
        <w:t>60 subjects and 14,135 omics feature rows</w:t>
      </w:r>
      <w:r w:rsidR="006A04B1">
        <w:rPr>
          <w:color w:val="000000"/>
        </w:rPr>
        <w:t xml:space="preserve">, </w:t>
      </w:r>
      <w:r>
        <w:rPr>
          <w:color w:val="000000"/>
        </w:rPr>
        <w:t>was loaded into a live BigQuery dataset and queried server-side, confirming the same schema and query code operate identically on local and cloud back-ends.</w:t>
      </w:r>
    </w:p>
    <w:p w14:paraId="1F46AF4A" w14:textId="77777777" w:rsidR="00607527" w:rsidRDefault="00000000">
      <w:pPr>
        <w:pStyle w:val="Heading2"/>
      </w:pPr>
      <w:r>
        <w:rPr>
          <w:rFonts w:ascii="Times New Roman" w:hAnsi="Times New Roman"/>
          <w:color w:val="000000"/>
          <w:sz w:val="28"/>
        </w:rPr>
        <w:t>5. Discussion</w:t>
      </w:r>
    </w:p>
    <w:p w14:paraId="75BF75C8" w14:textId="54881A07" w:rsidR="00607527" w:rsidRDefault="00000000">
      <w:pPr>
        <w:jc w:val="both"/>
      </w:pPr>
      <w:r>
        <w:rPr>
          <w:color w:val="000000"/>
        </w:rPr>
        <w:t>The central finding is that insulin resistance is genuinely predictable from a single blood-omics draw: R² ≈ 0.46–0.49 with p &lt; 10⁻⁹ is a real, moderate effect, and the three convergent robustness checks make over-optimism an unlikely explanation. The ceiling here is set by biology and by the sample size (n = 59), not by the method</w:t>
      </w:r>
      <w:r w:rsidR="006A04B1">
        <w:rPr>
          <w:color w:val="000000"/>
        </w:rPr>
        <w:t>. I</w:t>
      </w:r>
      <w:r>
        <w:rPr>
          <w:color w:val="000000"/>
        </w:rPr>
        <w:t>nsulin resistance is influenced by diet, sleep, and stress that omics cannot observe, and a much higher R² on this sample would be more consistent with leakage than with genuine skill. That the strongest features are HDL and triglycerides is reassuring: the model recovers known physiology.</w:t>
      </w:r>
    </w:p>
    <w:p w14:paraId="4D1679EF" w14:textId="3462A861" w:rsidR="00607527" w:rsidRDefault="00000000">
      <w:pPr>
        <w:jc w:val="both"/>
      </w:pPr>
      <w:r>
        <w:rPr>
          <w:color w:val="000000"/>
        </w:rPr>
        <w:t>The multimodal fusion result must be read carefully, and the two fusion analyses are deliberately reported side by side. On the 19 genuinely linked patients (Section 4.4), adding continuous-glucose variability to omics produced no improvement over omics alon</w:t>
      </w:r>
      <w:r w:rsidR="006A04B1">
        <w:rPr>
          <w:color w:val="000000"/>
        </w:rPr>
        <w:t>e</w:t>
      </w:r>
      <w:r>
        <w:rPr>
          <w:color w:val="000000"/>
        </w:rPr>
        <w:t xml:space="preserve">. On the synthetic four-modality cohort (Section 4.5), fusion reaches R² = 0.85, but the sensitivity analysis shows this number is a direct function of the loadings and noise chosen when generating the data, not a discovered biological effect. The honest reading is that the four-way fusion demonstrates a correct, control-checked pipeline rather than a </w:t>
      </w:r>
      <w:r>
        <w:rPr>
          <w:color w:val="000000"/>
        </w:rPr>
        <w:lastRenderedPageBreak/>
        <w:t>predictive finding, and the real two-way result shows what happens on data that cannot be engineered to agree. The main threats to validity are the small omics sample (n = 59, and only 19 for the linked analysis) and the disjoint cohorts</w:t>
      </w:r>
      <w:r w:rsidR="006A04B1">
        <w:rPr>
          <w:color w:val="000000"/>
        </w:rPr>
        <w:t>.</w:t>
      </w:r>
    </w:p>
    <w:p w14:paraId="72509E76" w14:textId="77777777" w:rsidR="00607527" w:rsidRDefault="00000000">
      <w:pPr>
        <w:pStyle w:val="Heading2"/>
      </w:pPr>
      <w:r>
        <w:rPr>
          <w:rFonts w:ascii="Times New Roman" w:hAnsi="Times New Roman"/>
          <w:color w:val="000000"/>
          <w:sz w:val="28"/>
        </w:rPr>
        <w:t>6. Conclusion</w:t>
      </w:r>
    </w:p>
    <w:p w14:paraId="19DC1080" w14:textId="5080FA7C" w:rsidR="00607527" w:rsidRDefault="00000000">
      <w:pPr>
        <w:jc w:val="both"/>
        <w:rPr>
          <w:color w:val="000000"/>
        </w:rPr>
      </w:pPr>
      <w:r>
        <w:rPr>
          <w:color w:val="000000"/>
        </w:rPr>
        <w:t>A single-modality model predicts insulin resistance from blood omics with a real, rigorously validated moderate effect, and a late-fusion architecture provides a transparent template for integrating omics, glucose, wearable, and imaging data once a linked cohort is available.</w:t>
      </w:r>
    </w:p>
    <w:p w14:paraId="15A9E049" w14:textId="77777777" w:rsidR="006A04B1" w:rsidRDefault="006A04B1">
      <w:pPr>
        <w:jc w:val="both"/>
        <w:rPr>
          <w:color w:val="000000"/>
        </w:rPr>
      </w:pPr>
    </w:p>
    <w:p w14:paraId="00CAAA2D" w14:textId="77777777" w:rsidR="006A04B1" w:rsidRDefault="006A04B1">
      <w:pPr>
        <w:jc w:val="both"/>
        <w:rPr>
          <w:color w:val="000000"/>
        </w:rPr>
      </w:pPr>
    </w:p>
    <w:p w14:paraId="361512FF" w14:textId="77777777" w:rsidR="006A04B1" w:rsidRDefault="006A04B1">
      <w:pPr>
        <w:jc w:val="both"/>
        <w:rPr>
          <w:color w:val="000000"/>
        </w:rPr>
      </w:pPr>
    </w:p>
    <w:p w14:paraId="7FF8B8FE" w14:textId="77777777" w:rsidR="006A04B1" w:rsidRDefault="006A04B1">
      <w:pPr>
        <w:jc w:val="both"/>
        <w:rPr>
          <w:color w:val="000000"/>
        </w:rPr>
      </w:pPr>
    </w:p>
    <w:p w14:paraId="754E897E" w14:textId="77777777" w:rsidR="006A04B1" w:rsidRDefault="006A04B1">
      <w:pPr>
        <w:jc w:val="both"/>
        <w:rPr>
          <w:color w:val="000000"/>
        </w:rPr>
      </w:pPr>
    </w:p>
    <w:p w14:paraId="7C9A0665" w14:textId="77777777" w:rsidR="006A04B1" w:rsidRDefault="006A04B1">
      <w:pPr>
        <w:jc w:val="both"/>
        <w:rPr>
          <w:color w:val="000000"/>
        </w:rPr>
      </w:pPr>
    </w:p>
    <w:p w14:paraId="27F845B2" w14:textId="77777777" w:rsidR="006A04B1" w:rsidRDefault="006A04B1">
      <w:pPr>
        <w:jc w:val="both"/>
        <w:rPr>
          <w:color w:val="000000"/>
        </w:rPr>
      </w:pPr>
    </w:p>
    <w:p w14:paraId="7A25D0BC" w14:textId="77777777" w:rsidR="006A04B1" w:rsidRDefault="006A04B1">
      <w:pPr>
        <w:jc w:val="both"/>
        <w:rPr>
          <w:color w:val="000000"/>
        </w:rPr>
      </w:pPr>
    </w:p>
    <w:p w14:paraId="19027F0F" w14:textId="77777777" w:rsidR="006A04B1" w:rsidRDefault="006A04B1">
      <w:pPr>
        <w:jc w:val="both"/>
        <w:rPr>
          <w:color w:val="000000"/>
        </w:rPr>
      </w:pPr>
    </w:p>
    <w:p w14:paraId="647C48AC" w14:textId="77777777" w:rsidR="006A04B1" w:rsidRDefault="006A04B1">
      <w:pPr>
        <w:jc w:val="both"/>
        <w:rPr>
          <w:color w:val="000000"/>
        </w:rPr>
      </w:pPr>
    </w:p>
    <w:p w14:paraId="1438F755" w14:textId="77777777" w:rsidR="006A04B1" w:rsidRDefault="006A04B1">
      <w:pPr>
        <w:jc w:val="both"/>
        <w:rPr>
          <w:color w:val="000000"/>
        </w:rPr>
      </w:pPr>
    </w:p>
    <w:p w14:paraId="75A7CA37" w14:textId="77777777" w:rsidR="006A04B1" w:rsidRDefault="006A04B1">
      <w:pPr>
        <w:jc w:val="both"/>
        <w:rPr>
          <w:color w:val="000000"/>
        </w:rPr>
      </w:pPr>
    </w:p>
    <w:p w14:paraId="0D07BD9E" w14:textId="77777777" w:rsidR="006A04B1" w:rsidRDefault="006A04B1">
      <w:pPr>
        <w:jc w:val="both"/>
        <w:rPr>
          <w:color w:val="000000"/>
        </w:rPr>
      </w:pPr>
    </w:p>
    <w:p w14:paraId="554CA500" w14:textId="77777777" w:rsidR="006A04B1" w:rsidRDefault="006A04B1">
      <w:pPr>
        <w:jc w:val="both"/>
        <w:rPr>
          <w:color w:val="000000"/>
        </w:rPr>
      </w:pPr>
    </w:p>
    <w:p w14:paraId="005A33CD" w14:textId="77777777" w:rsidR="006A04B1" w:rsidRDefault="006A04B1">
      <w:pPr>
        <w:jc w:val="both"/>
        <w:rPr>
          <w:color w:val="000000"/>
        </w:rPr>
      </w:pPr>
    </w:p>
    <w:p w14:paraId="554CBD3A" w14:textId="77777777" w:rsidR="006A04B1" w:rsidRDefault="006A04B1">
      <w:pPr>
        <w:jc w:val="both"/>
        <w:rPr>
          <w:color w:val="000000"/>
        </w:rPr>
      </w:pPr>
    </w:p>
    <w:p w14:paraId="4C4D5504" w14:textId="77777777" w:rsidR="006A04B1" w:rsidRDefault="006A04B1">
      <w:pPr>
        <w:jc w:val="both"/>
      </w:pPr>
    </w:p>
    <w:p w14:paraId="2A71CD40" w14:textId="77777777" w:rsidR="00607527" w:rsidRDefault="00000000">
      <w:pPr>
        <w:pStyle w:val="Heading2"/>
      </w:pPr>
      <w:r>
        <w:rPr>
          <w:rFonts w:ascii="Times New Roman" w:hAnsi="Times New Roman"/>
          <w:color w:val="000000"/>
          <w:sz w:val="28"/>
        </w:rPr>
        <w:lastRenderedPageBreak/>
        <w:t>References</w:t>
      </w:r>
    </w:p>
    <w:p w14:paraId="6ADBE66A" w14:textId="77777777" w:rsidR="00607527" w:rsidRDefault="00000000">
      <w:pPr>
        <w:jc w:val="both"/>
      </w:pPr>
      <w:r>
        <w:rPr>
          <w:color w:val="000000"/>
        </w:rPr>
        <w:t>[1] Huang et al. (2020). Fusion of medical imaging and electronic health records using deep learning: a systematic review and implementation guidelines. *npj Digital Medicine*. doi:10.1038/s41746-020-00341-z</w:t>
      </w:r>
    </w:p>
    <w:p w14:paraId="11236C5E" w14:textId="77777777" w:rsidR="00607527" w:rsidRDefault="00000000">
      <w:pPr>
        <w:jc w:val="both"/>
      </w:pPr>
      <w:r>
        <w:rPr>
          <w:color w:val="000000"/>
        </w:rPr>
        <w:t>[2] Stahlschmidt et al. (2022). Multimodal deep learning for biomedical data fusion: a review. *Briefings in Bioinformatics*. doi:10.1093/bib/bbab569</w:t>
      </w:r>
    </w:p>
    <w:p w14:paraId="17010F5E" w14:textId="77777777" w:rsidR="00607527" w:rsidRDefault="00000000">
      <w:pPr>
        <w:jc w:val="both"/>
      </w:pPr>
      <w:r>
        <w:rPr>
          <w:color w:val="000000"/>
        </w:rPr>
        <w:t>[3] Lipkova et al. (2022). Artificial intelligence for multimodal data integration in oncology. *Cancer Cell*. doi:10.1016/j.ccell.2022.09.012</w:t>
      </w:r>
    </w:p>
    <w:sectPr w:rsidR="0060752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172011">
    <w:abstractNumId w:val="8"/>
  </w:num>
  <w:num w:numId="2" w16cid:durableId="1357996733">
    <w:abstractNumId w:val="6"/>
  </w:num>
  <w:num w:numId="3" w16cid:durableId="267272191">
    <w:abstractNumId w:val="5"/>
  </w:num>
  <w:num w:numId="4" w16cid:durableId="107698661">
    <w:abstractNumId w:val="4"/>
  </w:num>
  <w:num w:numId="5" w16cid:durableId="1715888849">
    <w:abstractNumId w:val="7"/>
  </w:num>
  <w:num w:numId="6" w16cid:durableId="211429236">
    <w:abstractNumId w:val="3"/>
  </w:num>
  <w:num w:numId="7" w16cid:durableId="424426514">
    <w:abstractNumId w:val="2"/>
  </w:num>
  <w:num w:numId="8" w16cid:durableId="998079873">
    <w:abstractNumId w:val="1"/>
  </w:num>
  <w:num w:numId="9" w16cid:durableId="2068719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0115"/>
    <w:rsid w:val="0029639D"/>
    <w:rsid w:val="00326F90"/>
    <w:rsid w:val="00607527"/>
    <w:rsid w:val="006A04B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3F6F6A"/>
  <w14:defaultImageDpi w14:val="300"/>
  <w15:docId w15:val="{E4CCB74C-6E0D-D749-A3E3-2E13FEAB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A04B1"/>
    <w:pPr>
      <w:spacing w:before="120" w:after="0"/>
    </w:pPr>
    <w:rPr>
      <w:rFonts w:asciiTheme="minorHAnsi" w:hAnsiTheme="minorHAnsi"/>
      <w:b/>
      <w:bCs/>
      <w:i/>
      <w:iCs/>
      <w:szCs w:val="24"/>
    </w:rPr>
  </w:style>
  <w:style w:type="paragraph" w:styleId="TOC2">
    <w:name w:val="toc 2"/>
    <w:basedOn w:val="Normal"/>
    <w:next w:val="Normal"/>
    <w:autoRedefine/>
    <w:uiPriority w:val="39"/>
    <w:unhideWhenUsed/>
    <w:rsid w:val="006A04B1"/>
    <w:pPr>
      <w:spacing w:before="120" w:after="0"/>
      <w:ind w:left="240"/>
    </w:pPr>
    <w:rPr>
      <w:rFonts w:asciiTheme="minorHAnsi" w:hAnsiTheme="minorHAnsi"/>
      <w:b/>
      <w:bCs/>
      <w:sz w:val="22"/>
    </w:rPr>
  </w:style>
  <w:style w:type="paragraph" w:styleId="TOC3">
    <w:name w:val="toc 3"/>
    <w:basedOn w:val="Normal"/>
    <w:next w:val="Normal"/>
    <w:autoRedefine/>
    <w:uiPriority w:val="39"/>
    <w:unhideWhenUsed/>
    <w:rsid w:val="006A04B1"/>
    <w:pPr>
      <w:spacing w:after="0"/>
      <w:ind w:left="480"/>
    </w:pPr>
    <w:rPr>
      <w:rFonts w:asciiTheme="minorHAnsi" w:hAnsiTheme="minorHAnsi"/>
      <w:sz w:val="20"/>
      <w:szCs w:val="20"/>
    </w:rPr>
  </w:style>
  <w:style w:type="character" w:styleId="Hyperlink">
    <w:name w:val="Hyperlink"/>
    <w:basedOn w:val="DefaultParagraphFont"/>
    <w:uiPriority w:val="99"/>
    <w:unhideWhenUsed/>
    <w:rsid w:val="006A04B1"/>
    <w:rPr>
      <w:color w:val="0000FF" w:themeColor="hyperlink"/>
      <w:u w:val="single"/>
    </w:rPr>
  </w:style>
  <w:style w:type="paragraph" w:styleId="TOC4">
    <w:name w:val="toc 4"/>
    <w:basedOn w:val="Normal"/>
    <w:next w:val="Normal"/>
    <w:autoRedefine/>
    <w:uiPriority w:val="39"/>
    <w:semiHidden/>
    <w:unhideWhenUsed/>
    <w:rsid w:val="006A04B1"/>
    <w:pPr>
      <w:spacing w:after="0"/>
      <w:ind w:left="720"/>
    </w:pPr>
    <w:rPr>
      <w:rFonts w:asciiTheme="minorHAnsi" w:hAnsiTheme="minorHAnsi"/>
      <w:sz w:val="20"/>
      <w:szCs w:val="20"/>
    </w:rPr>
  </w:style>
  <w:style w:type="paragraph" w:styleId="TOC5">
    <w:name w:val="toc 5"/>
    <w:basedOn w:val="Normal"/>
    <w:next w:val="Normal"/>
    <w:autoRedefine/>
    <w:uiPriority w:val="39"/>
    <w:semiHidden/>
    <w:unhideWhenUsed/>
    <w:rsid w:val="006A04B1"/>
    <w:pPr>
      <w:spacing w:after="0"/>
      <w:ind w:left="960"/>
    </w:pPr>
    <w:rPr>
      <w:rFonts w:asciiTheme="minorHAnsi" w:hAnsiTheme="minorHAnsi"/>
      <w:sz w:val="20"/>
      <w:szCs w:val="20"/>
    </w:rPr>
  </w:style>
  <w:style w:type="paragraph" w:styleId="TOC6">
    <w:name w:val="toc 6"/>
    <w:basedOn w:val="Normal"/>
    <w:next w:val="Normal"/>
    <w:autoRedefine/>
    <w:uiPriority w:val="39"/>
    <w:semiHidden/>
    <w:unhideWhenUsed/>
    <w:rsid w:val="006A04B1"/>
    <w:pPr>
      <w:spacing w:after="0"/>
      <w:ind w:left="1200"/>
    </w:pPr>
    <w:rPr>
      <w:rFonts w:asciiTheme="minorHAnsi" w:hAnsiTheme="minorHAnsi"/>
      <w:sz w:val="20"/>
      <w:szCs w:val="20"/>
    </w:rPr>
  </w:style>
  <w:style w:type="paragraph" w:styleId="TOC7">
    <w:name w:val="toc 7"/>
    <w:basedOn w:val="Normal"/>
    <w:next w:val="Normal"/>
    <w:autoRedefine/>
    <w:uiPriority w:val="39"/>
    <w:semiHidden/>
    <w:unhideWhenUsed/>
    <w:rsid w:val="006A04B1"/>
    <w:pPr>
      <w:spacing w:after="0"/>
      <w:ind w:left="1440"/>
    </w:pPr>
    <w:rPr>
      <w:rFonts w:asciiTheme="minorHAnsi" w:hAnsiTheme="minorHAnsi"/>
      <w:sz w:val="20"/>
      <w:szCs w:val="20"/>
    </w:rPr>
  </w:style>
  <w:style w:type="paragraph" w:styleId="TOC8">
    <w:name w:val="toc 8"/>
    <w:basedOn w:val="Normal"/>
    <w:next w:val="Normal"/>
    <w:autoRedefine/>
    <w:uiPriority w:val="39"/>
    <w:semiHidden/>
    <w:unhideWhenUsed/>
    <w:rsid w:val="006A04B1"/>
    <w:pPr>
      <w:spacing w:after="0"/>
      <w:ind w:left="1680"/>
    </w:pPr>
    <w:rPr>
      <w:rFonts w:asciiTheme="minorHAnsi" w:hAnsiTheme="minorHAnsi"/>
      <w:sz w:val="20"/>
      <w:szCs w:val="20"/>
    </w:rPr>
  </w:style>
  <w:style w:type="paragraph" w:styleId="TOC9">
    <w:name w:val="toc 9"/>
    <w:basedOn w:val="Normal"/>
    <w:next w:val="Normal"/>
    <w:autoRedefine/>
    <w:uiPriority w:val="39"/>
    <w:semiHidden/>
    <w:unhideWhenUsed/>
    <w:rsid w:val="006A04B1"/>
    <w:pPr>
      <w:spacing w:after="0"/>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2350</Words>
  <Characters>13400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Pape, Taylor M</cp:lastModifiedBy>
  <cp:revision>2</cp:revision>
  <dcterms:created xsi:type="dcterms:W3CDTF">2026-09-16T16:55:00Z</dcterms:created>
  <dcterms:modified xsi:type="dcterms:W3CDTF">2026-09-16T16:55:00Z</dcterms:modified>
  <cp:category/>
</cp:coreProperties>
</file>