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55B30" w14:textId="28101E20" w:rsidR="00F55355" w:rsidRDefault="00F55355" w:rsidP="00F553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bookmarkStart w:id="0" w:name="_GoBack"/>
      <w:bookmarkEnd w:id="0"/>
      <w:r>
        <w:t>Higher criticism Donoho (</w:t>
      </w:r>
      <w:r>
        <w:rPr>
          <w:rFonts w:ascii="Times-Roman" w:hAnsi="Times-Roman" w:cs="Times-Roman"/>
          <w:sz w:val="18"/>
          <w:szCs w:val="18"/>
        </w:rPr>
        <w:t>D</w:t>
      </w:r>
      <w:r>
        <w:rPr>
          <w:rFonts w:ascii="Times-Roman" w:hAnsi="Times-Roman" w:cs="Times-Roman"/>
          <w:sz w:val="14"/>
          <w:szCs w:val="14"/>
        </w:rPr>
        <w:t>ONOHO</w:t>
      </w:r>
      <w:r>
        <w:rPr>
          <w:rFonts w:ascii="Times-Roman" w:hAnsi="Times-Roman" w:cs="Times-Roman"/>
          <w:sz w:val="18"/>
          <w:szCs w:val="18"/>
        </w:rPr>
        <w:t>, D. and J</w:t>
      </w:r>
      <w:r>
        <w:rPr>
          <w:rFonts w:ascii="Times-Roman" w:hAnsi="Times-Roman" w:cs="Times-Roman"/>
          <w:sz w:val="14"/>
          <w:szCs w:val="14"/>
        </w:rPr>
        <w:t>IN</w:t>
      </w:r>
      <w:r>
        <w:rPr>
          <w:rFonts w:ascii="Times-Roman" w:hAnsi="Times-Roman" w:cs="Times-Roman"/>
          <w:sz w:val="18"/>
          <w:szCs w:val="18"/>
        </w:rPr>
        <w:t xml:space="preserve">, J. (2004). Higher criticism for detecting sparse heterogeneous mixtures.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Ann. Statist. </w:t>
      </w:r>
      <w:r>
        <w:rPr>
          <w:rFonts w:ascii="Times-Bold" w:hAnsi="Times-Bold" w:cs="Times-Bold"/>
          <w:b/>
          <w:bCs/>
          <w:sz w:val="18"/>
          <w:szCs w:val="18"/>
        </w:rPr>
        <w:t xml:space="preserve">32 </w:t>
      </w:r>
      <w:r>
        <w:rPr>
          <w:rFonts w:ascii="Times-Roman" w:hAnsi="Times-Roman" w:cs="Times-Roman"/>
          <w:sz w:val="18"/>
          <w:szCs w:val="18"/>
        </w:rPr>
        <w:t>962–994)</w:t>
      </w:r>
    </w:p>
    <w:p w14:paraId="0D608CD1" w14:textId="77777777" w:rsidR="00F55355" w:rsidRDefault="00F55355" w:rsidP="00F55355">
      <w:pPr>
        <w:autoSpaceDE w:val="0"/>
        <w:autoSpaceDN w:val="0"/>
        <w:adjustRightInd w:val="0"/>
        <w:spacing w:after="0" w:line="240" w:lineRule="auto"/>
      </w:pPr>
    </w:p>
    <w:p w14:paraId="40282E22" w14:textId="77777777" w:rsidR="00F55355" w:rsidRDefault="00F55355" w:rsidP="00F55355">
      <w:pPr>
        <w:pStyle w:val="ListParagraph"/>
        <w:spacing w:line="240" w:lineRule="auto"/>
      </w:pPr>
      <w:r w:rsidRPr="001D3342">
        <w:rPr>
          <w:noProof/>
        </w:rPr>
        <w:drawing>
          <wp:inline distT="0" distB="0" distL="0" distR="0" wp14:anchorId="0D993E9C" wp14:editId="4B03AEE7">
            <wp:extent cx="41433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A531" w14:textId="77777777" w:rsidR="00F55355" w:rsidRPr="006F696A" w:rsidRDefault="00F55355" w:rsidP="00F55355">
      <w:pPr>
        <w:pStyle w:val="ListParagraph"/>
        <w:autoSpaceDE w:val="0"/>
        <w:autoSpaceDN w:val="0"/>
        <w:adjustRightInd w:val="0"/>
        <w:spacing w:after="0" w:line="240" w:lineRule="auto"/>
      </w:pPr>
      <w:r w:rsidRPr="0001728F">
        <w:rPr>
          <w:rFonts w:ascii="Times-Roman" w:hAnsi="Times-Roman" w:cs="Times-Roman"/>
          <w:noProof/>
        </w:rPr>
        <w:drawing>
          <wp:inline distT="0" distB="0" distL="0" distR="0" wp14:anchorId="6759B1A7" wp14:editId="7701366C">
            <wp:extent cx="47529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737C" w14:textId="77777777" w:rsidR="00F55355" w:rsidRDefault="00F55355" w:rsidP="00F55355">
      <w:pPr>
        <w:autoSpaceDE w:val="0"/>
        <w:autoSpaceDN w:val="0"/>
        <w:adjustRightInd w:val="0"/>
        <w:spacing w:after="0" w:line="240" w:lineRule="auto"/>
      </w:pPr>
    </w:p>
    <w:p w14:paraId="5BD9D9A5" w14:textId="77777777" w:rsidR="00F55355" w:rsidRDefault="00F55355" w:rsidP="00F553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t>Berk Jones Statistic (</w:t>
      </w:r>
      <w:r>
        <w:rPr>
          <w:rFonts w:ascii="Times-Roman" w:hAnsi="Times-Roman" w:cs="Times-Roman"/>
          <w:sz w:val="18"/>
          <w:szCs w:val="18"/>
        </w:rPr>
        <w:t>B</w:t>
      </w:r>
      <w:r>
        <w:rPr>
          <w:rFonts w:ascii="Times-Roman" w:hAnsi="Times-Roman" w:cs="Times-Roman"/>
          <w:sz w:val="14"/>
          <w:szCs w:val="14"/>
        </w:rPr>
        <w:t>ERK</w:t>
      </w:r>
      <w:r>
        <w:rPr>
          <w:rFonts w:ascii="Times-Roman" w:hAnsi="Times-Roman" w:cs="Times-Roman"/>
          <w:sz w:val="18"/>
          <w:szCs w:val="18"/>
        </w:rPr>
        <w:t>, R. H. and J</w:t>
      </w:r>
      <w:r>
        <w:rPr>
          <w:rFonts w:ascii="Times-Roman" w:hAnsi="Times-Roman" w:cs="Times-Roman"/>
          <w:sz w:val="14"/>
          <w:szCs w:val="14"/>
        </w:rPr>
        <w:t>ONES</w:t>
      </w:r>
      <w:r>
        <w:rPr>
          <w:rFonts w:ascii="Times-Roman" w:hAnsi="Times-Roman" w:cs="Times-Roman"/>
          <w:sz w:val="18"/>
          <w:szCs w:val="18"/>
        </w:rPr>
        <w:t>, D. H. (1979). Goodness-of-fit test statistics that dominate the Kolmogorov</w:t>
      </w:r>
    </w:p>
    <w:p w14:paraId="670AE56B" w14:textId="69560A9F" w:rsidR="00F55355" w:rsidRDefault="00F55355" w:rsidP="00F55355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18"/>
          <w:szCs w:val="18"/>
        </w:rPr>
        <w:t xml:space="preserve">statistics. </w:t>
      </w:r>
      <w:r>
        <w:rPr>
          <w:rFonts w:ascii="Times-Italic" w:hAnsi="Times-Italic" w:cs="Times-Italic"/>
          <w:i/>
          <w:iCs/>
          <w:sz w:val="18"/>
          <w:szCs w:val="18"/>
        </w:rPr>
        <w:t xml:space="preserve">Z. Wahrsch. Verw. Gebiete </w:t>
      </w:r>
      <w:r>
        <w:rPr>
          <w:rFonts w:ascii="Times-Bold" w:hAnsi="Times-Bold" w:cs="Times-Bold"/>
          <w:b/>
          <w:bCs/>
          <w:sz w:val="18"/>
          <w:szCs w:val="18"/>
        </w:rPr>
        <w:t xml:space="preserve">47 </w:t>
      </w:r>
      <w:r>
        <w:rPr>
          <w:rFonts w:ascii="Times-Roman" w:hAnsi="Times-Roman" w:cs="Times-Roman"/>
          <w:sz w:val="18"/>
          <w:szCs w:val="18"/>
        </w:rPr>
        <w:t>47–59)</w:t>
      </w:r>
    </w:p>
    <w:p w14:paraId="0AE88ED1" w14:textId="26F851D3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B77C9">
        <w:rPr>
          <w:noProof/>
        </w:rPr>
        <w:drawing>
          <wp:inline distT="0" distB="0" distL="0" distR="0" wp14:anchorId="0491B683" wp14:editId="65137B02">
            <wp:extent cx="48291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9C01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B77C9">
        <w:rPr>
          <w:noProof/>
        </w:rPr>
        <w:drawing>
          <wp:inline distT="0" distB="0" distL="0" distR="0" wp14:anchorId="3762D724" wp14:editId="65E44AA1">
            <wp:extent cx="49053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8F0E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274E7">
        <w:rPr>
          <w:noProof/>
        </w:rPr>
        <w:drawing>
          <wp:inline distT="0" distB="0" distL="0" distR="0" wp14:anchorId="020FF86E" wp14:editId="39BA43B1">
            <wp:extent cx="47910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EADF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274E7">
        <w:rPr>
          <w:noProof/>
        </w:rPr>
        <w:lastRenderedPageBreak/>
        <w:drawing>
          <wp:inline distT="0" distB="0" distL="0" distR="0" wp14:anchorId="39C3ABD4" wp14:editId="22A3BC49">
            <wp:extent cx="47910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3E3C" w14:textId="77777777" w:rsidR="00F55355" w:rsidRPr="00BA38FA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36456">
        <w:rPr>
          <w:rFonts w:ascii="Times-Roman" w:hAnsi="Times-Roman" w:cs="Times-Roman"/>
          <w:color w:val="000000"/>
        </w:rPr>
        <w:t>Gontscharuk et al. [</w:t>
      </w:r>
      <w:r w:rsidRPr="00236456">
        <w:rPr>
          <w:rFonts w:ascii="Times-Roman" w:hAnsi="Times-Roman" w:cs="Times-Roman"/>
          <w:color w:val="000064"/>
        </w:rPr>
        <w:t>55</w:t>
      </w:r>
      <w:r w:rsidRPr="00236456">
        <w:rPr>
          <w:rFonts w:ascii="Times-Roman" w:hAnsi="Times-Roman" w:cs="Times-Roman"/>
          <w:color w:val="000000"/>
        </w:rPr>
        <w:t xml:space="preserve">] introduced the notion of </w:t>
      </w:r>
      <w:r w:rsidRPr="00236456">
        <w:rPr>
          <w:rFonts w:ascii="Times-Italic" w:hAnsi="Times-Italic" w:cs="Times-Italic"/>
          <w:i/>
          <w:iCs/>
          <w:color w:val="000000"/>
        </w:rPr>
        <w:t xml:space="preserve">local levels </w:t>
      </w:r>
      <w:r w:rsidRPr="00236456">
        <w:rPr>
          <w:rFonts w:ascii="Times-Roman" w:hAnsi="Times-Roman" w:cs="Times-Roman"/>
          <w:color w:val="000000"/>
        </w:rPr>
        <w:t>for goodness-of-fit tests and studied the asymptotic behavior when applying the framework to one version of HC</w:t>
      </w:r>
    </w:p>
    <w:p w14:paraId="286B59BE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Benjamini Hochberg (BH) false discovery rate control method</w:t>
      </w:r>
    </w:p>
    <w:p w14:paraId="395E8E9D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A38FA">
        <w:rPr>
          <w:noProof/>
        </w:rPr>
        <w:drawing>
          <wp:inline distT="0" distB="0" distL="0" distR="0" wp14:anchorId="7E7AEEF1" wp14:editId="4D2D9D1E">
            <wp:extent cx="47148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E689" w14:textId="77777777" w:rsidR="00F55355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BH is for rare but strong signals where we want to identify the specific strong signals</w:t>
      </w:r>
    </w:p>
    <w:p w14:paraId="27461D3E" w14:textId="77777777" w:rsidR="00F55355" w:rsidRPr="00287E89" w:rsidRDefault="00F55355" w:rsidP="00F5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HC is for rare and weak signals where we just want to know if signals are present</w:t>
      </w:r>
    </w:p>
    <w:p w14:paraId="47DC9696" w14:textId="77777777" w:rsidR="00F55355" w:rsidRDefault="00F55355" w:rsidP="00F55355">
      <w:pPr>
        <w:autoSpaceDE w:val="0"/>
        <w:autoSpaceDN w:val="0"/>
        <w:adjustRightInd w:val="0"/>
        <w:spacing w:after="0" w:line="240" w:lineRule="auto"/>
      </w:pPr>
      <w:r>
        <w:t>Questions</w:t>
      </w:r>
    </w:p>
    <w:p w14:paraId="7489C1C5" w14:textId="77777777" w:rsidR="00F55355" w:rsidRDefault="00F55355" w:rsidP="00F55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Pg 5, reason for standardizing z-scores is that with high sample size there is an inherent reduction in p-values under theoretical null?</w:t>
      </w:r>
    </w:p>
    <w:p w14:paraId="63DB9521" w14:textId="77777777" w:rsidR="00F55355" w:rsidRDefault="00F55355" w:rsidP="00F55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Does removing the mean z_j^* (\bar{z}^*) not potentially dilute </w:t>
      </w:r>
      <w:r>
        <w:tab/>
      </w:r>
    </w:p>
    <w:p w14:paraId="79F508D9" w14:textId="77777777" w:rsidR="00F55355" w:rsidRDefault="00F55355" w:rsidP="00F55355">
      <w:pPr>
        <w:spacing w:line="240" w:lineRule="auto"/>
        <w:ind w:left="360"/>
      </w:pPr>
      <w:r>
        <w:t xml:space="preserve">                    </w:t>
      </w:r>
    </w:p>
    <w:p w14:paraId="48616252" w14:textId="77777777" w:rsidR="00F55355" w:rsidRDefault="00F55355" w:rsidP="00F55355">
      <w:pPr>
        <w:spacing w:line="240" w:lineRule="auto"/>
      </w:pPr>
      <w:r>
        <w:t>Local levels paper</w:t>
      </w:r>
    </w:p>
    <w:p w14:paraId="5B05B66F" w14:textId="77777777" w:rsidR="00F55355" w:rsidRDefault="00F55355" w:rsidP="00F55355">
      <w:pPr>
        <w:pStyle w:val="ListParagraph"/>
        <w:numPr>
          <w:ilvl w:val="0"/>
          <w:numId w:val="5"/>
        </w:numPr>
        <w:spacing w:line="240" w:lineRule="auto"/>
      </w:pPr>
      <w:r>
        <w:t>KS GOF test</w:t>
      </w:r>
    </w:p>
    <w:p w14:paraId="0534A794" w14:textId="77777777" w:rsidR="00F55355" w:rsidRDefault="00F55355" w:rsidP="00F55355">
      <w:pPr>
        <w:spacing w:line="240" w:lineRule="auto"/>
        <w:ind w:left="3375"/>
      </w:pPr>
      <w:r w:rsidRPr="00742F10">
        <w:rPr>
          <w:noProof/>
        </w:rPr>
        <w:drawing>
          <wp:inline distT="0" distB="0" distL="0" distR="0" wp14:anchorId="69F1749E" wp14:editId="6F13C0BD">
            <wp:extent cx="303847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97C8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 w:rsidRPr="005C36A9">
        <w:rPr>
          <w:noProof/>
        </w:rPr>
        <w:drawing>
          <wp:inline distT="0" distB="0" distL="0" distR="0" wp14:anchorId="63D60FB7" wp14:editId="2625BF77">
            <wp:extent cx="200977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A448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 w:rsidRPr="005C36A9">
        <w:rPr>
          <w:noProof/>
        </w:rPr>
        <w:drawing>
          <wp:inline distT="0" distB="0" distL="0" distR="0" wp14:anchorId="112F05DC" wp14:editId="5400834A">
            <wp:extent cx="30765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22B7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>
        <w:t xml:space="preserve">Local critical values: </w:t>
      </w:r>
      <w:r w:rsidRPr="005C36A9">
        <w:rPr>
          <w:noProof/>
        </w:rPr>
        <w:drawing>
          <wp:inline distT="0" distB="0" distL="0" distR="0" wp14:anchorId="32B99AD4" wp14:editId="157594E7">
            <wp:extent cx="28098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A809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Local levels : </w:t>
      </w:r>
      <w:r w:rsidRPr="005C36A9">
        <w:rPr>
          <w:noProof/>
        </w:rPr>
        <w:drawing>
          <wp:inline distT="0" distB="0" distL="0" distR="0" wp14:anchorId="5ADE2C3F" wp14:editId="18544DEC">
            <wp:extent cx="208597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E23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 w:rsidRPr="005C36A9">
        <w:rPr>
          <w:noProof/>
        </w:rPr>
        <w:drawing>
          <wp:inline distT="0" distB="0" distL="0" distR="0" wp14:anchorId="753E12D3" wp14:editId="69651C6A">
            <wp:extent cx="45243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9213" w14:textId="77777777" w:rsidR="00F55355" w:rsidRDefault="00F55355" w:rsidP="00F55355">
      <w:pPr>
        <w:pStyle w:val="ListParagraph"/>
        <w:numPr>
          <w:ilvl w:val="0"/>
          <w:numId w:val="4"/>
        </w:numPr>
        <w:spacing w:line="240" w:lineRule="auto"/>
      </w:pPr>
      <w:r>
        <w:t xml:space="preserve"> For </w:t>
      </w:r>
      <w:r w:rsidRPr="00200FE8">
        <w:rPr>
          <w:noProof/>
        </w:rPr>
        <w:drawing>
          <wp:inline distT="0" distB="0" distL="0" distR="0" wp14:anchorId="670000C5" wp14:editId="062A85D9">
            <wp:extent cx="334327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91F5" w14:textId="77777777" w:rsidR="00F55355" w:rsidRDefault="00F55355" w:rsidP="00F55355">
      <w:pPr>
        <w:spacing w:line="240" w:lineRule="auto"/>
        <w:ind w:left="360"/>
      </w:pPr>
      <w:r w:rsidRPr="00806944">
        <w:rPr>
          <w:noProof/>
        </w:rPr>
        <w:drawing>
          <wp:inline distT="0" distB="0" distL="0" distR="0" wp14:anchorId="285D881C" wp14:editId="273B6F71">
            <wp:extent cx="5943600" cy="710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408A" w14:textId="77777777" w:rsidR="00F55355" w:rsidRDefault="00F55355" w:rsidP="00F55355">
      <w:pPr>
        <w:pStyle w:val="ListParagraph"/>
        <w:numPr>
          <w:ilvl w:val="0"/>
          <w:numId w:val="6"/>
        </w:numPr>
        <w:spacing w:line="240" w:lineRule="auto"/>
      </w:pPr>
      <w:r w:rsidRPr="00467656">
        <w:rPr>
          <w:noProof/>
        </w:rPr>
        <w:drawing>
          <wp:inline distT="0" distB="0" distL="0" distR="0" wp14:anchorId="2E2F10A7" wp14:editId="5E9E9EE6">
            <wp:extent cx="4867275" cy="51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D47D" w14:textId="77777777" w:rsidR="00F55355" w:rsidRDefault="00F55355" w:rsidP="00F55355">
      <w:pPr>
        <w:spacing w:line="240" w:lineRule="auto"/>
      </w:pPr>
    </w:p>
    <w:p w14:paraId="6C047787" w14:textId="77777777" w:rsidR="00F55355" w:rsidRDefault="00F55355" w:rsidP="00F55355">
      <w:pPr>
        <w:spacing w:line="240" w:lineRule="auto"/>
      </w:pPr>
      <w:r>
        <w:t>Grant:</w:t>
      </w:r>
    </w:p>
    <w:p w14:paraId="026A781F" w14:textId="77777777" w:rsidR="00F55355" w:rsidRDefault="00F55355" w:rsidP="00F55355">
      <w:pPr>
        <w:pStyle w:val="ListParagraph"/>
        <w:numPr>
          <w:ilvl w:val="0"/>
          <w:numId w:val="3"/>
        </w:numPr>
        <w:spacing w:line="240" w:lineRule="auto"/>
      </w:pPr>
      <w:r>
        <w:t>Test stat of Gnull is T=min_i L_i</w:t>
      </w:r>
    </w:p>
    <w:p w14:paraId="498EFD53" w14:textId="77777777" w:rsidR="00F55355" w:rsidRDefault="00F55355" w:rsidP="00F55355">
      <w:pPr>
        <w:pStyle w:val="ListParagraph"/>
        <w:numPr>
          <w:ilvl w:val="0"/>
          <w:numId w:val="3"/>
        </w:numPr>
        <w:spacing w:line="240" w:lineRule="auto"/>
      </w:pPr>
    </w:p>
    <w:p w14:paraId="1C6EB2EC" w14:textId="7127B976" w:rsidR="005A6189" w:rsidRDefault="006F34CD">
      <w:hyperlink r:id="rId23" w:history="1">
        <w:r w:rsidRPr="001F0181">
          <w:rPr>
            <w:rStyle w:val="Hyperlink"/>
          </w:rPr>
          <w:t>renterscancel@assurant.com</w:t>
        </w:r>
      </w:hyperlink>
    </w:p>
    <w:p w14:paraId="6F488DE3" w14:textId="3318390A" w:rsidR="006F34CD" w:rsidRDefault="006F34CD">
      <w:r>
        <w:t>policy holder name</w:t>
      </w:r>
    </w:p>
    <w:p w14:paraId="15CBDC4B" w14:textId="43510721" w:rsidR="006F34CD" w:rsidRDefault="006F34CD">
      <w:r>
        <w:t>policy numbers</w:t>
      </w:r>
    </w:p>
    <w:p w14:paraId="168B564E" w14:textId="21561827" w:rsidR="006F34CD" w:rsidRDefault="006F34CD">
      <w:r>
        <w:t>effective date of cancel</w:t>
      </w:r>
    </w:p>
    <w:sectPr w:rsidR="006F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41C5" w14:textId="77777777" w:rsidR="00153B2C" w:rsidRDefault="00153B2C" w:rsidP="00FF4FA9">
      <w:pPr>
        <w:spacing w:after="0" w:line="240" w:lineRule="auto"/>
      </w:pPr>
      <w:r>
        <w:separator/>
      </w:r>
    </w:p>
  </w:endnote>
  <w:endnote w:type="continuationSeparator" w:id="0">
    <w:p w14:paraId="62D73290" w14:textId="77777777" w:rsidR="00153B2C" w:rsidRDefault="00153B2C" w:rsidP="00FF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A346F" w14:textId="77777777" w:rsidR="00153B2C" w:rsidRDefault="00153B2C" w:rsidP="00FF4FA9">
      <w:pPr>
        <w:spacing w:after="0" w:line="240" w:lineRule="auto"/>
      </w:pPr>
      <w:r>
        <w:separator/>
      </w:r>
    </w:p>
  </w:footnote>
  <w:footnote w:type="continuationSeparator" w:id="0">
    <w:p w14:paraId="18059971" w14:textId="77777777" w:rsidR="00153B2C" w:rsidRDefault="00153B2C" w:rsidP="00FF4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483A"/>
    <w:multiLevelType w:val="hybridMultilevel"/>
    <w:tmpl w:val="2060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6D9"/>
    <w:multiLevelType w:val="hybridMultilevel"/>
    <w:tmpl w:val="08C2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3D0"/>
    <w:multiLevelType w:val="hybridMultilevel"/>
    <w:tmpl w:val="061C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6117"/>
    <w:multiLevelType w:val="hybridMultilevel"/>
    <w:tmpl w:val="ECD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C04F5"/>
    <w:multiLevelType w:val="hybridMultilevel"/>
    <w:tmpl w:val="C8A0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1370"/>
    <w:multiLevelType w:val="hybridMultilevel"/>
    <w:tmpl w:val="AF7C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55"/>
    <w:rsid w:val="00153B2C"/>
    <w:rsid w:val="005A6189"/>
    <w:rsid w:val="006F34CD"/>
    <w:rsid w:val="00F55355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AF34C"/>
  <w15:chartTrackingRefBased/>
  <w15:docId w15:val="{FE94C4D9-E7E4-4C55-8C8B-0BC466B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A9"/>
  </w:style>
  <w:style w:type="paragraph" w:styleId="Footer">
    <w:name w:val="footer"/>
    <w:basedOn w:val="Normal"/>
    <w:link w:val="FooterChar"/>
    <w:uiPriority w:val="99"/>
    <w:unhideWhenUsed/>
    <w:rsid w:val="00FF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yperlink" Target="mailto:renterscancel@assurant.com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Takintayo Akinbiyi</dc:creator>
  <cp:keywords/>
  <dc:description/>
  <cp:lastModifiedBy>Takintayo Akinbiyi</cp:lastModifiedBy>
  <cp:revision>2</cp:revision>
  <dcterms:created xsi:type="dcterms:W3CDTF">2018-11-03T21:02:00Z</dcterms:created>
  <dcterms:modified xsi:type="dcterms:W3CDTF">2018-11-03T21:02:00Z</dcterms:modified>
</cp:coreProperties>
</file>