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61F35" w14:textId="4448431B" w:rsidR="00DC25C5" w:rsidRDefault="00DC25C5" w:rsidP="00DC25C5">
      <w:pPr>
        <w:pStyle w:val="ListParagraph"/>
        <w:numPr>
          <w:ilvl w:val="0"/>
          <w:numId w:val="1"/>
        </w:numPr>
      </w:pPr>
      <w:proofErr w:type="spellStart"/>
      <w:r>
        <w:t>Gnull</w:t>
      </w:r>
      <w:proofErr w:type="spellEnd"/>
    </w:p>
    <w:p w14:paraId="23432B7E" w14:textId="017EF4BA" w:rsidR="00DC25C5" w:rsidRDefault="00DC25C5" w:rsidP="00DC25C5">
      <w:pPr>
        <w:pStyle w:val="ListParagraph"/>
        <w:numPr>
          <w:ilvl w:val="0"/>
          <w:numId w:val="1"/>
        </w:numPr>
      </w:pPr>
      <w:r>
        <w:t>FDR</w:t>
      </w:r>
    </w:p>
    <w:p w14:paraId="7E7F401C" w14:textId="315E2366" w:rsidR="00DC25C5" w:rsidRDefault="00DC25C5" w:rsidP="00DC25C5">
      <w:pPr>
        <w:pStyle w:val="ListParagraph"/>
        <w:numPr>
          <w:ilvl w:val="0"/>
          <w:numId w:val="1"/>
        </w:numPr>
      </w:pPr>
      <w:r>
        <w:t>HC</w:t>
      </w:r>
    </w:p>
    <w:p w14:paraId="0380DC12" w14:textId="290FCD96" w:rsidR="00DC25C5" w:rsidRDefault="00DC25C5" w:rsidP="00DC25C5">
      <w:pPr>
        <w:pStyle w:val="ListParagraph"/>
        <w:numPr>
          <w:ilvl w:val="0"/>
          <w:numId w:val="1"/>
        </w:numPr>
      </w:pPr>
      <w:r>
        <w:t>CPMA</w:t>
      </w:r>
    </w:p>
    <w:p w14:paraId="5E4EC071" w14:textId="1F920AFB" w:rsidR="00DC25C5" w:rsidRDefault="00DC25C5" w:rsidP="00DC25C5">
      <w:pPr>
        <w:pStyle w:val="ListParagraph"/>
        <w:numPr>
          <w:ilvl w:val="0"/>
          <w:numId w:val="1"/>
        </w:numPr>
      </w:pPr>
      <w:r>
        <w:t>Score</w:t>
      </w:r>
    </w:p>
    <w:p w14:paraId="40BC119B" w14:textId="4B82DD11" w:rsidR="00DC25C5" w:rsidRDefault="00DC25C5" w:rsidP="00DC25C5">
      <w:pPr>
        <w:pStyle w:val="ListParagraph"/>
        <w:numPr>
          <w:ilvl w:val="0"/>
          <w:numId w:val="1"/>
        </w:numPr>
      </w:pPr>
      <w:r>
        <w:t>ALR</w:t>
      </w:r>
    </w:p>
    <w:p w14:paraId="1325D608" w14:textId="77777777" w:rsidR="004E150A" w:rsidRDefault="004E150A" w:rsidP="004E150A">
      <w:pPr>
        <w:pStyle w:val="ListParagraph"/>
        <w:numPr>
          <w:ilvl w:val="0"/>
          <w:numId w:val="1"/>
        </w:numPr>
      </w:pPr>
      <w:r>
        <w:t>Berk-jones</w:t>
      </w:r>
    </w:p>
    <w:p w14:paraId="7667A7D2" w14:textId="1DDF4A22" w:rsidR="00DC25C5" w:rsidRDefault="005047A3" w:rsidP="005047A3">
      <w:pPr>
        <w:pStyle w:val="ListParagraph"/>
      </w:pPr>
      <w:r w:rsidRPr="005047A3">
        <w:rPr>
          <w:noProof/>
        </w:rPr>
        <w:drawing>
          <wp:inline distT="0" distB="0" distL="0" distR="0" wp14:anchorId="66D39573" wp14:editId="5BA3E757">
            <wp:extent cx="32670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C74E" w14:textId="252EB0AC" w:rsidR="005047A3" w:rsidRDefault="005047A3" w:rsidP="005047A3">
      <w:pPr>
        <w:pStyle w:val="ListParagraph"/>
        <w:numPr>
          <w:ilvl w:val="1"/>
          <w:numId w:val="1"/>
        </w:numPr>
      </w:pPr>
      <w:r>
        <w:t>G is general location gaussian mixture</w:t>
      </w:r>
    </w:p>
    <w:p w14:paraId="4FD5ABB0" w14:textId="4D7C78B7" w:rsidR="005047A3" w:rsidRPr="005047A3" w:rsidRDefault="005047A3" w:rsidP="005047A3">
      <w:pPr>
        <w:pStyle w:val="ListParagraph"/>
        <w:numPr>
          <w:ilvl w:val="1"/>
          <w:numId w:val="1"/>
        </w:numPr>
      </w:pPr>
      <w:r>
        <w:rPr>
          <w:rFonts w:ascii="MTMI" w:eastAsia="MTMI" w:cs="MTMI"/>
          <w:i/>
          <w:iCs/>
        </w:rPr>
        <w:t xml:space="preserve">G </w:t>
      </w:r>
      <w:r>
        <w:rPr>
          <w:rFonts w:ascii="MTSYN" w:eastAsia="MTSYN" w:cs="MTSYN"/>
        </w:rPr>
        <w:t xml:space="preserve">= </w:t>
      </w:r>
      <w:r>
        <w:rPr>
          <w:rFonts w:ascii="MTMI" w:eastAsia="MTMI" w:cs="MTMI"/>
          <w:i/>
          <w:iCs/>
        </w:rPr>
        <w:t>N(</w:t>
      </w:r>
      <w:proofErr w:type="gramStart"/>
      <w:r>
        <w:rPr>
          <w:rFonts w:ascii="MTMI" w:eastAsia="MTMI" w:cs="MTMI" w:hint="eastAsia"/>
          <w:i/>
          <w:iCs/>
        </w:rPr>
        <w:t>τ</w:t>
      </w:r>
      <w:r>
        <w:rPr>
          <w:rFonts w:ascii="MTMI" w:eastAsia="MTMI" w:cs="MTMI"/>
          <w:i/>
          <w:iCs/>
        </w:rPr>
        <w:t>,</w:t>
      </w:r>
      <w:r>
        <w:rPr>
          <w:rFonts w:ascii="MTMI" w:eastAsia="MTMI" w:cs="MTMI" w:hint="eastAsia"/>
          <w:i/>
          <w:iCs/>
        </w:rPr>
        <w:t>σ</w:t>
      </w:r>
      <w:proofErr w:type="gramEnd"/>
      <w:r>
        <w:rPr>
          <w:rFonts w:ascii="Times-Roman" w:eastAsia="MTMI" w:hAnsi="Times-Roman" w:cs="Times-Roman"/>
          <w:sz w:val="17"/>
          <w:szCs w:val="17"/>
        </w:rPr>
        <w:t>2</w:t>
      </w:r>
      <w:r>
        <w:rPr>
          <w:rFonts w:ascii="MTMI" w:eastAsia="MTMI" w:cs="MTMI"/>
          <w:i/>
          <w:iCs/>
        </w:rPr>
        <w:t>)</w:t>
      </w:r>
    </w:p>
    <w:p w14:paraId="3B2FE836" w14:textId="4B57BD06" w:rsidR="005047A3" w:rsidRDefault="005047A3" w:rsidP="004C6FA5"/>
    <w:p w14:paraId="7FFB68B7" w14:textId="2391B045" w:rsidR="004C6FA5" w:rsidRDefault="004C6FA5" w:rsidP="004C6FA5">
      <w:r>
        <w:t xml:space="preserve">From </w:t>
      </w:r>
      <w:proofErr w:type="spellStart"/>
      <w:r>
        <w:t>donoho</w:t>
      </w:r>
      <w:proofErr w:type="spellEnd"/>
      <w:r>
        <w:t xml:space="preserve"> </w:t>
      </w:r>
      <w:r w:rsidR="00312BD3">
        <w:t xml:space="preserve">and </w:t>
      </w:r>
      <w:proofErr w:type="spellStart"/>
      <w:r w:rsidR="00312BD3">
        <w:t>jin</w:t>
      </w:r>
      <w:proofErr w:type="spellEnd"/>
      <w:r w:rsidR="00312BD3">
        <w:t xml:space="preserve"> paper use </w:t>
      </w:r>
      <w:proofErr w:type="spellStart"/>
      <w:r w:rsidR="00312BD3">
        <w:t>Gnull</w:t>
      </w:r>
      <w:proofErr w:type="spellEnd"/>
      <w:r w:rsidR="00312BD3">
        <w:t xml:space="preserve"> to select threshold for which genes to include for LDA</w:t>
      </w:r>
    </w:p>
    <w:p w14:paraId="2724045C" w14:textId="2BC8073A" w:rsidR="0065185B" w:rsidRDefault="0065185B" w:rsidP="004C6FA5"/>
    <w:p w14:paraId="33CA12B0" w14:textId="77777777" w:rsidR="0065185B" w:rsidRDefault="0065185B" w:rsidP="004C6FA5">
      <w:bookmarkStart w:id="0" w:name="_GoBack"/>
      <w:bookmarkEnd w:id="0"/>
    </w:p>
    <w:sectPr w:rsidR="0065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A3444"/>
    <w:multiLevelType w:val="hybridMultilevel"/>
    <w:tmpl w:val="9BDC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C5"/>
    <w:rsid w:val="00052FA4"/>
    <w:rsid w:val="00312BD3"/>
    <w:rsid w:val="004C6FA5"/>
    <w:rsid w:val="004E150A"/>
    <w:rsid w:val="005047A3"/>
    <w:rsid w:val="005A6189"/>
    <w:rsid w:val="0065185B"/>
    <w:rsid w:val="00DC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F702"/>
  <w15:chartTrackingRefBased/>
  <w15:docId w15:val="{690A1C61-84B4-4E6D-B279-A09F3B88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Takintayo Akinbiyi</dc:creator>
  <cp:keywords/>
  <dc:description/>
  <cp:lastModifiedBy>Takintayo Akinbiyi</cp:lastModifiedBy>
  <cp:revision>1</cp:revision>
  <dcterms:created xsi:type="dcterms:W3CDTF">2018-10-23T20:49:00Z</dcterms:created>
  <dcterms:modified xsi:type="dcterms:W3CDTF">2018-10-24T19:45:00Z</dcterms:modified>
</cp:coreProperties>
</file>