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G.O.L.D. Matrix Design Document</w:t>
      </w:r>
    </w:p>
    <w:p>
      <w:pPr>
        <w:jc w:val="left"/>
      </w:pPr>
      <w:r>
        <w:t>Geometrically Optimized Lattice for Dissociation</w:t>
        <w:br/>
      </w:r>
    </w:p>
    <w:p>
      <w:pPr>
        <w:pStyle w:val="Heading1"/>
      </w:pPr>
      <w:r>
        <w:t>1. Purpose</w:t>
      </w:r>
    </w:p>
    <w:p>
      <w:r>
        <w:t>This document outlines a theoretical nanostructured design for the G.O.L.D. Matrix (Geometrically Optimized Lattice for Dissociation), a proposed photocatalytic device aimed at achieving water splitting through sunlight exposure using only a structured gold matrix. The system leverages localized surface plasmon resonance (LSPR) and electromagnetic field concentration within a fractal gold geometry to weaken and dissociate H–O bonds in water molecules.</w:t>
      </w:r>
    </w:p>
    <w:p>
      <w:pPr>
        <w:pStyle w:val="Heading1"/>
      </w:pPr>
      <w:r>
        <w:t>2. Structural Overview</w:t>
      </w:r>
    </w:p>
    <w:p>
      <w:r>
        <w:t>- Core structure: 3D nano-fractal lattice constructed from gold</w:t>
        <w:br/>
        <w:t>- Unit cell geometry: Repeating tetrahedral or dodecahedral elements</w:t>
        <w:br/>
        <w:t>- Nano-scale element size: 10–50 nanometers per unit</w:t>
        <w:br/>
        <w:t>- Matrix form: Open lattice with internal water-accessible pores</w:t>
        <w:br/>
        <w:t>- Total system volume (prototype): 1 cm³ or less</w:t>
        <w:br/>
        <w:t>- Fabrication technique (theoretical): E-beam lithography, focused ion beam etching, colloidal templating</w:t>
      </w:r>
    </w:p>
    <w:p>
      <w:pPr>
        <w:pStyle w:val="Heading1"/>
      </w:pPr>
      <w:r>
        <w:t>3. Photonic Interaction</w:t>
      </w:r>
    </w:p>
    <w:p>
      <w:r>
        <w:t>- LSPR-active zones: Sharp tips and junctions within fractal lattice</w:t>
        <w:br/>
        <w:t>- Photon capture: Broadband absorption via hierarchical geometry (nano to micro scale)</w:t>
        <w:br/>
        <w:t>- Field concentration: Plasmonic hot spots at node intersections</w:t>
        <w:br/>
        <w:t>- Sunlight entry: Top surface patterned as gyroid or honeycomb lens layer</w:t>
        <w:br/>
        <w:t>- Light guiding: Photonic waveguides channel incident energy deeper into matrix</w:t>
        <w:br/>
        <w:t>- Optimal light range: 300–1000 nm (UV to near-IR)</w:t>
      </w:r>
    </w:p>
    <w:p>
      <w:pPr>
        <w:pStyle w:val="Heading1"/>
      </w:pPr>
      <w:r>
        <w:t>4. Water Interface</w:t>
      </w:r>
    </w:p>
    <w:p>
      <w:r>
        <w:t>- Matrix is submerged or continuously bathed in ultrapure deionized water</w:t>
        <w:br/>
        <w:t>- Capillary action draws water into nanoscale pores</w:t>
        <w:br/>
        <w:t>- Water molecules encounter high-field regions at matrix nodes</w:t>
        <w:br/>
        <w:t>- Geometry enables repeated molecular contact with LSPR-active regions</w:t>
        <w:br/>
        <w:t>- Optional: use of hydrophilic surface coatings to improve water adhesion</w:t>
      </w:r>
    </w:p>
    <w:p>
      <w:pPr>
        <w:pStyle w:val="Heading1"/>
      </w:pPr>
      <w:r>
        <w:t>5. Reaction Mechanism Hypothesis</w:t>
      </w:r>
    </w:p>
    <w:p>
      <w:r>
        <w:t>- Incident photons excite collective electron oscillations in gold (LSPR)</w:t>
        <w:br/>
        <w:t>- Resulting local EM fields generate hot electrons and high-energy zones</w:t>
        <w:br/>
        <w:t>- Water molecules at field maxima experience electronic destabilization</w:t>
        <w:br/>
        <w:t>- Bond weakening or direct photonic ionization of H–O bond occurs</w:t>
        <w:br/>
        <w:t>- O₂ and H₂ gases evolve and are collected through phase separation layers</w:t>
      </w:r>
    </w:p>
    <w:p>
      <w:pPr>
        <w:pStyle w:val="Heading1"/>
      </w:pPr>
      <w:r>
        <w:t>6. Material Considerations</w:t>
      </w:r>
    </w:p>
    <w:p>
      <w:r>
        <w:t>- Core material: High-purity gold (99.999%)</w:t>
        <w:br/>
        <w:t>- Optional doping: Silica or other dielectrics to shape field boundaries</w:t>
        <w:br/>
        <w:t>- Substrate (if non-floating): Quartz or transparent oxide glass</w:t>
        <w:br/>
        <w:t>- Matrix surface roughness: Controlled to optimize resonance angles</w:t>
      </w:r>
    </w:p>
    <w:p>
      <w:pPr>
        <w:pStyle w:val="Heading1"/>
      </w:pPr>
      <w:r>
        <w:t>7. Fabrication Strategies</w:t>
      </w:r>
    </w:p>
    <w:p>
      <w:r>
        <w:t>- E-beam or ion beam lithography to sculpt lattice units at nanoscale</w:t>
        <w:br/>
        <w:t>- Colloidal gold nanoparticle assembly using DNA-origami scaffolding</w:t>
        <w:br/>
        <w:t>- Layer-by-layer nano-3D printing</w:t>
        <w:br/>
        <w:t>- Self-assembling fractal templates using block co-polymer techniques</w:t>
      </w:r>
    </w:p>
    <w:p>
      <w:pPr>
        <w:pStyle w:val="Heading1"/>
      </w:pPr>
      <w:r>
        <w:t>8. Scaling and Deployment</w:t>
      </w:r>
    </w:p>
    <w:p>
      <w:r>
        <w:t>- Initial test units may be millimeter-scale, designed for lab spectroscopy</w:t>
        <w:br/>
        <w:t>- Larger panels can be deployed in shallow water tanks or clear reactor vessels</w:t>
        <w:br/>
        <w:t>- Modular design allows matrix tiling and parallel light exposure</w:t>
        <w:br/>
        <w:t>- Potential rooftop units for decentralized hydrogen production</w:t>
      </w:r>
    </w:p>
    <w:p>
      <w:pPr>
        <w:pStyle w:val="Heading1"/>
      </w:pPr>
      <w:r>
        <w:t>9. Safety and Containment</w:t>
      </w:r>
    </w:p>
    <w:p>
      <w:r>
        <w:t>- H₂ and O₂ must be physically separated to prevent recombination</w:t>
        <w:br/>
        <w:t>- Gas-permeable membranes or selective filters recommended</w:t>
        <w:br/>
        <w:t>- Closed-loop water feed system reduces contamination risk</w:t>
        <w:br/>
        <w:t>- Shielding from UV overexposure and laser testing safety protocols advised</w:t>
      </w:r>
    </w:p>
    <w:p>
      <w:pPr>
        <w:pStyle w:val="Heading1"/>
      </w:pPr>
      <w:r>
        <w:t>10. Conclusion</w:t>
      </w:r>
    </w:p>
    <w:p>
      <w:r>
        <w:t>The G.O.L.D. Matrix represents a plausible plasmonically-activated water-splitting technology grounded in known physical principles. This design is theoretical but aligns with emerging research in nanophotonics, field-enhanced catalysis, and hydrogen production. Further modeling and experimental validation are required to assess its energy efficiency, fabrication feasibility, and environmental safety.</w:t>
      </w:r>
    </w:p>
    <w:p>
      <w:r>
        <w:br w:type="page"/>
      </w:r>
    </w:p>
    <w:p>
      <w:pPr>
        <w:pStyle w:val="Heading1"/>
      </w:pPr>
      <w:r>
        <w:t>Author's Statement</w:t>
      </w:r>
    </w:p>
    <w:p>
      <w:r>
        <w:t>This concept emerged during a period of deep, altered-state reflection. I do not claim it as absolute truth, but as a hypothesis grounded in both imagination and known physical principles.</w:t>
        <w:br/>
        <w:br/>
        <w:t>It is offered openly, in the hope that others might explore, test, refine, or even surpass it.</w:t>
        <w:br/>
        <w:br/>
        <w:t>— Tayonn Brewer</w:t>
        <w:br/>
        <w:t>Released under Creative Commons Attribution-ShareAlike 4.0 (CC BY-SA 4.0)</w:t>
        <w:br/>
        <w:t>https://creativecommons.org/licenses/by-sa/4.0/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