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spacing w:before="0" w:after="60" w:line="276" w:lineRule="auto"/>
      </w:pPr>
      <w:r>
        <w:rPr>
          <w:rFonts w:ascii="Calibri" w:hAnsi="Calibri" w:cs="Calibri"/>
          <w:b/>
          <w:color w:val="1F3864"/>
          <w:sz w:val="36"/>
          <w:szCs w:val="36"/>
        </w:rPr>
        <w:t xml:space="preserve">How the Budget Variance Figures Are Calculated</w:t>
      </w:r>
    </w:p>
    <w:p>
      <w:pPr>
        <w:spacing w:before="0" w:after="320" w:line="276" w:lineRule="auto"/>
      </w:pPr>
      <w:r>
        <w:rPr>
          <w:rFonts w:ascii="Calibri" w:hAnsi="Calibri" w:cs="Calibri"/>
          <w:i/>
          <w:color w:val="5A6472"/>
          <w:sz w:val="20"/>
          <w:szCs w:val="20"/>
        </w:rPr>
        <w:t xml:space="preserve">A short walkthrough of the two alert messages and the numbers behind them</w:t>
      </w:r>
    </w:p>
    <w:p>
      <w:pPr>
        <w:spacing w:before="0" w:after="140" w:line="276" w:lineRule="auto"/>
      </w:pPr>
      <w:r>
        <w:rPr>
          <w:rFonts w:ascii="Calibri" w:hAnsi="Calibri" w:cs="Calibri"/>
          <w:sz w:val="21"/>
          <w:szCs w:val="21"/>
        </w:rPr>
        <w:t xml:space="preserve">This note covers the two alerts that read "Collections are X% below budget" and "Projected year-end spend is X% off budget", along with where Budget (YTD) and Budget (Full Year) come from. The short version: both alerts start from the same budget figure, but one compares it against the part of the year that has actually happened, and the other compares it against the whole year.</w:t>
      </w:r>
    </w:p>
    <w:p>
      <w:pPr>
        <w:keepNext/>
        <w:spacing w:before="300" w:after="120" w:line="276" w:lineRule="auto"/>
      </w:pPr>
      <w:r>
        <w:rPr>
          <w:rFonts w:ascii="Calibri" w:hAnsi="Calibri" w:cs="Calibri"/>
          <w:b/>
          <w:color w:val="2E5A88"/>
          <w:sz w:val="25"/>
          <w:szCs w:val="25"/>
        </w:rPr>
        <w:t xml:space="preserve">Where the budget figure comes from</w:t>
      </w:r>
    </w:p>
    <w:p>
      <w:pPr>
        <w:spacing w:before="0" w:after="140" w:line="276" w:lineRule="auto"/>
      </w:pPr>
      <w:r>
        <w:rPr>
          <w:rFonts w:ascii="Calibri" w:hAnsi="Calibri" w:cs="Calibri"/>
          <w:sz w:val="21"/>
          <w:szCs w:val="21"/>
        </w:rPr>
        <w:t xml:space="preserve">Both alerts read the Budget column on the monthly revenue and expenditure detail files, using the most recent month uploaded for the fiscal year in view.</w:t>
      </w:r>
    </w:p>
    <w:p>
      <w:pPr>
        <w:ind w:left="260" w:right="120"/>
        <w:spacing w:before="0" w:after="90" w:line="276" w:lineRule="auto"/>
      </w:pPr>
      <w:r>
        <w:rPr>
          <w:rFonts w:ascii="Calibri" w:hAnsi="Calibri" w:cs="Calibri"/>
          <w:sz w:val="21"/>
          <w:szCs w:val="21"/>
        </w:rPr>
        <w:t xml:space="preserve">•   </w:t>
      </w:r>
      <w:r>
        <w:rPr>
          <w:rFonts w:ascii="Calibri" w:hAnsi="Calibri" w:cs="Calibri"/>
          <w:sz w:val="21"/>
          <w:szCs w:val="21"/>
        </w:rPr>
        <w:t xml:space="preserve">That column is the district's current, amended budget as it stood in that month. It is not the original adopted budget.</w:t>
      </w:r>
    </w:p>
    <w:p>
      <w:pPr>
        <w:ind w:left="260" w:right="120"/>
        <w:spacing w:before="0" w:after="90" w:line="276" w:lineRule="auto"/>
      </w:pPr>
      <w:r>
        <w:rPr>
          <w:rFonts w:ascii="Calibri" w:hAnsi="Calibri" w:cs="Calibri"/>
          <w:sz w:val="21"/>
          <w:szCs w:val="21"/>
        </w:rPr>
        <w:t xml:space="preserve">•   </w:t>
      </w:r>
      <w:r>
        <w:rPr>
          <w:rFonts w:ascii="Calibri" w:hAnsi="Calibri" w:cs="Calibri"/>
          <w:sz w:val="21"/>
          <w:szCs w:val="21"/>
        </w:rPr>
        <w:t xml:space="preserve">Because it is read from the latest monthly file, amendments flow through on their own. When a district amends its budget and uploads the next month, the alerts start measuring against the new figure without anyone changing a setting.</w:t>
      </w:r>
    </w:p>
    <w:p>
      <w:pPr>
        <w:ind w:left="260" w:right="120"/>
        <w:spacing w:before="0" w:after="90" w:line="276" w:lineRule="auto"/>
      </w:pPr>
      <w:r>
        <w:rPr>
          <w:rFonts w:ascii="Calibri" w:hAnsi="Calibri" w:cs="Calibri"/>
          <w:sz w:val="21"/>
          <w:szCs w:val="21"/>
        </w:rPr>
        <w:t xml:space="preserve">•   </w:t>
      </w:r>
      <w:r>
        <w:rPr>
          <w:rFonts w:ascii="Calibri" w:hAnsi="Calibri" w:cs="Calibri"/>
          <w:sz w:val="21"/>
          <w:szCs w:val="21"/>
        </w:rPr>
        <w:t xml:space="preserve">Budget (Full Year) is simply the sum of that column across all rows in scope, after whatever fund, department or filter the user has applied.</w:t>
      </w:r>
    </w:p>
    <w:p>
      <w:pPr>
        <w:spacing w:before="100" w:after="140" w:line="276" w:lineRule="auto"/>
      </w:pPr>
      <w:r>
        <w:rPr>
          <w:rFonts w:ascii="Calibri" w:hAnsi="Calibri" w:cs="Calibri"/>
          <w:sz w:val="21"/>
          <w:szCs w:val="21"/>
        </w:rPr>
        <w:t xml:space="preserve">There is also a separate annual adopted budget import in the platform. It is used only for Days Cash on Hand and the reserve percentage. It does not feed either of these two alerts, so the two sets of numbers can legitimately differ once a budget has been amended.</w:t>
      </w:r>
    </w:p>
    <w:p>
      <w:pPr>
        <w:keepNext/>
        <w:spacing w:before="300" w:after="120" w:line="276" w:lineRule="auto"/>
      </w:pPr>
      <w:r>
        <w:rPr>
          <w:rFonts w:ascii="Calibri" w:hAnsi="Calibri" w:cs="Calibri"/>
          <w:b/>
          <w:color w:val="2E5A88"/>
          <w:sz w:val="25"/>
          <w:szCs w:val="25"/>
        </w:rPr>
        <w:t xml:space="preserve">How Budget (YTD) is worked out</w:t>
      </w:r>
    </w:p>
    <w:p>
      <w:pPr>
        <w:spacing w:before="0" w:after="140" w:line="276" w:lineRule="auto"/>
      </w:pPr>
      <w:r>
        <w:rPr>
          <w:rFonts w:ascii="Calibri" w:hAnsi="Calibri" w:cs="Calibri"/>
          <w:sz w:val="21"/>
          <w:szCs w:val="21"/>
        </w:rPr>
        <w:t xml:space="preserve">Budget (YTD) is not a separate uploaded figure. It is derived from the full-year budget, spread evenly across the twelve periods:</w:t>
      </w:r>
    </w:p>
    <w:p>
      <w:pPr>
        <w:shd w:val="clear" w:color="auto" w:fill="F1F4F9"/>
        <w:pBdr>
          <w:left w:val="single" w:sz="18" w:space="8" w:color="4A7AB0"/>
        </w:pBdr>
        <w:ind w:left="260" w:right="120"/>
        <w:spacing w:before="80" w:after="120" w:line="276" w:lineRule="auto"/>
      </w:pPr>
      <w:r>
        <w:rPr>
          <w:rFonts w:ascii="Consolas" w:hAnsi="Consolas" w:cs="Consolas"/>
          <w:color w:val="1F3864"/>
          <w:sz w:val="19"/>
          <w:szCs w:val="19"/>
        </w:rPr>
        <w:t xml:space="preserve">Budget (YTD)  =  Budget (Full Year)  x  ( period number / 12 )</w:t>
      </w:r>
    </w:p>
    <w:p>
      <w:pPr>
        <w:spacing w:before="0" w:after="140" w:line="276" w:lineRule="auto"/>
      </w:pPr>
      <w:r>
        <w:rPr>
          <w:rFonts w:ascii="Calibri" w:hAnsi="Calibri" w:cs="Calibri"/>
          <w:sz w:val="21"/>
          <w:szCs w:val="21"/>
        </w:rPr>
        <w:t xml:space="preserve">So through period 5, the platform expects five twelfths of the year's budget to have been collected or spent. Through period 9, nine twelfths. It is a straight line with no seasonality applied.</w:t>
      </w:r>
    </w:p>
    <w:p>
      <w:pPr>
        <w:keepNext/>
        <w:spacing w:before="300" w:after="120" w:line="276" w:lineRule="auto"/>
      </w:pPr>
      <w:r>
        <w:rPr>
          <w:rFonts w:ascii="Calibri" w:hAnsi="Calibri" w:cs="Calibri"/>
          <w:b/>
          <w:color w:val="2E5A88"/>
          <w:sz w:val="25"/>
          <w:szCs w:val="25"/>
        </w:rPr>
        <w:t xml:space="preserve">Collections are X% below budget</w:t>
      </w:r>
    </w:p>
    <w:p>
      <w:pPr>
        <w:spacing w:before="0" w:after="140" w:line="276" w:lineRule="auto"/>
      </w:pPr>
      <w:r>
        <w:rPr>
          <w:rFonts w:ascii="Calibri" w:hAnsi="Calibri" w:cs="Calibri"/>
          <w:sz w:val="21"/>
          <w:szCs w:val="21"/>
        </w:rPr>
        <w:t xml:space="preserve">This is the current performance reading for revenue. It compares what has actually been collected against what the budget expected by now:</w:t>
      </w:r>
    </w:p>
    <w:p>
      <w:pPr>
        <w:shd w:val="clear" w:color="auto" w:fill="F1F4F9"/>
        <w:pBdr>
          <w:left w:val="single" w:sz="18" w:space="8" w:color="4A7AB0"/>
        </w:pBdr>
        <w:ind w:left="260" w:right="120"/>
        <w:spacing w:before="80" w:after="120" w:line="276" w:lineRule="auto"/>
      </w:pPr>
      <w:r>
        <w:rPr>
          <w:rFonts w:ascii="Consolas" w:hAnsi="Consolas" w:cs="Consolas"/>
          <w:color w:val="1F3864"/>
          <w:sz w:val="19"/>
          <w:szCs w:val="19"/>
        </w:rPr>
        <w:t xml:space="preserve">( Revenue YTD  -  Budget YTD )  /  Budget YTD  x  100</w:t>
      </w:r>
    </w:p>
    <w:p>
      <w:pPr>
        <w:spacing w:before="0" w:after="140" w:line="276" w:lineRule="auto"/>
      </w:pPr>
      <w:r>
        <w:rPr>
          <w:rFonts w:ascii="Calibri" w:hAnsi="Calibri" w:cs="Calibri"/>
          <w:sz w:val="21"/>
          <w:szCs w:val="21"/>
        </w:rPr>
        <w:t xml:space="preserve">The pro-rating matters here. If two months of collections were compared against a full year's budget, every district would show as roughly 83% below budget every August, forever, and the alert would carry no information. Measuring against the budget expected by now is what makes the question "are we on pace?" answerable in any month.</w:t>
      </w:r>
    </w:p>
    <w:p>
      <w:pPr>
        <w:spacing w:before="100" w:after="140" w:line="276" w:lineRule="auto"/>
      </w:pPr>
      <w:r>
        <w:rPr>
          <w:rFonts w:ascii="Calibri" w:hAnsi="Calibri" w:cs="Calibri"/>
          <w:sz w:val="21"/>
          <w:szCs w:val="21"/>
        </w:rPr>
        <w:t xml:space="preserve">Default thresholds are 5% for a warning and 10% for a critical. Over-collection raises a warning but never a critical, since landing above budget is not a risk in the same way.</w:t>
      </w:r>
    </w:p>
    <w:p>
      <w:pPr>
        <w:keepNext/>
        <w:spacing w:before="300" w:after="120" w:line="276" w:lineRule="auto"/>
      </w:pPr>
      <w:r>
        <w:rPr>
          <w:rFonts w:ascii="Calibri" w:hAnsi="Calibri" w:cs="Calibri"/>
          <w:b/>
          <w:color w:val="2E5A88"/>
          <w:sz w:val="25"/>
          <w:szCs w:val="25"/>
        </w:rPr>
        <w:t xml:space="preserve">Projected year-end spend is X% off budget</w:t>
      </w:r>
    </w:p>
    <w:p>
      <w:pPr>
        <w:spacing w:before="0" w:after="140" w:line="276" w:lineRule="auto"/>
      </w:pPr>
      <w:r>
        <w:rPr>
          <w:rFonts w:ascii="Calibri" w:hAnsi="Calibri" w:cs="Calibri"/>
          <w:sz w:val="21"/>
          <w:szCs w:val="21"/>
        </w:rPr>
        <w:t xml:space="preserve">This one is a forecast rather than a current reading, so it takes two steps. First the spending so far is straight-lined out to a full year:</w:t>
      </w:r>
    </w:p>
    <w:p>
      <w:pPr>
        <w:shd w:val="clear" w:color="auto" w:fill="F1F4F9"/>
        <w:pBdr>
          <w:left w:val="single" w:sz="18" w:space="8" w:color="4A7AB0"/>
        </w:pBdr>
        <w:ind w:left="260" w:right="120"/>
        <w:spacing w:before="80" w:after="120" w:line="276" w:lineRule="auto"/>
      </w:pPr>
      <w:r>
        <w:rPr>
          <w:rFonts w:ascii="Consolas" w:hAnsi="Consolas" w:cs="Consolas"/>
          <w:color w:val="1F3864"/>
          <w:sz w:val="19"/>
          <w:szCs w:val="19"/>
        </w:rPr>
        <w:t xml:space="preserve">Projected year-end  =  ( Expenditure YTD  /  periods elapsed )  x  12</w:t>
      </w:r>
    </w:p>
    <w:p>
      <w:pPr>
        <w:spacing w:before="0" w:after="140" w:line="276" w:lineRule="auto"/>
      </w:pPr>
      <w:r>
        <w:rPr>
          <w:rFonts w:ascii="Calibri" w:hAnsi="Calibri" w:cs="Calibri"/>
          <w:sz w:val="21"/>
          <w:szCs w:val="21"/>
        </w:rPr>
        <w:t xml:space="preserve">Then that projection is compared against the full-year budget:</w:t>
      </w:r>
    </w:p>
    <w:p>
      <w:pPr>
        <w:shd w:val="clear" w:color="auto" w:fill="F1F4F9"/>
        <w:pBdr>
          <w:left w:val="single" w:sz="18" w:space="8" w:color="4A7AB0"/>
        </w:pBdr>
        <w:ind w:left="260" w:right="120"/>
        <w:spacing w:before="80" w:after="120" w:line="276" w:lineRule="auto"/>
      </w:pPr>
      <w:r>
        <w:rPr>
          <w:rFonts w:ascii="Consolas" w:hAnsi="Consolas" w:cs="Consolas"/>
          <w:color w:val="1F3864"/>
          <w:sz w:val="19"/>
          <w:szCs w:val="19"/>
        </w:rPr>
        <w:t xml:space="preserve">( Projected year-end  -  Budget (Full Year) )  /  Budget (Full Year)  x  100</w:t>
      </w:r>
    </w:p>
    <w:p>
      <w:pPr>
        <w:spacing w:before="0" w:after="140" w:line="276" w:lineRule="auto"/>
      </w:pPr>
      <w:r>
        <w:rPr>
          <w:rFonts w:ascii="Calibri" w:hAnsi="Calibri" w:cs="Calibri"/>
          <w:sz w:val="21"/>
          <w:szCs w:val="21"/>
        </w:rPr>
        <w:t xml:space="preserve">Note the divisor. This calculation uses the full-year budget rather than the year-to-date figure, because the projection is itself a full-year number and both sides of the comparison have to cover the same span.</w:t>
      </w:r>
    </w:p>
    <w:p>
      <w:pPr>
        <w:spacing w:before="100" w:after="140" w:line="276" w:lineRule="auto"/>
      </w:pPr>
      <w:r>
        <w:rPr>
          <w:rFonts w:ascii="Calibri" w:hAnsi="Calibri" w:cs="Calibri"/>
          <w:sz w:val="21"/>
          <w:szCs w:val="21"/>
        </w:rPr>
        <w:t xml:space="preserve">Default thresholds are 3% for a warning and 5% for a critical. The wording says "off budget" rather than "over budget" on purpose, because the alert fires in both directions. The two dollar figures shown beside it tell the reader which way.</w:t>
      </w:r>
    </w:p>
    <w:p>
      <w:pPr>
        <w:keepNext/>
        <w:spacing w:before="300" w:after="120" w:line="276" w:lineRule="auto"/>
      </w:pPr>
      <w:r>
        <w:rPr>
          <w:rFonts w:ascii="Calibri" w:hAnsi="Calibri" w:cs="Calibri"/>
          <w:b/>
          <w:color w:val="2E5A88"/>
          <w:sz w:val="25"/>
          <w:szCs w:val="25"/>
        </w:rPr>
        <w:t xml:space="preserve">Thresholds at a glance</w:t>
      </w:r>
    </w:p>
    <w:tbl>
      <w:tblPr>
        <w:tblW w:w="9000" w:type="dxa"/>
        <w:tblBorders>
          <w:top w:val="single" w:sz="4" w:space="0" w:color="D6DBE3"/>
          <w:left w:val="none" w:sz="0" w:space="0" w:color="auto"/>
          <w:bottom w:val="single" w:sz="4" w:space="0" w:color="D6DBE3"/>
          <w:right w:val="none" w:sz="0" w:space="0" w:color="auto"/>
          <w:insideH w:val="single" w:sz="4" w:space="0" w:color="E6E9EF"/>
          <w:insideV w:val="none" w:sz="0" w:space="0" w:color="auto"/>
        </w:tblBorders>
        <w:tblCellMar>
          <w:top w:w="80" w:type="dxa"/>
          <w:left w:w="120" w:type="dxa"/>
          <w:bottom w:w="80" w:type="dxa"/>
          <w:right w:w="120" w:type="dxa"/>
        </w:tblCellMar>
      </w:tblPr>
      <w:tr>
        <w:tc>
          <w:tcPr>
            <w:tcW w:w="3600" w:type="dxa"/>
            <w:shd w:val="clear" w:color="auto" w:fill="EDF1F7"/>
            <w:vAlign w:val="center"/>
          </w:tcPr>
          <w:p>
            <w:pPr>
              <w:spacing w:before="0" w:after="40" w:line="240" w:lineRule="auto"/>
            </w:pPr>
            <w:r>
              <w:rPr>
                <w:rFonts w:ascii="Calibri" w:hAnsi="Calibri" w:cs="Calibri"/>
                <w:b/>
                <w:color w:val="2E5A88"/>
                <w:sz w:val="20"/>
                <w:szCs w:val="20"/>
              </w:rPr>
              <w:t xml:space="preserve">Alert</w:t>
            </w:r>
          </w:p>
        </w:tc>
        <w:tc>
          <w:tcPr>
            <w:tcW w:w="1300" w:type="dxa"/>
            <w:shd w:val="clear" w:color="auto" w:fill="EDF1F7"/>
            <w:vAlign w:val="center"/>
          </w:tcPr>
          <w:p>
            <w:pPr>
              <w:spacing w:before="0" w:after="40" w:line="240" w:lineRule="auto"/>
            </w:pPr>
            <w:r>
              <w:rPr>
                <w:rFonts w:ascii="Calibri" w:hAnsi="Calibri" w:cs="Calibri"/>
                <w:b/>
                <w:color w:val="2E5A88"/>
                <w:sz w:val="20"/>
                <w:szCs w:val="20"/>
              </w:rPr>
              <w:t xml:space="preserve">Warning</w:t>
            </w:r>
          </w:p>
        </w:tc>
        <w:tc>
          <w:tcPr>
            <w:tcW w:w="1300" w:type="dxa"/>
            <w:shd w:val="clear" w:color="auto" w:fill="EDF1F7"/>
            <w:vAlign w:val="center"/>
          </w:tcPr>
          <w:p>
            <w:pPr>
              <w:spacing w:before="0" w:after="40" w:line="240" w:lineRule="auto"/>
            </w:pPr>
            <w:r>
              <w:rPr>
                <w:rFonts w:ascii="Calibri" w:hAnsi="Calibri" w:cs="Calibri"/>
                <w:b/>
                <w:color w:val="2E5A88"/>
                <w:sz w:val="20"/>
                <w:szCs w:val="20"/>
              </w:rPr>
              <w:t xml:space="preserve">Critical</w:t>
            </w:r>
          </w:p>
        </w:tc>
        <w:tc>
          <w:tcPr>
            <w:tcW w:w="2800" w:type="dxa"/>
            <w:shd w:val="clear" w:color="auto" w:fill="EDF1F7"/>
            <w:vAlign w:val="center"/>
          </w:tcPr>
          <w:p>
            <w:pPr>
              <w:spacing w:before="0" w:after="40" w:line="240" w:lineRule="auto"/>
            </w:pPr>
            <w:r>
              <w:rPr>
                <w:rFonts w:ascii="Calibri" w:hAnsi="Calibri" w:cs="Calibri"/>
                <w:b/>
                <w:color w:val="2E5A88"/>
                <w:sz w:val="20"/>
                <w:szCs w:val="20"/>
              </w:rPr>
              <w:t xml:space="preserve">Measured against</w:t>
            </w:r>
          </w:p>
        </w:tc>
      </w:tr>
      <w:tr>
        <w:tc>
          <w:tcPr>
            <w:tcW w:w="3600" w:type="dxa"/>
            <w:vAlign w:val="center"/>
          </w:tcPr>
          <w:p>
            <w:pPr>
              <w:spacing w:before="0" w:after="40" w:line="240" w:lineRule="auto"/>
            </w:pPr>
            <w:r>
              <w:rPr>
                <w:rFonts w:ascii="Calibri" w:hAnsi="Calibri" w:cs="Calibri"/>
                <w:sz w:val="20"/>
                <w:szCs w:val="20"/>
              </w:rPr>
              <w:t xml:space="preserve">Collections vs budget</w:t>
            </w:r>
          </w:p>
        </w:tc>
        <w:tc>
          <w:tcPr>
            <w:tcW w:w="1300" w:type="dxa"/>
            <w:vAlign w:val="center"/>
          </w:tcPr>
          <w:p>
            <w:pPr>
              <w:spacing w:before="0" w:after="40" w:line="240" w:lineRule="auto"/>
            </w:pPr>
            <w:r>
              <w:rPr>
                <w:rFonts w:ascii="Calibri" w:hAnsi="Calibri" w:cs="Calibri"/>
                <w:sz w:val="20"/>
                <w:szCs w:val="20"/>
              </w:rPr>
              <w:t xml:space="preserve">5%</w:t>
            </w:r>
          </w:p>
        </w:tc>
        <w:tc>
          <w:tcPr>
            <w:tcW w:w="1300" w:type="dxa"/>
            <w:vAlign w:val="center"/>
          </w:tcPr>
          <w:p>
            <w:pPr>
              <w:spacing w:before="0" w:after="40" w:line="240" w:lineRule="auto"/>
            </w:pPr>
            <w:r>
              <w:rPr>
                <w:rFonts w:ascii="Calibri" w:hAnsi="Calibri" w:cs="Calibri"/>
                <w:sz w:val="20"/>
                <w:szCs w:val="20"/>
              </w:rPr>
              <w:t xml:space="preserve">10%</w:t>
            </w:r>
          </w:p>
        </w:tc>
        <w:tc>
          <w:tcPr>
            <w:tcW w:w="2800" w:type="dxa"/>
            <w:vAlign w:val="center"/>
          </w:tcPr>
          <w:p>
            <w:pPr>
              <w:spacing w:before="0" w:after="40" w:line="240" w:lineRule="auto"/>
            </w:pPr>
            <w:r>
              <w:rPr>
                <w:rFonts w:ascii="Calibri" w:hAnsi="Calibri" w:cs="Calibri"/>
                <w:sz w:val="20"/>
                <w:szCs w:val="20"/>
              </w:rPr>
              <w:t xml:space="preserve">Budget (YTD)</w:t>
            </w:r>
          </w:p>
        </w:tc>
      </w:tr>
      <w:tr>
        <w:tc>
          <w:tcPr>
            <w:tcW w:w="3600" w:type="dxa"/>
            <w:vAlign w:val="center"/>
          </w:tcPr>
          <w:p>
            <w:pPr>
              <w:spacing w:before="0" w:after="40" w:line="240" w:lineRule="auto"/>
            </w:pPr>
            <w:r>
              <w:rPr>
                <w:rFonts w:ascii="Calibri" w:hAnsi="Calibri" w:cs="Calibri"/>
                <w:sz w:val="20"/>
                <w:szCs w:val="20"/>
              </w:rPr>
              <w:t xml:space="preserve">Projected year-end revenue</w:t>
            </w:r>
          </w:p>
        </w:tc>
        <w:tc>
          <w:tcPr>
            <w:tcW w:w="1300" w:type="dxa"/>
            <w:vAlign w:val="center"/>
          </w:tcPr>
          <w:p>
            <w:pPr>
              <w:spacing w:before="0" w:after="40" w:line="240" w:lineRule="auto"/>
            </w:pPr>
            <w:r>
              <w:rPr>
                <w:rFonts w:ascii="Calibri" w:hAnsi="Calibri" w:cs="Calibri"/>
                <w:sz w:val="20"/>
                <w:szCs w:val="20"/>
              </w:rPr>
              <w:t xml:space="preserve">3%</w:t>
            </w:r>
          </w:p>
        </w:tc>
        <w:tc>
          <w:tcPr>
            <w:tcW w:w="1300" w:type="dxa"/>
            <w:vAlign w:val="center"/>
          </w:tcPr>
          <w:p>
            <w:pPr>
              <w:spacing w:before="0" w:after="40" w:line="240" w:lineRule="auto"/>
            </w:pPr>
            <w:r>
              <w:rPr>
                <w:rFonts w:ascii="Calibri" w:hAnsi="Calibri" w:cs="Calibri"/>
                <w:sz w:val="20"/>
                <w:szCs w:val="20"/>
              </w:rPr>
              <w:t xml:space="preserve">5%</w:t>
            </w:r>
          </w:p>
        </w:tc>
        <w:tc>
          <w:tcPr>
            <w:tcW w:w="2800" w:type="dxa"/>
            <w:vAlign w:val="center"/>
          </w:tcPr>
          <w:p>
            <w:pPr>
              <w:spacing w:before="0" w:after="40" w:line="240" w:lineRule="auto"/>
            </w:pPr>
            <w:r>
              <w:rPr>
                <w:rFonts w:ascii="Calibri" w:hAnsi="Calibri" w:cs="Calibri"/>
                <w:sz w:val="20"/>
                <w:szCs w:val="20"/>
              </w:rPr>
              <w:t xml:space="preserve">Budget (Full Year)</w:t>
            </w:r>
          </w:p>
        </w:tc>
      </w:tr>
      <w:tr>
        <w:tc>
          <w:tcPr>
            <w:tcW w:w="3600" w:type="dxa"/>
            <w:vAlign w:val="center"/>
          </w:tcPr>
          <w:p>
            <w:pPr>
              <w:spacing w:before="0" w:after="40" w:line="240" w:lineRule="auto"/>
            </w:pPr>
            <w:r>
              <w:rPr>
                <w:rFonts w:ascii="Calibri" w:hAnsi="Calibri" w:cs="Calibri"/>
                <w:sz w:val="20"/>
                <w:szCs w:val="20"/>
              </w:rPr>
              <w:t xml:space="preserve">Projected year-end spend</w:t>
            </w:r>
          </w:p>
        </w:tc>
        <w:tc>
          <w:tcPr>
            <w:tcW w:w="1300" w:type="dxa"/>
            <w:vAlign w:val="center"/>
          </w:tcPr>
          <w:p>
            <w:pPr>
              <w:spacing w:before="0" w:after="40" w:line="240" w:lineRule="auto"/>
            </w:pPr>
            <w:r>
              <w:rPr>
                <w:rFonts w:ascii="Calibri" w:hAnsi="Calibri" w:cs="Calibri"/>
                <w:sz w:val="20"/>
                <w:szCs w:val="20"/>
              </w:rPr>
              <w:t xml:space="preserve">3%</w:t>
            </w:r>
          </w:p>
        </w:tc>
        <w:tc>
          <w:tcPr>
            <w:tcW w:w="1300" w:type="dxa"/>
            <w:vAlign w:val="center"/>
          </w:tcPr>
          <w:p>
            <w:pPr>
              <w:spacing w:before="0" w:after="40" w:line="240" w:lineRule="auto"/>
            </w:pPr>
            <w:r>
              <w:rPr>
                <w:rFonts w:ascii="Calibri" w:hAnsi="Calibri" w:cs="Calibri"/>
                <w:sz w:val="20"/>
                <w:szCs w:val="20"/>
              </w:rPr>
              <w:t xml:space="preserve">5%</w:t>
            </w:r>
          </w:p>
        </w:tc>
        <w:tc>
          <w:tcPr>
            <w:tcW w:w="2800" w:type="dxa"/>
            <w:vAlign w:val="center"/>
          </w:tcPr>
          <w:p>
            <w:pPr>
              <w:spacing w:before="0" w:after="40" w:line="240" w:lineRule="auto"/>
            </w:pPr>
            <w:r>
              <w:rPr>
                <w:rFonts w:ascii="Calibri" w:hAnsi="Calibri" w:cs="Calibri"/>
                <w:sz w:val="20"/>
                <w:szCs w:val="20"/>
              </w:rPr>
              <w:t xml:space="preserve">Budget (Full Year)</w:t>
            </w:r>
          </w:p>
        </w:tc>
      </w:tr>
    </w:tbl>
    <w:p>
      <w:pPr>
        <w:spacing w:before="0" w:after="0" w:line="276" w:lineRule="auto"/>
      </w:pPr>
      <w:r>
        <w:rPr>
          <w:rFonts w:ascii="Calibri" w:hAnsi="Calibri" w:cs="Calibri"/>
          <w:sz w:val="21"/>
          <w:szCs w:val="21"/>
        </w:rPr>
        <w:t xml:space="preserve"/>
      </w:r>
    </w:p>
    <w:p>
      <w:pPr>
        <w:spacing w:before="0" w:after="200" w:line="276" w:lineRule="auto"/>
      </w:pPr>
      <w:r>
        <w:rPr>
          <w:rFonts w:ascii="Calibri" w:hAnsi="Calibri" w:cs="Calibri"/>
          <w:sz w:val="21"/>
          <w:szCs w:val="21"/>
        </w:rPr>
        <w:t xml:space="preserve">All four are district-configurable in the policy settings, so a district that wants a tighter or looser tolerance can set its own.</w:t>
      </w:r>
    </w:p>
    <w:p>
      <w:pPr>
        <w:keepNext/>
        <w:spacing w:before="300" w:after="120" w:line="276" w:lineRule="auto"/>
      </w:pPr>
      <w:r>
        <w:rPr>
          <w:rFonts w:ascii="Calibri" w:hAnsi="Calibri" w:cs="Calibri"/>
          <w:b/>
          <w:color w:val="2E5A88"/>
          <w:sz w:val="25"/>
          <w:szCs w:val="25"/>
        </w:rPr>
        <w:t xml:space="preserve">One caveat worth passing on to users</w:t>
      </w:r>
    </w:p>
    <w:p>
      <w:pPr>
        <w:spacing w:before="0" w:after="140" w:line="276" w:lineRule="auto"/>
      </w:pPr>
      <w:r>
        <w:rPr>
          <w:rFonts w:ascii="Calibri" w:hAnsi="Calibri" w:cs="Calibri"/>
          <w:sz w:val="21"/>
          <w:szCs w:val="21"/>
        </w:rPr>
        <w:t xml:space="preserve">The even, straight-line spread assumes revenue arrives at a steady rate through the year, and real districts do not collect that way. A district whose ad valorem tax revenue lands in November will genuinely look behind pace through the autumn and then catch up sharply once the tax roll is received.</w:t>
      </w:r>
    </w:p>
    <w:p>
      <w:pPr>
        <w:spacing w:before="0" w:after="140" w:line="276" w:lineRule="auto"/>
      </w:pPr>
      <w:r>
        <w:rPr>
          <w:rFonts w:ascii="Calibri" w:hAnsi="Calibri" w:cs="Calibri"/>
          <w:sz w:val="21"/>
          <w:szCs w:val="21"/>
        </w:rPr>
        <w:t xml:space="preserve">That does not make the percentage wrong, but it does change how it should be read. It is a pace measure, not a statement that money is missing. When explaining the figure to a district, it helps to say what the comparison is against and that a large early-year variance in a seasonal revenue stream is expected behaviour.</w:t>
      </w:r>
    </w:p>
    <w:p>
      <w:pPr>
        <w:keepNext/>
        <w:spacing w:before="300" w:after="120" w:line="276" w:lineRule="auto"/>
      </w:pPr>
      <w:r>
        <w:rPr>
          <w:rFonts w:ascii="Calibri" w:hAnsi="Calibri" w:cs="Calibri"/>
          <w:b/>
          <w:color w:val="2E5A88"/>
          <w:sz w:val="25"/>
          <w:szCs w:val="25"/>
        </w:rPr>
        <w:t xml:space="preserve">Why you sometimes see one revenue alert instead of two</w:t>
      </w:r>
    </w:p>
    <w:p>
      <w:pPr>
        <w:spacing w:before="0" w:after="140" w:line="276" w:lineRule="auto"/>
      </w:pPr>
      <w:r>
        <w:rPr>
          <w:rFonts w:ascii="Calibri" w:hAnsi="Calibri" w:cs="Calibri"/>
          <w:sz w:val="21"/>
          <w:szCs w:val="21"/>
        </w:rPr>
        <w:t xml:space="preserve">The revenue pace calculation and the revenue forecast calculation reduce to the same arithmetic when no growth assumption is applied, so they always produce the same percentage. Rather than print the same number twice in the alert summary, the platform shows the one that carries the supporting dollar figures and suppresses the duplicate. If the variance falls in the band where only the forecast alert is triggered, that alert still appears on its own, exactly as before.</w:t>
      </w:r>
    </w:p>
    <w:p>
      <w:pPr>
        <w:pBdr>
          <w:bottom w:val="single" w:sz="6" w:space="1" w:color="D6DBE3"/>
        </w:pBdr>
        <w:spacing w:before="120" w:after="120"/>
      </w:pPr>
    </w:p>
    <w:p>
      <w:pPr>
        <w:spacing w:before="0" w:after="0" w:line="276" w:lineRule="auto"/>
      </w:pPr>
      <w:r>
        <w:rPr>
          <w:rFonts w:ascii="Calibri" w:hAnsi="Calibri" w:cs="Calibri"/>
          <w:i/>
          <w:color w:val="7A828F"/>
          <w:sz w:val="18"/>
          <w:szCs w:val="18"/>
        </w:rPr>
        <w:t xml:space="preserve">Prepared for internal reference. Figures and thresholds reflect the current default policy configuration.</w:t>
      </w:r>
    </w:p>
    <w:sectPr>
      <w:pgSz w:w="11906" w:h="16838"/>
      <w:pgMar w:top="1400" w:right="1400" w:bottom="1400" w:left="1400" w:header="708" w:footer="708" w:gutter="0"/>
    </w:sectPr>
  </w:body>
</w:document>
</file>

<file path=word/styles.xml><?xml version="1.0" encoding="utf-8"?>
<w:styles xmlns:w="http://schemas.openxmlformats.org/wordprocessingml/2006/main">
  <w:docDefaults>
    <w:rPrDefault>
      <w:rPr>
        <w:rFonts w:ascii="Calibri" w:hAnsi="Calibri" w:cs="Calibri"/>
        <w:sz w:val="21"/>
        <w:szCs w:val="21"/>
        <w:color w:val="22262C"/>
      </w:rPr>
    </w:r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How the Budget Variance Figures Are Calculated</dc:title>
</cp:coreProperties>
</file>