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6E"/>
        </w:rPr>
        <w:t>Progress Report — Weeks 5–6 (Attention U-Net + ResNet-50 Classification)</w:t>
      </w:r>
    </w:p>
    <w:p>
      <w:r>
        <w:t>Project: Classification of Malignant Melanoma in Canines (CATCH)</w:t>
      </w:r>
    </w:p>
    <w:p>
      <w:r>
        <w:t>Project Code: DAIM2025A_088</w:t>
      </w:r>
    </w:p>
    <w:p>
      <w:r>
        <w:t>Student: Muhammad Tayyab Abbas</w:t>
      </w:r>
    </w:p>
    <w:p>
      <w:r>
        <w:t>Supervisor: Dr Claire Cashmore</w:t>
      </w:r>
    </w:p>
    <w:p>
      <w:r>
        <w:t>Reporting period: Weeks 5–6 (23 June – 6 July 2026)</w:t>
      </w:r>
    </w:p>
    <w:p>
      <w:r>
        <w:t>Meeting: Third fortnightly supervisor meeting</w:t>
      </w:r>
    </w:p>
    <w:p>
      <w:pPr>
        <w:pStyle w:val="Heading1"/>
      </w:pPr>
      <w:r>
        <w:rPr>
          <w:color w:val="1F3A6E"/>
        </w:rPr>
        <w:t>1. Summary</w:t>
      </w:r>
    </w:p>
    <w:p>
      <w:r>
        <w:t>Phase 2 continued on schedule. The Attention U-Net (Oktay et al., 2018) was implemented and trained, giving a three-way segmentation comparison (baseline / ResNet-34 / Attention). In parallel, the tumour-subtype classification track began: a ResNet-50 classifier (ImageNet transfer learning, progressive unfreezing, label-smoothing) was trained and evaluated with accuracy, macro-F1, AUC-ROC and a confusion matrix. All validated on synthetic data; the pipeline was also made real-data-ready (native .svs reading, COCO/SQLite annotation masks, the 7 CATCH subtypes, and a corrected slide-level split).</w:t>
      </w:r>
    </w:p>
    <w:p>
      <w:pPr>
        <w:pStyle w:val="Heading1"/>
      </w:pPr>
      <w:r>
        <w:rPr>
          <w:color w:val="1F3A6E"/>
        </w:rPr>
        <w:t>2. Planned vs. actual (Gantt)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Gantt task</w:t>
            </w:r>
          </w:p>
        </w:tc>
        <w:tc>
          <w:tcPr>
            <w:tcW w:type="dxa" w:w="2880"/>
          </w:tcPr>
          <w:p>
            <w:r>
              <w:rPr>
                <w:b/>
              </w:rPr>
              <w:t>Planned</w:t>
            </w:r>
          </w:p>
        </w:tc>
        <w:tc>
          <w:tcPr>
            <w:tcW w:type="dxa" w:w="2880"/>
          </w:tcPr>
          <w:p>
            <w:r>
              <w:rPr>
                <w:b/>
              </w:rPr>
              <w:t>Status</w:t>
            </w:r>
          </w:p>
        </w:tc>
      </w:tr>
      <w:tr>
        <w:tc>
          <w:tcPr>
            <w:tcW w:type="dxa" w:w="2880"/>
          </w:tcPr>
          <w:p>
            <w:r>
              <w:t>Attention U-Net Implementation</w:t>
            </w:r>
          </w:p>
        </w:tc>
        <w:tc>
          <w:tcPr>
            <w:tcW w:type="dxa" w:w="2880"/>
          </w:tcPr>
          <w:p>
            <w:r>
              <w:t>W5–6</w:t>
            </w:r>
          </w:p>
        </w:tc>
        <w:tc>
          <w:tcPr>
            <w:tcW w:type="dxa" w:w="2880"/>
          </w:tcPr>
          <w:p>
            <w:r>
              <w:t>Complete (3-way comparison)</w:t>
            </w:r>
          </w:p>
        </w:tc>
      </w:tr>
      <w:tr>
        <w:tc>
          <w:tcPr>
            <w:tcW w:type="dxa" w:w="2880"/>
          </w:tcPr>
          <w:p>
            <w:r>
              <w:t>ResNet-50 Classification</w:t>
            </w:r>
          </w:p>
        </w:tc>
        <w:tc>
          <w:tcPr>
            <w:tcW w:type="dxa" w:w="2880"/>
          </w:tcPr>
          <w:p>
            <w:r>
              <w:t>W6–7</w:t>
            </w:r>
          </w:p>
        </w:tc>
        <w:tc>
          <w:tcPr>
            <w:tcW w:type="dxa" w:w="2880"/>
          </w:tcPr>
          <w:p>
            <w:r>
              <w:t>Started (W6) — trained &amp; evaluated</w:t>
            </w:r>
          </w:p>
        </w:tc>
      </w:tr>
    </w:tbl>
    <w:p>
      <w:pPr>
        <w:pStyle w:val="Heading1"/>
      </w:pPr>
      <w:r>
        <w:rPr>
          <w:color w:val="1F3A6E"/>
        </w:rPr>
        <w:t>3. Attention U-Net — segmentation (3-way)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Params</w:t>
            </w:r>
          </w:p>
        </w:tc>
        <w:tc>
          <w:tcPr>
            <w:tcW w:type="dxa" w:w="2160"/>
          </w:tcPr>
          <w:p>
            <w:r>
              <w:rPr>
                <w:b/>
              </w:rPr>
              <w:t>Dice</w:t>
            </w:r>
          </w:p>
        </w:tc>
        <w:tc>
          <w:tcPr>
            <w:tcW w:type="dxa" w:w="2160"/>
          </w:tcPr>
          <w:p>
            <w:r>
              <w:rPr>
                <w:b/>
              </w:rPr>
              <w:t>IoU</w:t>
            </w:r>
          </w:p>
        </w:tc>
      </w:tr>
      <w:tr>
        <w:tc>
          <w:tcPr>
            <w:tcW w:type="dxa" w:w="2160"/>
          </w:tcPr>
          <w:p>
            <w:r>
              <w:t>Baseline U-Net</w:t>
            </w:r>
          </w:p>
        </w:tc>
        <w:tc>
          <w:tcPr>
            <w:tcW w:type="dxa" w:w="2160"/>
          </w:tcPr>
          <w:p>
            <w:r>
              <w:t>31.04M</w:t>
            </w:r>
          </w:p>
        </w:tc>
        <w:tc>
          <w:tcPr>
            <w:tcW w:type="dxa" w:w="2160"/>
          </w:tcPr>
          <w:p>
            <w:r>
              <w:t>0.842</w:t>
            </w:r>
          </w:p>
        </w:tc>
        <w:tc>
          <w:tcPr>
            <w:tcW w:type="dxa" w:w="2160"/>
          </w:tcPr>
          <w:p>
            <w:r>
              <w:t>0.727</w:t>
            </w:r>
          </w:p>
        </w:tc>
      </w:tr>
      <w:tr>
        <w:tc>
          <w:tcPr>
            <w:tcW w:type="dxa" w:w="2160"/>
          </w:tcPr>
          <w:p>
            <w:r>
              <w:t>U-Net + ResNet-34</w:t>
            </w:r>
          </w:p>
        </w:tc>
        <w:tc>
          <w:tcPr>
            <w:tcW w:type="dxa" w:w="2160"/>
          </w:tcPr>
          <w:p>
            <w:r>
              <w:t>24.44M</w:t>
            </w:r>
          </w:p>
        </w:tc>
        <w:tc>
          <w:tcPr>
            <w:tcW w:type="dxa" w:w="2160"/>
          </w:tcPr>
          <w:p>
            <w:r>
              <w:t>0.225</w:t>
            </w:r>
          </w:p>
        </w:tc>
        <w:tc>
          <w:tcPr>
            <w:tcW w:type="dxa" w:w="2160"/>
          </w:tcPr>
          <w:p>
            <w:r>
              <w:t>0.127</w:t>
            </w:r>
          </w:p>
        </w:tc>
      </w:tr>
      <w:tr>
        <w:tc>
          <w:tcPr>
            <w:tcW w:type="dxa" w:w="2160"/>
          </w:tcPr>
          <w:p>
            <w:r>
              <w:t>Attention U-Net</w:t>
            </w:r>
          </w:p>
        </w:tc>
        <w:tc>
          <w:tcPr>
            <w:tcW w:type="dxa" w:w="2160"/>
          </w:tcPr>
          <w:p>
            <w:r>
              <w:t>31.39M</w:t>
            </w:r>
          </w:p>
        </w:tc>
        <w:tc>
          <w:tcPr>
            <w:tcW w:type="dxa" w:w="2160"/>
          </w:tcPr>
          <w:p>
            <w:r>
              <w:t>0.965</w:t>
            </w:r>
          </w:p>
        </w:tc>
        <w:tc>
          <w:tcPr>
            <w:tcW w:type="dxa" w:w="2160"/>
          </w:tcPr>
          <w:p>
            <w:r>
              <w:t>0.932</w:t>
            </w:r>
          </w:p>
        </w:tc>
      </w:tr>
    </w:tbl>
    <w:p>
      <w:r>
        <w:t>The attention gates re-weight the encoder skip features using the decoder signal, suppressing background and focusing on tumour regions. Built on the same backbone as the baseline, so the comparison isolates the attention effect.</w:t>
      </w:r>
    </w:p>
    <w:p>
      <w:pPr>
        <w:jc w:val="center"/>
      </w:pPr>
      <w:r>
        <w:t>Figure: Attention U-Net test predictions (image | ground truth | prediction).</w:t>
      </w:r>
    </w:p>
    <w:p>
      <w:pPr>
        <w:jc w:val="center"/>
      </w:pPr>
      <w:r>
        <w:drawing>
          <wp:inline xmlns:a="http://schemas.openxmlformats.org/drawingml/2006/main" xmlns:pic="http://schemas.openxmlformats.org/drawingml/2006/picture">
            <wp:extent cx="5486400" cy="10972800"/>
            <wp:docPr id="1" name="Picture 1"/>
            <wp:cNvGraphicFramePr>
              <a:graphicFrameLocks noChangeAspect="1"/>
            </wp:cNvGraphicFramePr>
            <a:graphic>
              <a:graphicData uri="http://schemas.openxmlformats.org/drawingml/2006/picture">
                <pic:pic>
                  <pic:nvPicPr>
                    <pic:cNvPr id="0" name="unet_attention_predictions.png"/>
                    <pic:cNvPicPr/>
                  </pic:nvPicPr>
                  <pic:blipFill>
                    <a:blip r:embed="rId9"/>
                    <a:stretch>
                      <a:fillRect/>
                    </a:stretch>
                  </pic:blipFill>
                  <pic:spPr>
                    <a:xfrm>
                      <a:off x="0" y="0"/>
                      <a:ext cx="5486400" cy="10972800"/>
                    </a:xfrm>
                    <a:prstGeom prst="rect"/>
                  </pic:spPr>
                </pic:pic>
              </a:graphicData>
            </a:graphic>
          </wp:inline>
        </w:drawing>
      </w:r>
    </w:p>
    <w:p>
      <w:pPr>
        <w:pStyle w:val="Heading1"/>
      </w:pPr>
      <w:r>
        <w:rPr>
          <w:color w:val="1F3A6E"/>
        </w:rPr>
        <w:t>4. ResNet-50 — tumour-subtype classification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Classes</w:t>
            </w:r>
          </w:p>
        </w:tc>
        <w:tc>
          <w:tcPr>
            <w:tcW w:type="dxa" w:w="4320"/>
          </w:tcPr>
          <w:p>
            <w:r>
              <w:t>mast_cell, melanocytic, squamous_cell</w:t>
            </w:r>
          </w:p>
        </w:tc>
      </w:tr>
      <w:tr>
        <w:tc>
          <w:tcPr>
            <w:tcW w:type="dxa" w:w="4320"/>
          </w:tcPr>
          <w:p>
            <w:r>
              <w:t>Accuracy</w:t>
            </w:r>
          </w:p>
        </w:tc>
        <w:tc>
          <w:tcPr>
            <w:tcW w:type="dxa" w:w="4320"/>
          </w:tcPr>
          <w:p>
            <w:r>
              <w:t>1.000</w:t>
            </w:r>
          </w:p>
        </w:tc>
      </w:tr>
      <w:tr>
        <w:tc>
          <w:tcPr>
            <w:tcW w:type="dxa" w:w="4320"/>
          </w:tcPr>
          <w:p>
            <w:r>
              <w:t>Macro F1</w:t>
            </w:r>
          </w:p>
        </w:tc>
        <w:tc>
          <w:tcPr>
            <w:tcW w:type="dxa" w:w="4320"/>
          </w:tcPr>
          <w:p>
            <w:r>
              <w:t>1.000</w:t>
            </w:r>
          </w:p>
        </w:tc>
      </w:tr>
      <w:tr>
        <w:tc>
          <w:tcPr>
            <w:tcW w:type="dxa" w:w="4320"/>
          </w:tcPr>
          <w:p>
            <w:r>
              <w:t>Macro precision</w:t>
            </w:r>
          </w:p>
        </w:tc>
        <w:tc>
          <w:tcPr>
            <w:tcW w:type="dxa" w:w="4320"/>
          </w:tcPr>
          <w:p>
            <w:r>
              <w:t>1.000</w:t>
            </w:r>
          </w:p>
        </w:tc>
      </w:tr>
      <w:tr>
        <w:tc>
          <w:tcPr>
            <w:tcW w:type="dxa" w:w="4320"/>
          </w:tcPr>
          <w:p>
            <w:r>
              <w:t>Macro recall</w:t>
            </w:r>
          </w:p>
        </w:tc>
        <w:tc>
          <w:tcPr>
            <w:tcW w:type="dxa" w:w="4320"/>
          </w:tcPr>
          <w:p>
            <w:r>
              <w:t>1.000</w:t>
            </w:r>
          </w:p>
        </w:tc>
      </w:tr>
      <w:tr>
        <w:tc>
          <w:tcPr>
            <w:tcW w:type="dxa" w:w="4320"/>
          </w:tcPr>
          <w:p>
            <w:r>
              <w:t>Macro AUC-ROC</w:t>
            </w:r>
          </w:p>
        </w:tc>
        <w:tc>
          <w:tcPr>
            <w:tcW w:type="dxa" w:w="4320"/>
          </w:tcPr>
          <w:p>
            <w:r>
              <w:t>1.000</w:t>
            </w:r>
          </w:p>
        </w:tc>
      </w:tr>
    </w:tbl>
    <w:p>
      <w:pPr>
        <w:jc w:val="center"/>
      </w:pPr>
      <w:r>
        <w:t>Figure: ResNet-50 confusion matrix (test).</w:t>
      </w:r>
    </w:p>
    <w:p>
      <w:pPr>
        <w:jc w:val="center"/>
      </w:pPr>
      <w:r>
        <w:drawing>
          <wp:inline xmlns:a="http://schemas.openxmlformats.org/drawingml/2006/main" xmlns:pic="http://schemas.openxmlformats.org/drawingml/2006/picture">
            <wp:extent cx="4114800" cy="3703320"/>
            <wp:docPr id="2" name="Picture 2"/>
            <wp:cNvGraphicFramePr>
              <a:graphicFrameLocks noChangeAspect="1"/>
            </wp:cNvGraphicFramePr>
            <a:graphic>
              <a:graphicData uri="http://schemas.openxmlformats.org/drawingml/2006/picture">
                <pic:pic>
                  <pic:nvPicPr>
                    <pic:cNvPr id="0" name="cls_resnet50_confusion.png"/>
                    <pic:cNvPicPr/>
                  </pic:nvPicPr>
                  <pic:blipFill>
                    <a:blip r:embed="rId10"/>
                    <a:stretch>
                      <a:fillRect/>
                    </a:stretch>
                  </pic:blipFill>
                  <pic:spPr>
                    <a:xfrm>
                      <a:off x="0" y="0"/>
                      <a:ext cx="4114800" cy="3703320"/>
                    </a:xfrm>
                    <a:prstGeom prst="rect"/>
                  </pic:spPr>
                </pic:pic>
              </a:graphicData>
            </a:graphic>
          </wp:inline>
        </w:drawing>
      </w:r>
    </w:p>
    <w:p>
      <w:r>
        <w:t>Trained with cross-entropy + label smoothing (0.1), AdamW, and progressive unfreezing (head → deeper layers). Note: synthetic-data validation; absolute values will change on real CATCH slides.</w:t>
      </w:r>
    </w:p>
    <w:p>
      <w:pPr>
        <w:pStyle w:val="Heading1"/>
      </w:pPr>
      <w:r>
        <w:rPr>
          <w:color w:val="1F3A6E"/>
        </w:rPr>
        <w:t>5. Next fortnight (Weeks 7–8)</w:t>
      </w:r>
    </w:p>
    <w:p>
      <w:pPr>
        <w:pStyle w:val="ListBullet"/>
      </w:pPr>
      <w:r>
        <w:t>Train EfficientNet-B3 classifier and compare with ResNet-50.</w:t>
      </w:r>
    </w:p>
    <w:p>
      <w:pPr>
        <w:pStyle w:val="ListBullet"/>
      </w:pPr>
      <w:r>
        <w:t>Run on the real CATCH slides once downloaded.</w:t>
      </w:r>
    </w:p>
    <w:p>
      <w:pPr>
        <w:pStyle w:val="ListBullet"/>
      </w:pPr>
      <w:r>
        <w:t>Begin evaluation phase: 5-fold cross-validation, McNemar's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