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0"/>
      </w:pPr>
    </w:p>
    <w:p>
      <w:pPr>
        <w:spacing w:after="300"/>
        <w:jc w:val="center"/>
      </w:pPr>
      <w:r>
        <w:rPr>
          <w:color w:val="8E44AD"/>
          <w:sz w:val="18"/>
          <w:szCs w:val="18"/>
        </w:rPr>
        <w:t xml:space="preserve">━━━━━━━━━━━━━━━━━━━━━━━━━━━━━━━━━━━━━━━━━━━━━━━</w:t>
      </w:r>
    </w:p>
    <w:p>
      <w:pPr>
        <w:spacing w:after="80"/>
        <w:jc w:val="center"/>
      </w:pPr>
      <w:r>
        <w:rPr>
          <w:rFonts w:ascii="Calibri Light" w:cs="Calibri Light" w:eastAsia="Calibri Light" w:hAnsi="Calibri Light"/>
          <w:b/>
          <w:bCs/>
          <w:caps/>
          <w:color w:val="8E44AD"/>
          <w:sz w:val="28"/>
          <w:szCs w:val="28"/>
        </w:rPr>
        <w:t xml:space="preserve">UNIVERSITY OF HULL</w:t>
      </w:r>
    </w:p>
    <w:p>
      <w:pPr>
        <w:spacing w:after="40"/>
        <w:jc w:val="center"/>
      </w:pPr>
      <w:r>
        <w:rPr>
          <w:rFonts w:ascii="Calibri" w:cs="Calibri" w:eastAsia="Calibri" w:hAnsi="Calibri"/>
          <w:i/>
          <w:iCs/>
          <w:color w:val="2C3E50"/>
          <w:sz w:val="24"/>
          <w:szCs w:val="24"/>
        </w:rPr>
        <w:t xml:space="preserve">MSc Artificial Intelligence and Data Science</w:t>
      </w:r>
    </w:p>
    <w:p>
      <w:pPr>
        <w:spacing w:after="300"/>
        <w:jc w:val="center"/>
      </w:pPr>
      <w:r>
        <w:rPr>
          <w:rFonts w:ascii="Calibri" w:cs="Calibri" w:eastAsia="Calibri" w:hAnsi="Calibri"/>
          <w:color w:val="666666"/>
          <w:sz w:val="22"/>
          <w:szCs w:val="22"/>
        </w:rPr>
        <w:t xml:space="preserve">771765 — Research and Application in AI and Data Science</w:t>
      </w:r>
    </w:p>
    <w:p>
      <w:pPr>
        <w:spacing w:after="400"/>
        <w:jc w:val="center"/>
      </w:pPr>
      <w:r>
        <w:rPr>
          <w:color w:val="8E44AD"/>
          <w:sz w:val="18"/>
          <w:szCs w:val="18"/>
        </w:rPr>
        <w:t xml:space="preserve">━━━━━━━━━━━━━━━━━━━━━━━━━━━━━━━━━━━━━━━━━━━━━━━</w:t>
      </w:r>
    </w:p>
    <w:p>
      <w:pPr>
        <w:spacing w:after="120"/>
        <w:jc w:val="center"/>
      </w:pPr>
      <w:r>
        <w:rPr>
          <w:rFonts w:ascii="Calibri Light" w:cs="Calibri Light" w:eastAsia="Calibri Light" w:hAnsi="Calibri Light"/>
          <w:b/>
          <w:bCs/>
          <w:color w:val="2C3E50"/>
          <w:sz w:val="48"/>
          <w:szCs w:val="48"/>
        </w:rPr>
        <w:t xml:space="preserve">Classification of Malignant Melanoma in Canines</w:t>
      </w:r>
    </w:p>
    <w:p>
      <w:pPr>
        <w:spacing w:after="20"/>
        <w:jc w:val="center"/>
      </w:pPr>
      <w:r>
        <w:rPr>
          <w:rFonts w:ascii="Calibri" w:cs="Calibri" w:eastAsia="Calibri" w:hAnsi="Calibri"/>
          <w:i/>
          <w:iCs/>
          <w:color w:val="8E44AD"/>
          <w:sz w:val="26"/>
          <w:szCs w:val="26"/>
        </w:rPr>
        <w:t xml:space="preserve">A Research Proposal for Segmentation and Classification</w:t>
      </w:r>
    </w:p>
    <w:p>
      <w:pPr>
        <w:spacing w:after="400"/>
        <w:jc w:val="center"/>
      </w:pPr>
      <w:r>
        <w:rPr>
          <w:rFonts w:ascii="Calibri" w:cs="Calibri" w:eastAsia="Calibri" w:hAnsi="Calibri"/>
          <w:i/>
          <w:iCs/>
          <w:color w:val="8E44AD"/>
          <w:sz w:val="26"/>
          <w:szCs w:val="26"/>
        </w:rPr>
        <w:t xml:space="preserve">Using the CATCH Dataset</w:t>
      </w:r>
    </w:p>
    <w:p>
      <w:pPr>
        <w:spacing w:after="300"/>
        <w:jc w:val="center"/>
      </w:pPr>
      <w:r>
        <w:rPr>
          <w:color w:val="8E44AD"/>
          <w:sz w:val="18"/>
          <w:szCs w:val="18"/>
        </w:rPr>
        <w:t xml:space="preserve">━━━━━━━━━━━━━━━━━━━━━━━━━━━━━━━━━━━━━━━━━━━━━━━</w:t>
      </w:r>
    </w:p>
    <w:tbl>
      <w:tblPr>
        <w:tblW w:type="pct" w:w="60%"/>
        <w:jc w:val="center"/>
        <w:tblBorders>
          <w:top w:val="none"/>
          <w:left w:val="none"/>
          <w:bottom w:val="none"/>
          <w:right w:val="none"/>
          <w:insideH w:val="single" w:color="E8E8E8" w:sz="1"/>
          <w:insideV w:val="none"/>
        </w:tblBorders>
      </w:tblPr>
      <w:tblGrid>
        <w:gridCol w:w="100"/>
        <w:gridCol w:w="100"/>
      </w:tblGrid>
      <w:tr>
        <w:tc>
          <w:tcPr>
            <w:tcW w:type="pct" w:w="35%"/>
            <w:vAlign w:val="center"/>
          </w:tcPr>
          <w:p>
            <w:pPr>
              <w:spacing w:after="40" w:before="40"/>
              <w:jc w:val="left"/>
            </w:pPr>
            <w:r>
              <w:rPr>
                <w:rFonts w:ascii="Calibri" w:cs="Calibri" w:eastAsia="Calibri" w:hAnsi="Calibri"/>
                <w:b/>
                <w:bCs/>
                <w:i w:val="false"/>
                <w:iCs w:val="false"/>
                <w:color w:val="8E44AD"/>
                <w:sz w:val="22"/>
                <w:szCs w:val="22"/>
              </w:rPr>
              <w:t xml:space="preserve">Project Code</w:t>
            </w:r>
          </w:p>
        </w:tc>
        <w:tc>
          <w:tcPr>
            <w:tcW w:type="pct" w:w="65%"/>
            <w:vAlign w:val="center"/>
          </w:tcPr>
          <w:p>
            <w:pPr>
              <w:spacing w:after="40" w:before="40"/>
              <w:jc w:val="left"/>
            </w:pPr>
            <w:r>
              <w:rPr>
                <w:rFonts w:ascii="Calibri" w:cs="Calibri" w:eastAsia="Calibri" w:hAnsi="Calibri"/>
                <w:b w:val="false"/>
                <w:bCs w:val="false"/>
                <w:i w:val="false"/>
                <w:iCs w:val="false"/>
                <w:color w:val="2C3E50"/>
                <w:sz w:val="22"/>
                <w:szCs w:val="22"/>
              </w:rPr>
              <w:t xml:space="preserve">DAIM2025A_088</w:t>
            </w:r>
          </w:p>
        </w:tc>
      </w:tr>
      <w:tr>
        <w:tc>
          <w:tcPr>
            <w:tcW w:type="pct" w:w="35%"/>
            <w:vAlign w:val="center"/>
          </w:tcPr>
          <w:p>
            <w:pPr>
              <w:spacing w:after="40" w:before="40"/>
              <w:jc w:val="left"/>
            </w:pPr>
            <w:r>
              <w:rPr>
                <w:rFonts w:ascii="Calibri" w:cs="Calibri" w:eastAsia="Calibri" w:hAnsi="Calibri"/>
                <w:b/>
                <w:bCs/>
                <w:i w:val="false"/>
                <w:iCs w:val="false"/>
                <w:color w:val="8E44AD"/>
                <w:sz w:val="22"/>
                <w:szCs w:val="22"/>
              </w:rPr>
              <w:t xml:space="preserve">Student Name</w:t>
            </w:r>
          </w:p>
        </w:tc>
        <w:tc>
          <w:tcPr>
            <w:tcW w:type="pct" w:w="65%"/>
            <w:vAlign w:val="center"/>
          </w:tcPr>
          <w:p>
            <w:pPr>
              <w:spacing w:after="40" w:before="40"/>
              <w:jc w:val="left"/>
            </w:pPr>
            <w:r>
              <w:rPr>
                <w:rFonts w:ascii="Calibri" w:cs="Calibri" w:eastAsia="Calibri" w:hAnsi="Calibri"/>
                <w:b w:val="false"/>
                <w:bCs w:val="false"/>
                <w:i w:val="false"/>
                <w:iCs w:val="false"/>
                <w:color w:val="2C3E50"/>
                <w:sz w:val="22"/>
                <w:szCs w:val="22"/>
              </w:rPr>
              <w:t xml:space="preserve">Muhammad Tayyab Abbas</w:t>
            </w:r>
          </w:p>
        </w:tc>
      </w:tr>
      <w:tr>
        <w:tc>
          <w:tcPr>
            <w:tcW w:type="pct" w:w="35%"/>
            <w:vAlign w:val="center"/>
          </w:tcPr>
          <w:p>
            <w:pPr>
              <w:spacing w:after="40" w:before="40"/>
              <w:jc w:val="left"/>
            </w:pPr>
            <w:r>
              <w:rPr>
                <w:rFonts w:ascii="Calibri" w:cs="Calibri" w:eastAsia="Calibri" w:hAnsi="Calibri"/>
                <w:b/>
                <w:bCs/>
                <w:i w:val="false"/>
                <w:iCs w:val="false"/>
                <w:color w:val="8E44AD"/>
                <w:sz w:val="22"/>
                <w:szCs w:val="22"/>
              </w:rPr>
              <w:t xml:space="preserve">Student Email</w:t>
            </w:r>
          </w:p>
        </w:tc>
        <w:tc>
          <w:tcPr>
            <w:tcW w:type="pct" w:w="65%"/>
            <w:vAlign w:val="center"/>
          </w:tcPr>
          <w:p>
            <w:pPr>
              <w:spacing w:after="40" w:before="40"/>
              <w:jc w:val="left"/>
            </w:pPr>
            <w:r>
              <w:rPr>
                <w:rFonts w:ascii="Calibri" w:cs="Calibri" w:eastAsia="Calibri" w:hAnsi="Calibri"/>
                <w:b w:val="false"/>
                <w:bCs w:val="false"/>
                <w:i w:val="false"/>
                <w:iCs w:val="false"/>
                <w:color w:val="2C3E50"/>
                <w:sz w:val="22"/>
                <w:szCs w:val="22"/>
              </w:rPr>
              <w:t xml:space="preserve">M.ABBAS14-2024@hull.ac.uk</w:t>
            </w:r>
          </w:p>
        </w:tc>
      </w:tr>
      <w:tr>
        <w:tc>
          <w:tcPr>
            <w:tcW w:type="pct" w:w="35%"/>
            <w:vAlign w:val="center"/>
          </w:tcPr>
          <w:p>
            <w:pPr>
              <w:spacing w:after="40" w:before="40"/>
              <w:jc w:val="left"/>
            </w:pPr>
            <w:r>
              <w:rPr>
                <w:rFonts w:ascii="Calibri" w:cs="Calibri" w:eastAsia="Calibri" w:hAnsi="Calibri"/>
                <w:b/>
                <w:bCs/>
                <w:i w:val="false"/>
                <w:iCs w:val="false"/>
                <w:color w:val="8E44AD"/>
                <w:sz w:val="22"/>
                <w:szCs w:val="22"/>
              </w:rPr>
              <w:t xml:space="preserve">Supervisor</w:t>
            </w:r>
          </w:p>
        </w:tc>
        <w:tc>
          <w:tcPr>
            <w:tcW w:type="pct" w:w="65%"/>
            <w:vAlign w:val="center"/>
          </w:tcPr>
          <w:p>
            <w:pPr>
              <w:spacing w:after="40" w:before="40"/>
              <w:jc w:val="left"/>
            </w:pPr>
            <w:r>
              <w:rPr>
                <w:rFonts w:ascii="Calibri" w:cs="Calibri" w:eastAsia="Calibri" w:hAnsi="Calibri"/>
                <w:b w:val="false"/>
                <w:bCs w:val="false"/>
                <w:i w:val="false"/>
                <w:iCs w:val="false"/>
                <w:color w:val="2C3E50"/>
                <w:sz w:val="22"/>
                <w:szCs w:val="22"/>
              </w:rPr>
              <w:t xml:space="preserve">Dr Claire Cashmore</w:t>
            </w:r>
          </w:p>
        </w:tc>
      </w:tr>
      <w:tr>
        <w:tc>
          <w:tcPr>
            <w:tcW w:type="pct" w:w="35%"/>
            <w:vAlign w:val="center"/>
          </w:tcPr>
          <w:p>
            <w:pPr>
              <w:spacing w:after="40" w:before="40"/>
              <w:jc w:val="left"/>
            </w:pPr>
            <w:r>
              <w:rPr>
                <w:rFonts w:ascii="Calibri" w:cs="Calibri" w:eastAsia="Calibri" w:hAnsi="Calibri"/>
                <w:b/>
                <w:bCs/>
                <w:i w:val="false"/>
                <w:iCs w:val="false"/>
                <w:color w:val="8E44AD"/>
                <w:sz w:val="22"/>
                <w:szCs w:val="22"/>
              </w:rPr>
              <w:t xml:space="preserve">Submission Date</w:t>
            </w:r>
          </w:p>
        </w:tc>
        <w:tc>
          <w:tcPr>
            <w:tcW w:type="pct" w:w="65%"/>
            <w:vAlign w:val="center"/>
          </w:tcPr>
          <w:p>
            <w:pPr>
              <w:spacing w:after="40" w:before="40"/>
              <w:jc w:val="left"/>
            </w:pPr>
            <w:r>
              <w:rPr>
                <w:rFonts w:ascii="Calibri" w:cs="Calibri" w:eastAsia="Calibri" w:hAnsi="Calibri"/>
                <w:b w:val="false"/>
                <w:bCs w:val="false"/>
                <w:i w:val="false"/>
                <w:iCs w:val="false"/>
                <w:color w:val="2C3E50"/>
                <w:sz w:val="22"/>
                <w:szCs w:val="22"/>
              </w:rPr>
              <w:t xml:space="preserve">30th April 2026</w:t>
            </w:r>
          </w:p>
        </w:tc>
      </w:tr>
    </w:tbl>
    <w:p>
      <w:pPr>
        <w:spacing w:after="300"/>
      </w:pPr>
    </w:p>
    <w:p>
      <w:pPr>
        <w:pBdr>
          <w:top w:val="single" w:color="8E44AD" w:sz="2"/>
          <w:bottom w:val="single" w:color="8E44AD" w:sz="2"/>
          <w:left w:val="single" w:color="8E44AD" w:sz="2"/>
          <w:right w:val="single" w:color="8E44AD" w:sz="2"/>
        </w:pBdr>
        <w:shd w:color="F3E8FF" w:val="solid"/>
        <w:spacing w:after="100"/>
        <w:jc w:val="center"/>
      </w:pPr>
      <w:r>
        <w:rPr>
          <w:rFonts w:ascii="Calibri" w:cs="Calibri" w:eastAsia="Calibri" w:hAnsi="Calibri"/>
          <w:b/>
          <w:bCs/>
          <w:color w:val="2C3E50"/>
          <w:sz w:val="24"/>
          <w:szCs w:val="24"/>
        </w:rPr>
        <w:t xml:space="preserve">Word Count: 2,987</w:t>
      </w:r>
    </w:p>
    <w:p>
      <w:pPr>
        <w:sectPr>
          <w:pgSz w:w="11906" w:h="16838" w:orient="portrait"/>
          <w:pgMar w:top="1440" w:right="1440" w:bottom="1440" w:left="1440" w:header="708" w:footer="708" w:gutter="0"/>
          <w:pgNumType/>
          <w:docGrid w:linePitch="360"/>
        </w:sectPr>
      </w:pPr>
    </w:p>
    <w:p>
      <w:pPr>
        <w:pBdr>
          <w:bottom w:val="single" w:color="8E44AD" w:sz="4"/>
        </w:pBdr>
        <w:spacing w:after="300"/>
      </w:pPr>
      <w:r>
        <w:rPr>
          <w:rFonts w:ascii="Calibri Light" w:cs="Calibri Light" w:eastAsia="Calibri Light" w:hAnsi="Calibri Light"/>
          <w:b/>
          <w:bCs/>
          <w:color w:val="2C3E50"/>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200"/>
      </w:pPr>
    </w:p>
    <w:p>
      <w:pPr>
        <w:spacing w:after="80"/>
      </w:pPr>
      <w:r>
        <w:rPr>
          <w:rFonts w:ascii="Calibri" w:cs="Calibri" w:eastAsia="Calibri" w:hAnsi="Calibri"/>
          <w:b/>
          <w:bCs/>
          <w:color w:val="8E44AD"/>
          <w:sz w:val="22"/>
          <w:szCs w:val="22"/>
        </w:rPr>
        <w:t xml:space="preserve">Section A</w:t>
      </w:r>
      <w:r>
        <w:rPr>
          <w:rFonts w:ascii="Calibri" w:cs="Calibri" w:eastAsia="Calibri" w:hAnsi="Calibri"/>
          <w:color w:val="2C3E50"/>
          <w:sz w:val="22"/>
          <w:szCs w:val="22"/>
        </w:rPr>
        <w:t xml:space="preserve">    Aims and Objectives</w:t>
      </w:r>
    </w:p>
    <w:p>
      <w:pPr>
        <w:spacing w:after="40"/>
      </w:pPr>
      <w:r>
        <w:rPr>
          <w:rFonts w:ascii="Calibri" w:cs="Calibri" w:eastAsia="Calibri" w:hAnsi="Calibri"/>
          <w:b/>
          <w:bCs/>
          <w:color w:val="8E44AD"/>
          <w:sz w:val="22"/>
          <w:szCs w:val="22"/>
        </w:rPr>
        <w:t xml:space="preserve">Section B</w:t>
      </w:r>
      <w:r>
        <w:rPr>
          <w:rFonts w:ascii="Calibri" w:cs="Calibri" w:eastAsia="Calibri" w:hAnsi="Calibri"/>
          <w:color w:val="2C3E50"/>
          <w:sz w:val="22"/>
          <w:szCs w:val="22"/>
        </w:rPr>
        <w:t xml:space="preserve">    Background and Literature Review</w:t>
      </w:r>
    </w:p>
    <w:p>
      <w:pPr>
        <w:spacing w:after="30"/>
        <w:ind w:left="300"/>
      </w:pPr>
      <w:r>
        <w:rPr>
          <w:rFonts w:ascii="Calibri" w:cs="Calibri" w:eastAsia="Calibri" w:hAnsi="Calibri"/>
          <w:color w:val="2980B9"/>
          <w:sz w:val="20"/>
          <w:szCs w:val="20"/>
        </w:rPr>
        <w:t xml:space="preserve">        2.1</w:t>
      </w:r>
      <w:r>
        <w:rPr>
          <w:rFonts w:ascii="Calibri" w:cs="Calibri" w:eastAsia="Calibri" w:hAnsi="Calibri"/>
          <w:color w:val="2C3E50"/>
          <w:sz w:val="20"/>
          <w:szCs w:val="20"/>
        </w:rPr>
        <w:t xml:space="preserve">    Malignant Melanoma: Clinical Context</w:t>
      </w:r>
    </w:p>
    <w:p>
      <w:pPr>
        <w:spacing w:after="30"/>
        <w:ind w:left="300"/>
      </w:pPr>
      <w:r>
        <w:rPr>
          <w:rFonts w:ascii="Calibri" w:cs="Calibri" w:eastAsia="Calibri" w:hAnsi="Calibri"/>
          <w:color w:val="2980B9"/>
          <w:sz w:val="20"/>
          <w:szCs w:val="20"/>
        </w:rPr>
        <w:t xml:space="preserve">        2.2</w:t>
      </w:r>
      <w:r>
        <w:rPr>
          <w:rFonts w:ascii="Calibri" w:cs="Calibri" w:eastAsia="Calibri" w:hAnsi="Calibri"/>
          <w:color w:val="2C3E50"/>
          <w:sz w:val="20"/>
          <w:szCs w:val="20"/>
        </w:rPr>
        <w:t xml:space="preserve">    Canine Melanoma as a Comparative Oncology Model</w:t>
      </w:r>
    </w:p>
    <w:p>
      <w:pPr>
        <w:spacing w:after="30"/>
        <w:ind w:left="300"/>
      </w:pPr>
      <w:r>
        <w:rPr>
          <w:rFonts w:ascii="Calibri" w:cs="Calibri" w:eastAsia="Calibri" w:hAnsi="Calibri"/>
          <w:color w:val="2980B9"/>
          <w:sz w:val="20"/>
          <w:szCs w:val="20"/>
        </w:rPr>
        <w:t xml:space="preserve">        2.3</w:t>
      </w:r>
      <w:r>
        <w:rPr>
          <w:rFonts w:ascii="Calibri" w:cs="Calibri" w:eastAsia="Calibri" w:hAnsi="Calibri"/>
          <w:color w:val="2C3E50"/>
          <w:sz w:val="20"/>
          <w:szCs w:val="20"/>
        </w:rPr>
        <w:t xml:space="preserve">    The CATCH Dataset</w:t>
      </w:r>
    </w:p>
    <w:p>
      <w:pPr>
        <w:spacing w:after="30"/>
        <w:ind w:left="300"/>
      </w:pPr>
      <w:r>
        <w:rPr>
          <w:rFonts w:ascii="Calibri" w:cs="Calibri" w:eastAsia="Calibri" w:hAnsi="Calibri"/>
          <w:color w:val="2980B9"/>
          <w:sz w:val="20"/>
          <w:szCs w:val="20"/>
        </w:rPr>
        <w:t xml:space="preserve">        2.4</w:t>
      </w:r>
      <w:r>
        <w:rPr>
          <w:rFonts w:ascii="Calibri" w:cs="Calibri" w:eastAsia="Calibri" w:hAnsi="Calibri"/>
          <w:color w:val="2C3E50"/>
          <w:sz w:val="20"/>
          <w:szCs w:val="20"/>
        </w:rPr>
        <w:t xml:space="preserve">    Deep Learning in Histopathology Image Analysis</w:t>
      </w:r>
    </w:p>
    <w:p>
      <w:pPr>
        <w:spacing w:after="80"/>
        <w:ind w:left="300"/>
      </w:pPr>
      <w:r>
        <w:rPr>
          <w:rFonts w:ascii="Calibri" w:cs="Calibri" w:eastAsia="Calibri" w:hAnsi="Calibri"/>
          <w:color w:val="2980B9"/>
          <w:sz w:val="20"/>
          <w:szCs w:val="20"/>
        </w:rPr>
        <w:t xml:space="preserve">        2.5</w:t>
      </w:r>
      <w:r>
        <w:rPr>
          <w:rFonts w:ascii="Calibri" w:cs="Calibri" w:eastAsia="Calibri" w:hAnsi="Calibri"/>
          <w:color w:val="2C3E50"/>
          <w:sz w:val="20"/>
          <w:szCs w:val="20"/>
        </w:rPr>
        <w:t xml:space="preserve">    Addressing the Research Gap</w:t>
      </w:r>
    </w:p>
    <w:p>
      <w:pPr>
        <w:spacing w:after="40"/>
      </w:pPr>
      <w:r>
        <w:rPr>
          <w:rFonts w:ascii="Calibri" w:cs="Calibri" w:eastAsia="Calibri" w:hAnsi="Calibri"/>
          <w:b/>
          <w:bCs/>
          <w:color w:val="8E44AD"/>
          <w:sz w:val="22"/>
          <w:szCs w:val="22"/>
        </w:rPr>
        <w:t xml:space="preserve">Section C</w:t>
      </w:r>
      <w:r>
        <w:rPr>
          <w:rFonts w:ascii="Calibri" w:cs="Calibri" w:eastAsia="Calibri" w:hAnsi="Calibri"/>
          <w:color w:val="2C3E50"/>
          <w:sz w:val="22"/>
          <w:szCs w:val="22"/>
        </w:rPr>
        <w:t xml:space="preserve">    Research Description and Anticipated Outcomes</w:t>
      </w:r>
    </w:p>
    <w:p>
      <w:pPr>
        <w:spacing w:after="30"/>
        <w:ind w:left="300"/>
      </w:pPr>
      <w:r>
        <w:rPr>
          <w:rFonts w:ascii="Calibri" w:cs="Calibri" w:eastAsia="Calibri" w:hAnsi="Calibri"/>
          <w:color w:val="2980B9"/>
          <w:sz w:val="20"/>
          <w:szCs w:val="20"/>
        </w:rPr>
        <w:t xml:space="preserve">        3.1</w:t>
      </w:r>
      <w:r>
        <w:rPr>
          <w:rFonts w:ascii="Calibri" w:cs="Calibri" w:eastAsia="Calibri" w:hAnsi="Calibri"/>
          <w:color w:val="2C3E50"/>
          <w:sz w:val="20"/>
          <w:szCs w:val="20"/>
        </w:rPr>
        <w:t xml:space="preserve">    Proposed Methodology</w:t>
      </w:r>
    </w:p>
    <w:p>
      <w:pPr>
        <w:spacing w:after="30"/>
        <w:ind w:left="300"/>
      </w:pPr>
      <w:r>
        <w:rPr>
          <w:rFonts w:ascii="Calibri" w:cs="Calibri" w:eastAsia="Calibri" w:hAnsi="Calibri"/>
          <w:color w:val="2980B9"/>
          <w:sz w:val="20"/>
          <w:szCs w:val="20"/>
        </w:rPr>
        <w:t xml:space="preserve">        3.2</w:t>
      </w:r>
      <w:r>
        <w:rPr>
          <w:rFonts w:ascii="Calibri" w:cs="Calibri" w:eastAsia="Calibri" w:hAnsi="Calibri"/>
          <w:color w:val="2C3E50"/>
          <w:sz w:val="20"/>
          <w:szCs w:val="20"/>
        </w:rPr>
        <w:t xml:space="preserve">    Anticipated Outcomes</w:t>
      </w:r>
    </w:p>
    <w:p>
      <w:pPr>
        <w:spacing w:after="80"/>
        <w:ind w:left="300"/>
      </w:pPr>
      <w:r>
        <w:rPr>
          <w:rFonts w:ascii="Calibri" w:cs="Calibri" w:eastAsia="Calibri" w:hAnsi="Calibri"/>
          <w:color w:val="2980B9"/>
          <w:sz w:val="20"/>
          <w:szCs w:val="20"/>
        </w:rPr>
        <w:t xml:space="preserve">        3.3</w:t>
      </w:r>
      <w:r>
        <w:rPr>
          <w:rFonts w:ascii="Calibri" w:cs="Calibri" w:eastAsia="Calibri" w:hAnsi="Calibri"/>
          <w:color w:val="2C3E50"/>
          <w:sz w:val="20"/>
          <w:szCs w:val="20"/>
        </w:rPr>
        <w:t xml:space="preserve">    Justification for the Research Approach</w:t>
      </w:r>
    </w:p>
    <w:p>
      <w:pPr>
        <w:spacing w:after="40"/>
      </w:pPr>
      <w:r>
        <w:rPr>
          <w:rFonts w:ascii="Calibri" w:cs="Calibri" w:eastAsia="Calibri" w:hAnsi="Calibri"/>
          <w:b/>
          <w:bCs/>
          <w:color w:val="8E44AD"/>
          <w:sz w:val="22"/>
          <w:szCs w:val="22"/>
        </w:rPr>
        <w:t xml:space="preserve">Section D</w:t>
      </w:r>
      <w:r>
        <w:rPr>
          <w:rFonts w:ascii="Calibri" w:cs="Calibri" w:eastAsia="Calibri" w:hAnsi="Calibri"/>
          <w:color w:val="2C3E50"/>
          <w:sz w:val="22"/>
          <w:szCs w:val="22"/>
        </w:rPr>
        <w:t xml:space="preserve">    Timeline, Tasks, and Risk Assessment</w:t>
      </w:r>
    </w:p>
    <w:p>
      <w:pPr>
        <w:spacing w:after="30"/>
        <w:ind w:left="300"/>
      </w:pPr>
      <w:r>
        <w:rPr>
          <w:rFonts w:ascii="Calibri" w:cs="Calibri" w:eastAsia="Calibri" w:hAnsi="Calibri"/>
          <w:color w:val="2980B9"/>
          <w:sz w:val="20"/>
          <w:szCs w:val="20"/>
        </w:rPr>
        <w:t xml:space="preserve">        4.1</w:t>
      </w:r>
      <w:r>
        <w:rPr>
          <w:rFonts w:ascii="Calibri" w:cs="Calibri" w:eastAsia="Calibri" w:hAnsi="Calibri"/>
          <w:color w:val="2C3E50"/>
          <w:sz w:val="20"/>
          <w:szCs w:val="20"/>
        </w:rPr>
        <w:t xml:space="preserve">    Project Timeline (Gantt Chart)</w:t>
      </w:r>
    </w:p>
    <w:p>
      <w:pPr>
        <w:spacing w:after="30"/>
        <w:ind w:left="300"/>
      </w:pPr>
      <w:r>
        <w:rPr>
          <w:rFonts w:ascii="Calibri" w:cs="Calibri" w:eastAsia="Calibri" w:hAnsi="Calibri"/>
          <w:color w:val="2980B9"/>
          <w:sz w:val="20"/>
          <w:szCs w:val="20"/>
        </w:rPr>
        <w:t xml:space="preserve">        4.2</w:t>
      </w:r>
      <w:r>
        <w:rPr>
          <w:rFonts w:ascii="Calibri" w:cs="Calibri" w:eastAsia="Calibri" w:hAnsi="Calibri"/>
          <w:color w:val="2C3E50"/>
          <w:sz w:val="20"/>
          <w:szCs w:val="20"/>
        </w:rPr>
        <w:t xml:space="preserve">    Task Breakdown and Discussion</w:t>
      </w:r>
    </w:p>
    <w:p>
      <w:pPr>
        <w:spacing w:after="80"/>
        <w:ind w:left="300"/>
      </w:pPr>
      <w:r>
        <w:rPr>
          <w:rFonts w:ascii="Calibri" w:cs="Calibri" w:eastAsia="Calibri" w:hAnsi="Calibri"/>
          <w:color w:val="2980B9"/>
          <w:sz w:val="20"/>
          <w:szCs w:val="20"/>
        </w:rPr>
        <w:t xml:space="preserve">        4.3</w:t>
      </w:r>
      <w:r>
        <w:rPr>
          <w:rFonts w:ascii="Calibri" w:cs="Calibri" w:eastAsia="Calibri" w:hAnsi="Calibri"/>
          <w:color w:val="2C3E50"/>
          <w:sz w:val="20"/>
          <w:szCs w:val="20"/>
        </w:rPr>
        <w:t xml:space="preserve">    Risk Assessment and Contingency Planning</w:t>
      </w:r>
    </w:p>
    <w:p>
      <w:pPr>
        <w:spacing w:after="80"/>
      </w:pPr>
      <w:r>
        <w:rPr>
          <w:rFonts w:ascii="Calibri" w:cs="Calibri" w:eastAsia="Calibri" w:hAnsi="Calibri"/>
          <w:b/>
          <w:bCs/>
          <w:color w:val="8E44AD"/>
          <w:sz w:val="22"/>
          <w:szCs w:val="22"/>
        </w:rPr>
        <w:t xml:space="preserve">References</w:t>
      </w:r>
      <w:r>
        <w:rPr>
          <w:rFonts w:ascii="Calibri" w:cs="Calibri" w:eastAsia="Calibri" w:hAnsi="Calibri"/>
          <w:color w:val="2C3E50"/>
          <w:sz w:val="22"/>
          <w:szCs w:val="22"/>
        </w:rPr>
        <w:t xml:space="preserve">    Bibliography</w:t>
      </w:r>
    </w:p>
    <w:p>
      <w:pPr>
        <w:spacing w:after="200"/>
      </w:pPr>
    </w:p>
    <w:p>
      <w:pPr>
        <w:pBdr>
          <w:bottom w:val="single" w:color="2980B9" w:sz="2"/>
        </w:pBdr>
        <w:spacing w:after="150"/>
      </w:pPr>
      <w:r>
        <w:rPr>
          <w:rFonts w:ascii="Calibri Light" w:cs="Calibri Light" w:eastAsia="Calibri Light" w:hAnsi="Calibri Light"/>
          <w:b/>
          <w:bCs/>
          <w:color w:val="2C3E50"/>
          <w:sz w:val="28"/>
          <w:szCs w:val="28"/>
        </w:rPr>
        <w:t xml:space="preserve">List of Figures</w:t>
      </w:r>
    </w:p>
    <w:p>
      <w:pPr>
        <w:spacing w:after="50"/>
      </w:pPr>
      <w:r>
        <w:rPr>
          <w:rFonts w:ascii="Calibri" w:cs="Calibri" w:eastAsia="Calibri" w:hAnsi="Calibri"/>
          <w:b/>
          <w:bCs/>
          <w:color w:val="8E44AD"/>
          <w:sz w:val="20"/>
          <w:szCs w:val="20"/>
        </w:rPr>
        <w:t xml:space="preserve">Figure 1:</w:t>
      </w:r>
      <w:r>
        <w:rPr>
          <w:rFonts w:ascii="Calibri" w:cs="Calibri" w:eastAsia="Calibri" w:hAnsi="Calibri"/>
          <w:color w:val="2C3E50"/>
          <w:sz w:val="20"/>
          <w:szCs w:val="20"/>
        </w:rPr>
        <w:t xml:space="preserve">    Distribution of Research Focus Areas</w:t>
      </w:r>
    </w:p>
    <w:p>
      <w:pPr>
        <w:spacing w:after="50"/>
      </w:pPr>
      <w:r>
        <w:rPr>
          <w:rFonts w:ascii="Calibri" w:cs="Calibri" w:eastAsia="Calibri" w:hAnsi="Calibri"/>
          <w:b/>
          <w:bCs/>
          <w:color w:val="8E44AD"/>
          <w:sz w:val="20"/>
          <w:szCs w:val="20"/>
        </w:rPr>
        <w:t xml:space="preserve">Figure 2:</w:t>
      </w:r>
      <w:r>
        <w:rPr>
          <w:rFonts w:ascii="Calibri" w:cs="Calibri" w:eastAsia="Calibri" w:hAnsi="Calibri"/>
          <w:color w:val="2C3E50"/>
          <w:sz w:val="20"/>
          <w:szCs w:val="20"/>
        </w:rPr>
        <w:t xml:space="preserve">    Research Methodology Pipeline</w:t>
      </w:r>
    </w:p>
    <w:p>
      <w:pPr>
        <w:spacing w:after="50"/>
      </w:pPr>
      <w:r>
        <w:rPr>
          <w:rFonts w:ascii="Calibri" w:cs="Calibri" w:eastAsia="Calibri" w:hAnsi="Calibri"/>
          <w:b/>
          <w:bCs/>
          <w:color w:val="8E44AD"/>
          <w:sz w:val="20"/>
          <w:szCs w:val="20"/>
        </w:rPr>
        <w:t xml:space="preserve">Figure 3:</w:t>
      </w:r>
      <w:r>
        <w:rPr>
          <w:rFonts w:ascii="Calibri" w:cs="Calibri" w:eastAsia="Calibri" w:hAnsi="Calibri"/>
          <w:color w:val="2C3E50"/>
          <w:sz w:val="20"/>
          <w:szCs w:val="20"/>
        </w:rPr>
        <w:t xml:space="preserve">    Anticipated Model Performance Benchmarks</w:t>
      </w:r>
    </w:p>
    <w:p>
      <w:pPr>
        <w:spacing w:after="50"/>
      </w:pPr>
      <w:r>
        <w:rPr>
          <w:rFonts w:ascii="Calibri" w:cs="Calibri" w:eastAsia="Calibri" w:hAnsi="Calibri"/>
          <w:b/>
          <w:bCs/>
          <w:color w:val="8E44AD"/>
          <w:sz w:val="20"/>
          <w:szCs w:val="20"/>
        </w:rPr>
        <w:t xml:space="preserve">Figure 4:</w:t>
      </w:r>
      <w:r>
        <w:rPr>
          <w:rFonts w:ascii="Calibri" w:cs="Calibri" w:eastAsia="Calibri" w:hAnsi="Calibri"/>
          <w:color w:val="2C3E50"/>
          <w:sz w:val="20"/>
          <w:szCs w:val="20"/>
        </w:rPr>
        <w:t xml:space="preserve">    Project Gantt Chart (Weeks 1–12)</w:t>
      </w:r>
    </w:p>
    <w:p>
      <w:pPr>
        <w:spacing w:after="50"/>
      </w:pPr>
      <w:r>
        <w:rPr>
          <w:rFonts w:ascii="Calibri" w:cs="Calibri" w:eastAsia="Calibri" w:hAnsi="Calibri"/>
          <w:b/>
          <w:bCs/>
          <w:color w:val="8E44AD"/>
          <w:sz w:val="20"/>
          <w:szCs w:val="20"/>
        </w:rPr>
        <w:t xml:space="preserve">Figure 5:</w:t>
      </w:r>
      <w:r>
        <w:rPr>
          <w:rFonts w:ascii="Calibri" w:cs="Calibri" w:eastAsia="Calibri" w:hAnsi="Calibri"/>
          <w:color w:val="2C3E50"/>
          <w:sz w:val="20"/>
          <w:szCs w:val="20"/>
        </w:rPr>
        <w:t xml:space="preserve">    Weekly Time Allocation Across Project Phases</w:t>
      </w:r>
    </w:p>
    <w:p>
      <w:pPr>
        <w:spacing w:after="200"/>
      </w:pPr>
    </w:p>
    <w:p>
      <w:pPr>
        <w:pBdr>
          <w:bottom w:val="single" w:color="2980B9" w:sz="2"/>
        </w:pBdr>
        <w:spacing w:after="150"/>
      </w:pPr>
      <w:r>
        <w:rPr>
          <w:rFonts w:ascii="Calibri Light" w:cs="Calibri Light" w:eastAsia="Calibri Light" w:hAnsi="Calibri Light"/>
          <w:b/>
          <w:bCs/>
          <w:color w:val="2C3E50"/>
          <w:sz w:val="28"/>
          <w:szCs w:val="28"/>
        </w:rPr>
        <w:t xml:space="preserve">List of Tables</w:t>
      </w:r>
    </w:p>
    <w:p>
      <w:pPr>
        <w:spacing w:after="50"/>
      </w:pPr>
      <w:r>
        <w:rPr>
          <w:rFonts w:ascii="Calibri" w:cs="Calibri" w:eastAsia="Calibri" w:hAnsi="Calibri"/>
          <w:b/>
          <w:bCs/>
          <w:color w:val="8E44AD"/>
          <w:sz w:val="20"/>
          <w:szCs w:val="20"/>
        </w:rPr>
        <w:t xml:space="preserve">Table 1:</w:t>
      </w:r>
      <w:r>
        <w:rPr>
          <w:rFonts w:ascii="Calibri" w:cs="Calibri" w:eastAsia="Calibri" w:hAnsi="Calibri"/>
          <w:color w:val="2C3E50"/>
          <w:sz w:val="20"/>
          <w:szCs w:val="20"/>
        </w:rPr>
        <w:t xml:space="preserve">    Risk Assessment and Contingency Planning</w:t>
      </w:r>
    </w:p>
    <w:p>
      <w:pPr>
        <w:spacing w:after="50"/>
      </w:pPr>
      <w:r>
        <w:rPr>
          <w:rFonts w:ascii="Calibri" w:cs="Calibri" w:eastAsia="Calibri" w:hAnsi="Calibri"/>
          <w:b/>
          <w:bCs/>
          <w:color w:val="8E44AD"/>
          <w:sz w:val="20"/>
          <w:szCs w:val="20"/>
        </w:rPr>
        <w:t xml:space="preserve">Table 2:</w:t>
      </w:r>
      <w:r>
        <w:rPr>
          <w:rFonts w:ascii="Calibri" w:cs="Calibri" w:eastAsia="Calibri" w:hAnsi="Calibri"/>
          <w:color w:val="2C3E50"/>
          <w:sz w:val="20"/>
          <w:szCs w:val="20"/>
        </w:rPr>
        <w:t xml:space="preserve">    Anticipated Outcomes Summary</w:t>
      </w:r>
    </w:p>
    <w:p>
      <w:pPr>
        <w:sectPr>
          <w:headerReference w:type="default" r:id="rId7"/>
          <w:footerReference w:type="default" r:id="rId8"/>
          <w:pgSz w:w="11906" w:h="16838" w:orient="portrait"/>
          <w:pgMar w:top="1440" w:right="1440" w:bottom="1440" w:left="1440" w:header="708" w:footer="708" w:gutter="0"/>
          <w:pgNumType/>
          <w:docGrid w:linePitch="360"/>
        </w:sectPr>
      </w:pPr>
    </w:p>
    <w:p>
      <w:pPr>
        <w:spacing w:after="40" w:before="400"/>
      </w:pPr>
      <w:r>
        <w:rPr>
          <w:rFonts w:ascii="Calibri" w:cs="Calibri" w:eastAsia="Calibri" w:hAnsi="Calibri"/>
          <w:b/>
          <w:bCs/>
          <w:caps/>
          <w:color w:val="8E44AD"/>
          <w:sz w:val="20"/>
          <w:szCs w:val="20"/>
        </w:rPr>
        <w:t xml:space="preserve">Section A</w:t>
      </w:r>
    </w:p>
    <w:p>
      <w:pPr>
        <w:pBdr>
          <w:bottom w:val="single" w:color="8E44AD" w:sz="6"/>
        </w:pBdr>
        <w:spacing w:after="60"/>
      </w:pPr>
      <w:r>
        <w:rPr>
          <w:rFonts w:ascii="Calibri Light" w:cs="Calibri Light" w:eastAsia="Calibri Light" w:hAnsi="Calibri Light"/>
          <w:b/>
          <w:bCs/>
          <w:color w:val="2C3E50"/>
          <w:sz w:val="36"/>
          <w:szCs w:val="36"/>
        </w:rPr>
        <w:t xml:space="preserve">Aims and Objectives</w:t>
      </w:r>
    </w:p>
    <w:p>
      <w:pPr>
        <w:spacing w:after="150"/>
      </w:pPr>
    </w:p>
    <w:p>
      <w:pPr>
        <w:spacing w:after="180" w:before="0" w:line="360"/>
        <w:jc w:val="both"/>
      </w:pPr>
      <w:r>
        <w:rPr>
          <w:rFonts w:ascii="Calibri" w:cs="Calibri" w:eastAsia="Calibri" w:hAnsi="Calibri"/>
          <w:color w:val="2C3E50"/>
          <w:sz w:val="23"/>
          <w:szCs w:val="23"/>
        </w:rPr>
        <w:t xml:space="preserve">The principal aim of this research is to develop and evaluate deep learning-based approaches for the automated classification of malignant melanoma in canine cutaneous histopathology images, utilising the CAnine CuTaneous Cancer Histology (CATCH) dataset </w:t>
      </w:r>
      <w:r>
        <w:rPr>
          <w:rFonts w:ascii="Calibri" w:cs="Calibri" w:eastAsia="Calibri" w:hAnsi="Calibri"/>
          <w:color w:val="2C3E50"/>
          <w:sz w:val="23"/>
          <w:szCs w:val="23"/>
        </w:rPr>
      </w:r>
      <w:r>
        <w:rPr>
          <w:rFonts w:ascii="Calibri" w:cs="Calibri" w:eastAsia="Calibri" w:hAnsi="Calibri"/>
          <w:color w:val="2C3E50"/>
          <w:sz w:val="23"/>
          <w:szCs w:val="23"/>
        </w:rPr>
        <w:t xml:space="preserve">. This work seeks to contribute toward the broader understanding of melanoma pathology across species, given the well-documented histological parallels between canine and human melanomas </w:t>
      </w:r>
      <w:r>
        <w:rPr>
          <w:rFonts w:ascii="Calibri" w:cs="Calibri" w:eastAsia="Calibri" w:hAnsi="Calibri"/>
          <w:color w:val="2C3E50"/>
          <w:sz w:val="23"/>
          <w:szCs w:val="23"/>
        </w:rPr>
      </w:r>
      <w:r>
        <w:rPr>
          <w:rFonts w:ascii="Calibri" w:cs="Calibri" w:eastAsia="Calibri" w:hAnsi="Calibri"/>
          <w:color w:val="2C3E50"/>
          <w:sz w:val="23"/>
          <w:szCs w:val="23"/>
        </w:rPr>
        <w:t xml:space="preserve">.</w:t>
      </w:r>
    </w:p>
    <w:p>
      <w:pPr>
        <w:pBdr>
          <w:top w:val="single" w:color="D4C4E8" w:sz="1"/>
          <w:bottom w:val="single" w:color="D4C4E8" w:sz="1"/>
          <w:left w:val="single" w:color="8E44AD" w:sz="12"/>
          <w:right w:val="single" w:color="D4C4E8" w:sz="1"/>
        </w:pBdr>
        <w:shd w:color="F3E8FF" w:val="solid"/>
        <w:spacing w:after="120" w:before="200"/>
        <w:ind w:left="100" w:right="100"/>
      </w:pPr>
      <w:r>
        <w:rPr>
          <w:rFonts w:ascii="Calibri" w:cs="Calibri" w:eastAsia="Calibri" w:hAnsi="Calibri"/>
          <w:b/>
          <w:bCs/>
          <w:color w:val="8E44AD"/>
          <w:sz w:val="24"/>
          <w:szCs w:val="24"/>
        </w:rPr>
        <w:t xml:space="preserve">Specific Objectives</w:t>
      </w:r>
    </w:p>
    <w:p>
      <w:pPr>
        <w:pStyle w:val="ListParagraph"/>
        <w:numPr>
          <w:ilvl w:val="0"/>
          <w:numId w:val="1"/>
        </w:numPr>
        <w:spacing w:after="80" w:line="340"/>
        <w:jc w:val="both"/>
      </w:pPr>
      <w:r>
        <w:rPr>
          <w:rFonts w:ascii="Calibri" w:cs="Calibri" w:eastAsia="Calibri" w:hAnsi="Calibri"/>
          <w:b/>
          <w:bCs/>
          <w:color w:val="8E44AD"/>
          <w:sz w:val="23"/>
          <w:szCs w:val="23"/>
        </w:rPr>
        <w:t xml:space="preserve">Objective 1: </w:t>
      </w:r>
      <w:r>
        <w:rPr>
          <w:rFonts w:ascii="Calibri" w:cs="Calibri" w:eastAsia="Calibri" w:hAnsi="Calibri"/>
          <w:color w:val="2C3E50"/>
          <w:sz w:val="23"/>
          <w:szCs w:val="23"/>
        </w:rPr>
        <w:t xml:space="preserve">To perform semantic segmentation of canine cutaneous tumour regions within whole-slide histopathology images using a U-Net architecture with transfer learning.</w:t>
      </w:r>
    </w:p>
    <w:p>
      <w:pPr>
        <w:pStyle w:val="ListParagraph"/>
        <w:numPr>
          <w:ilvl w:val="0"/>
          <w:numId w:val="1"/>
        </w:numPr>
        <w:spacing w:after="80" w:line="340"/>
        <w:jc w:val="both"/>
      </w:pPr>
      <w:r>
        <w:rPr>
          <w:rFonts w:ascii="Calibri" w:cs="Calibri" w:eastAsia="Calibri" w:hAnsi="Calibri"/>
          <w:b/>
          <w:bCs/>
          <w:color w:val="8E44AD"/>
          <w:sz w:val="23"/>
          <w:szCs w:val="23"/>
        </w:rPr>
        <w:t xml:space="preserve">Objective 2: </w:t>
      </w:r>
      <w:r>
        <w:rPr>
          <w:rFonts w:ascii="Calibri" w:cs="Calibri" w:eastAsia="Calibri" w:hAnsi="Calibri"/>
          <w:color w:val="2C3E50"/>
          <w:sz w:val="23"/>
          <w:szCs w:val="23"/>
        </w:rPr>
        <w:t xml:space="preserve">To develop and train convolutional neural network (CNN) classifiers, including ResNet-50 and EfficientNet-B3, for the multi-class classification of canine cutaneous tumour subtypes.</w:t>
      </w:r>
    </w:p>
    <w:p>
      <w:pPr>
        <w:pStyle w:val="ListParagraph"/>
        <w:numPr>
          <w:ilvl w:val="0"/>
          <w:numId w:val="1"/>
        </w:numPr>
        <w:spacing w:after="80" w:line="340"/>
        <w:jc w:val="both"/>
      </w:pPr>
      <w:r>
        <w:rPr>
          <w:rFonts w:ascii="Calibri" w:cs="Calibri" w:eastAsia="Calibri" w:hAnsi="Calibri"/>
          <w:b/>
          <w:bCs/>
          <w:color w:val="8E44AD"/>
          <w:sz w:val="23"/>
          <w:szCs w:val="23"/>
        </w:rPr>
        <w:t xml:space="preserve">Objective 3: </w:t>
      </w:r>
      <w:r>
        <w:rPr>
          <w:rFonts w:ascii="Calibri" w:cs="Calibri" w:eastAsia="Calibri" w:hAnsi="Calibri"/>
          <w:color w:val="2C3E50"/>
          <w:sz w:val="23"/>
          <w:szCs w:val="23"/>
        </w:rPr>
        <w:t xml:space="preserve">To evaluate model performance through rigorous quantitative metrics (accuracy, F1-score, precision, recall, and AUC-ROC) and qualitative assessment of segmentation outputs.</w:t>
      </w:r>
    </w:p>
    <w:p>
      <w:pPr>
        <w:pStyle w:val="ListParagraph"/>
        <w:numPr>
          <w:ilvl w:val="0"/>
          <w:numId w:val="1"/>
        </w:numPr>
        <w:spacing w:after="80" w:line="340"/>
        <w:jc w:val="both"/>
      </w:pPr>
      <w:r>
        <w:rPr>
          <w:rFonts w:ascii="Calibri" w:cs="Calibri" w:eastAsia="Calibri" w:hAnsi="Calibri"/>
          <w:b/>
          <w:bCs/>
          <w:color w:val="8E44AD"/>
          <w:sz w:val="23"/>
          <w:szCs w:val="23"/>
        </w:rPr>
        <w:t xml:space="preserve">Objective 4: </w:t>
      </w:r>
      <w:r>
        <w:rPr>
          <w:rFonts w:ascii="Calibri" w:cs="Calibri" w:eastAsia="Calibri" w:hAnsi="Calibri"/>
          <w:color w:val="2C3E50"/>
          <w:sz w:val="23"/>
          <w:szCs w:val="23"/>
        </w:rPr>
        <w:t xml:space="preserve">To analyse the clinical relevance of classification outcomes in the context of comparative oncology, examining whether findings may inform non-UV-induced melanoma research in humans.</w:t>
      </w:r>
    </w:p>
    <w:p>
      <w:pPr>
        <w:spacing w:after="40" w:before="400"/>
      </w:pPr>
      <w:r>
        <w:rPr>
          <w:rFonts w:ascii="Calibri" w:cs="Calibri" w:eastAsia="Calibri" w:hAnsi="Calibri"/>
          <w:b/>
          <w:bCs/>
          <w:caps/>
          <w:color w:val="8E44AD"/>
          <w:sz w:val="20"/>
          <w:szCs w:val="20"/>
        </w:rPr>
        <w:t xml:space="preserve">Section B</w:t>
      </w:r>
    </w:p>
    <w:p>
      <w:pPr>
        <w:pBdr>
          <w:bottom w:val="single" w:color="8E44AD" w:sz="6"/>
        </w:pBdr>
        <w:spacing w:after="60"/>
      </w:pPr>
      <w:r>
        <w:rPr>
          <w:rFonts w:ascii="Calibri Light" w:cs="Calibri Light" w:eastAsia="Calibri Light" w:hAnsi="Calibri Light"/>
          <w:b/>
          <w:bCs/>
          <w:color w:val="2C3E50"/>
          <w:sz w:val="36"/>
          <w:szCs w:val="36"/>
        </w:rPr>
        <w:t xml:space="preserve">Background and Literature Review</w:t>
      </w:r>
    </w:p>
    <w:p>
      <w:pPr>
        <w:spacing w:after="150"/>
      </w:pPr>
    </w:p>
    <w:p>
      <w:pPr>
        <w:pBdr>
          <w:left w:val="single" w:color="2980B9" w:sz="8"/>
        </w:pBdr>
        <w:spacing w:after="140" w:before="320"/>
        <w:ind w:left="200"/>
      </w:pPr>
      <w:r>
        <w:rPr>
          <w:rFonts w:ascii="Calibri" w:cs="Calibri" w:eastAsia="Calibri" w:hAnsi="Calibri"/>
          <w:b/>
          <w:bCs/>
          <w:color w:val="8E44AD"/>
          <w:sz w:val="26"/>
          <w:szCs w:val="26"/>
        </w:rPr>
        <w:t xml:space="preserve">2.1 Malignant Melanoma: Clinical Context</w:t>
      </w:r>
    </w:p>
    <w:p>
      <w:pPr>
        <w:spacing w:after="180" w:before="0" w:line="360"/>
        <w:jc w:val="both"/>
      </w:pPr>
      <w:r>
        <w:rPr>
          <w:rFonts w:ascii="Calibri" w:cs="Calibri" w:eastAsia="Calibri" w:hAnsi="Calibri"/>
          <w:color w:val="2C3E50"/>
          <w:sz w:val="23"/>
          <w:szCs w:val="23"/>
        </w:rPr>
        <w:t xml:space="preserve">Malignant melanoma is a highly aggressive neoplasm arising from melanocytes, pigment-producing cells found across diverse anatomical regions. In humans, melanoma accounts for approximately 5% of all skin cancers, yet it is responsible for a disproportionate 75% of skin cancer-related mortality </w:t>
      </w:r>
      <w:r>
        <w:rPr>
          <w:rFonts w:ascii="Calibri" w:cs="Calibri" w:eastAsia="Calibri" w:hAnsi="Calibri"/>
          <w:color w:val="2C3E50"/>
          <w:sz w:val="23"/>
          <w:szCs w:val="23"/>
        </w:rPr>
      </w:r>
      <w:r>
        <w:rPr>
          <w:rFonts w:ascii="Calibri" w:cs="Calibri" w:eastAsia="Calibri" w:hAnsi="Calibri"/>
          <w:color w:val="2C3E50"/>
          <w:sz w:val="23"/>
          <w:szCs w:val="23"/>
        </w:rPr>
        <w:t xml:space="preserve">. The major subtypes include cutaneous melanoma (both UV-induced and non-UV-induced), acral melanoma, mucosal melanoma, and ocular melanoma. Each subtype demonstrates distinct epidemiological patterns, histopathological features, genetic profiles, and prognostic outcomes </w:t>
      </w:r>
      <w:r>
        <w:rPr>
          <w:rFonts w:ascii="Calibri" w:cs="Calibri" w:eastAsia="Calibri" w:hAnsi="Calibri"/>
          <w:color w:val="2C3E50"/>
          <w:sz w:val="23"/>
          <w:szCs w:val="23"/>
        </w:rPr>
      </w:r>
      <w:r>
        <w:rPr>
          <w:rFonts w:ascii="Calibri" w:cs="Calibri" w:eastAsia="Calibri" w:hAnsi="Calibri"/>
          <w:color w:val="2C3E50"/>
          <w:sz w:val="23"/>
          <w:szCs w:val="23"/>
        </w:rPr>
        <w:t xml:space="preserve">.</w:t>
      </w:r>
    </w:p>
    <w:p>
      <w:pPr>
        <w:spacing w:after="180" w:before="0" w:line="360"/>
        <w:jc w:val="both"/>
      </w:pPr>
      <w:r>
        <w:rPr>
          <w:rFonts w:ascii="Calibri" w:cs="Calibri" w:eastAsia="Calibri" w:hAnsi="Calibri"/>
          <w:color w:val="2C3E50"/>
          <w:sz w:val="23"/>
          <w:szCs w:val="23"/>
        </w:rPr>
        <w:t xml:space="preserve">Cutaneous melanoma predominates in fair-skinned populations and is strongly associated with ultraviolet (UV) radiation exposure. However, non-UV-induced melanomas — including mucosal and acral subtypes — present a distinct molecular landscape characterised by different driver mutations, notably in the </w:t>
      </w:r>
      <w:r>
        <w:rPr>
          <w:rFonts w:ascii="Calibri" w:cs="Calibri" w:eastAsia="Calibri" w:hAnsi="Calibri"/>
          <w:i/>
          <w:iCs/>
          <w:color w:val="2C3E50"/>
          <w:sz w:val="23"/>
          <w:szCs w:val="23"/>
        </w:rPr>
        <w:t xml:space="preserve">KIT</w:t>
      </w:r>
      <w:r>
        <w:rPr>
          <w:rFonts w:ascii="Calibri" w:cs="Calibri" w:eastAsia="Calibri" w:hAnsi="Calibri"/>
          <w:color w:val="2C3E50"/>
          <w:sz w:val="23"/>
          <w:szCs w:val="23"/>
        </w:rPr>
        <w:t xml:space="preserve"> and </w:t>
      </w:r>
      <w:r>
        <w:rPr>
          <w:rFonts w:ascii="Calibri" w:cs="Calibri" w:eastAsia="Calibri" w:hAnsi="Calibri"/>
          <w:i/>
          <w:iCs/>
          <w:color w:val="2C3E50"/>
          <w:sz w:val="23"/>
          <w:szCs w:val="23"/>
        </w:rPr>
        <w:t xml:space="preserve">NRAS</w:t>
      </w:r>
      <w:r>
        <w:rPr>
          <w:rFonts w:ascii="Calibri" w:cs="Calibri" w:eastAsia="Calibri" w:hAnsi="Calibri"/>
          <w:color w:val="2C3E50"/>
          <w:sz w:val="23"/>
          <w:szCs w:val="23"/>
        </w:rPr>
        <w:t xml:space="preserve"> oncogenes rather than the </w:t>
      </w:r>
      <w:r>
        <w:rPr>
          <w:rFonts w:ascii="Calibri" w:cs="Calibri" w:eastAsia="Calibri" w:hAnsi="Calibri"/>
          <w:i/>
          <w:iCs/>
          <w:color w:val="2C3E50"/>
          <w:sz w:val="23"/>
          <w:szCs w:val="23"/>
        </w:rPr>
        <w:t xml:space="preserve">BRAF</w:t>
      </w:r>
      <w:r>
        <w:rPr>
          <w:rFonts w:ascii="Calibri" w:cs="Calibri" w:eastAsia="Calibri" w:hAnsi="Calibri"/>
          <w:color w:val="2C3E50"/>
          <w:sz w:val="23"/>
          <w:szCs w:val="23"/>
        </w:rPr>
        <w:t xml:space="preserve"> mutations commonly observed in UV-associated melanomas </w:t>
      </w:r>
      <w:r>
        <w:rPr>
          <w:rFonts w:ascii="Calibri" w:cs="Calibri" w:eastAsia="Calibri" w:hAnsi="Calibri"/>
          <w:color w:val="2C3E50"/>
          <w:sz w:val="23"/>
          <w:szCs w:val="23"/>
        </w:rPr>
      </w:r>
      <w:r>
        <w:rPr>
          <w:rFonts w:ascii="Calibri" w:cs="Calibri" w:eastAsia="Calibri" w:hAnsi="Calibri"/>
          <w:color w:val="2C3E50"/>
          <w:sz w:val="23"/>
          <w:szCs w:val="23"/>
        </w:rPr>
        <w:t xml:space="preserve">. Understanding these non-UV pathways is paramount for developing targeted therapeutic strategies.</w:t>
      </w:r>
    </w:p>
    <w:p>
      <w:pPr>
        <w:pBdr>
          <w:left w:val="single" w:color="2980B9" w:sz="8"/>
        </w:pBdr>
        <w:spacing w:after="140" w:before="320"/>
        <w:ind w:left="200"/>
      </w:pPr>
      <w:r>
        <w:rPr>
          <w:rFonts w:ascii="Calibri" w:cs="Calibri" w:eastAsia="Calibri" w:hAnsi="Calibri"/>
          <w:b/>
          <w:bCs/>
          <w:color w:val="8E44AD"/>
          <w:sz w:val="26"/>
          <w:szCs w:val="26"/>
        </w:rPr>
        <w:t xml:space="preserve">2.2 Canine Melanoma as a Comparative Oncology Model</w:t>
      </w:r>
    </w:p>
    <w:p>
      <w:pPr>
        <w:spacing w:after="180" w:before="0" w:line="360"/>
        <w:jc w:val="both"/>
      </w:pPr>
      <w:r>
        <w:rPr>
          <w:rFonts w:ascii="Calibri" w:cs="Calibri" w:eastAsia="Calibri" w:hAnsi="Calibri"/>
          <w:color w:val="2C3E50"/>
          <w:sz w:val="23"/>
          <w:szCs w:val="23"/>
        </w:rPr>
        <w:t xml:space="preserve">Canine malignant melanomas share substantial histological and molecular similarities with their human counterparts, particularly the non-UV-induced variants </w:t>
      </w:r>
      <w:r>
        <w:rPr>
          <w:rFonts w:ascii="Calibri" w:cs="Calibri" w:eastAsia="Calibri" w:hAnsi="Calibri"/>
          <w:color w:val="2C3E50"/>
          <w:sz w:val="23"/>
          <w:szCs w:val="23"/>
        </w:rPr>
      </w:r>
      <w:r>
        <w:rPr>
          <w:rFonts w:ascii="Calibri" w:cs="Calibri" w:eastAsia="Calibri" w:hAnsi="Calibri"/>
          <w:color w:val="2C3E50"/>
          <w:sz w:val="23"/>
          <w:szCs w:val="23"/>
        </w:rPr>
        <w:t xml:space="preserve">. Oral melanoma, the most prevalent form in dogs, occurs naturally without UV radiation involvement, offering a valuable translational model for investigating non-UV melanoma biology. Certain breeds — including Scottish Terriers, Golden Retrievers, Poodles, and Cocker Spaniels — exhibit a heightened genetic predisposition, suggesting heritable risk factors that may parallel human familial melanoma susceptibility </w:t>
      </w:r>
      <w:r>
        <w:rPr>
          <w:rFonts w:ascii="Calibri" w:cs="Calibri" w:eastAsia="Calibri" w:hAnsi="Calibri"/>
          <w:color w:val="2C3E50"/>
          <w:sz w:val="23"/>
          <w:szCs w:val="23"/>
        </w:rPr>
      </w:r>
      <w:r>
        <w:rPr>
          <w:rFonts w:ascii="Calibri" w:cs="Calibri" w:eastAsia="Calibri" w:hAnsi="Calibri"/>
          <w:color w:val="2C3E50"/>
          <w:sz w:val="23"/>
          <w:szCs w:val="23"/>
        </w:rPr>
        <w:t xml:space="preserve">.</w:t>
      </w:r>
    </w:p>
    <w:p>
      <w:pPr>
        <w:spacing w:after="180" w:before="0" w:line="360"/>
        <w:jc w:val="both"/>
      </w:pPr>
      <w:r>
        <w:rPr>
          <w:rFonts w:ascii="Calibri" w:cs="Calibri" w:eastAsia="Calibri" w:hAnsi="Calibri"/>
          <w:color w:val="2C3E50"/>
          <w:sz w:val="23"/>
          <w:szCs w:val="23"/>
        </w:rPr>
        <w:t xml:space="preserve">The comparative oncology framework posits that studying spontaneously occurring cancers in companion animals can yield insights directly transferable to human medicine. Canine tumours progress through similar stages, share equivalent histological grades, and respond to analogous treatment modalities, making them an ethically advantageous and scientifically rigorous model for preclinical investigation </w:t>
      </w:r>
      <w:r>
        <w:rPr>
          <w:rFonts w:ascii="Calibri" w:cs="Calibri" w:eastAsia="Calibri" w:hAnsi="Calibri"/>
          <w:color w:val="2C3E50"/>
          <w:sz w:val="23"/>
          <w:szCs w:val="23"/>
        </w:rPr>
      </w:r>
      <w:r>
        <w:rPr>
          <w:rFonts w:ascii="Calibri" w:cs="Calibri" w:eastAsia="Calibri" w:hAnsi="Calibri"/>
          <w:color w:val="2C3E50"/>
          <w:sz w:val="23"/>
          <w:szCs w:val="23"/>
        </w:rPr>
        <w:t xml:space="preserve">.</w:t>
      </w:r>
    </w:p>
    <w:p>
      <w:pPr>
        <w:pBdr>
          <w:left w:val="single" w:color="2980B9" w:sz="8"/>
        </w:pBdr>
        <w:spacing w:after="140" w:before="320"/>
        <w:ind w:left="200"/>
      </w:pPr>
      <w:r>
        <w:rPr>
          <w:rFonts w:ascii="Calibri" w:cs="Calibri" w:eastAsia="Calibri" w:hAnsi="Calibri"/>
          <w:b/>
          <w:bCs/>
          <w:color w:val="8E44AD"/>
          <w:sz w:val="26"/>
          <w:szCs w:val="26"/>
        </w:rPr>
        <w:t xml:space="preserve">2.3 The CATCH Dataset</w:t>
      </w:r>
    </w:p>
    <w:p>
      <w:pPr>
        <w:spacing w:after="180" w:before="0" w:line="360"/>
        <w:jc w:val="both"/>
      </w:pPr>
      <w:r>
        <w:rPr>
          <w:rFonts w:ascii="Calibri" w:cs="Calibri" w:eastAsia="Calibri" w:hAnsi="Calibri"/>
          <w:color w:val="2C3E50"/>
          <w:sz w:val="23"/>
          <w:szCs w:val="23"/>
        </w:rPr>
        <w:t xml:space="preserve">The CAnine CuTaneous Cancer Histology (CATCH) dataset, curated by Fragoso-Garcia et al. </w:t>
      </w:r>
      <w:r>
        <w:rPr>
          <w:rFonts w:ascii="Calibri" w:cs="Calibri" w:eastAsia="Calibri" w:hAnsi="Calibri"/>
          <w:color w:val="2C3E50"/>
          <w:sz w:val="23"/>
          <w:szCs w:val="23"/>
        </w:rPr>
      </w:r>
      <w:r>
        <w:rPr>
          <w:rFonts w:ascii="Calibri" w:cs="Calibri" w:eastAsia="Calibri" w:hAnsi="Calibri"/>
          <w:color w:val="2C3E50"/>
          <w:sz w:val="23"/>
          <w:szCs w:val="23"/>
        </w:rPr>
        <w:t xml:space="preserve">, comprises 750 whole-slide images of canine cutaneous tumours, representing a diverse array of histological subtypes. The dataset was developed to facilitate computational pathology research and includes expert-annotated tumour region delineations. Available through The Cancer Imaging Archive </w:t>
      </w:r>
      <w:r>
        <w:rPr>
          <w:rFonts w:ascii="Calibri" w:cs="Calibri" w:eastAsia="Calibri" w:hAnsi="Calibri"/>
          <w:color w:val="2C3E50"/>
          <w:sz w:val="23"/>
          <w:szCs w:val="23"/>
        </w:rPr>
      </w:r>
      <w:r>
        <w:rPr>
          <w:rFonts w:ascii="Calibri" w:cs="Calibri" w:eastAsia="Calibri" w:hAnsi="Calibri"/>
          <w:color w:val="2C3E50"/>
          <w:sz w:val="23"/>
          <w:szCs w:val="23"/>
        </w:rPr>
        <w:t xml:space="preserve">, the CATCH dataset provides a standardised benchmark for the development and validation of segmentation and classification algorithms.</w:t>
      </w:r>
    </w:p>
    <w:p>
      <w:pPr>
        <w:spacing w:after="180" w:before="0" w:line="360"/>
        <w:jc w:val="both"/>
      </w:pPr>
      <w:r>
        <w:rPr>
          <w:rFonts w:ascii="Calibri" w:cs="Calibri" w:eastAsia="Calibri" w:hAnsi="Calibri"/>
          <w:b w:val="false"/>
          <w:bCs w:val="false"/>
          <w:i w:val="false"/>
          <w:iCs w:val="false"/>
          <w:color w:val="2C3E50"/>
          <w:sz w:val="23"/>
          <w:szCs w:val="23"/>
        </w:rPr>
        <w:t xml:space="preserve">Each sample within the dataset has been meticulously reviewed by board-certified veterinary pathologists, ensuring diagnostic accuracy. The diversity of tumour subtypes represented — including melanocytic tumours, mast cell tumours, squamous cell carcinomas, and others — offers a challenging multi-class classification problem that mirrors the complexity encountered in clinical diagnostic workflows.</w:t>
      </w:r>
    </w:p>
    <w:p>
      <w:pPr>
        <w:pBdr>
          <w:left w:val="single" w:color="2980B9" w:sz="8"/>
        </w:pBdr>
        <w:spacing w:after="140" w:before="320"/>
        <w:ind w:left="200"/>
      </w:pPr>
      <w:r>
        <w:rPr>
          <w:rFonts w:ascii="Calibri" w:cs="Calibri" w:eastAsia="Calibri" w:hAnsi="Calibri"/>
          <w:b/>
          <w:bCs/>
          <w:color w:val="8E44AD"/>
          <w:sz w:val="26"/>
          <w:szCs w:val="26"/>
        </w:rPr>
        <w:t xml:space="preserve">2.4 Deep Learning in Histopathology Image Analysis</w:t>
      </w:r>
    </w:p>
    <w:p>
      <w:pPr>
        <w:spacing w:after="180" w:before="0" w:line="360"/>
        <w:jc w:val="both"/>
      </w:pPr>
      <w:r>
        <w:rPr>
          <w:rFonts w:ascii="Calibri" w:cs="Calibri" w:eastAsia="Calibri" w:hAnsi="Calibri"/>
          <w:color w:val="2C3E50"/>
          <w:sz w:val="23"/>
          <w:szCs w:val="23"/>
        </w:rPr>
        <w:t xml:space="preserve">The application of deep learning to histopathological image analysis has demonstrated transformative potential across multiple cancer types. Esteva et al. </w:t>
      </w:r>
      <w:r>
        <w:rPr>
          <w:rFonts w:ascii="Calibri" w:cs="Calibri" w:eastAsia="Calibri" w:hAnsi="Calibri"/>
          <w:color w:val="2C3E50"/>
          <w:sz w:val="23"/>
          <w:szCs w:val="23"/>
        </w:rPr>
      </w:r>
      <w:r>
        <w:rPr>
          <w:rFonts w:ascii="Calibri" w:cs="Calibri" w:eastAsia="Calibri" w:hAnsi="Calibri"/>
          <w:color w:val="2C3E50"/>
          <w:sz w:val="23"/>
          <w:szCs w:val="23"/>
        </w:rPr>
        <w:t xml:space="preserve"> trained a GoogleNet Inception v3 CNN on 129,450 clinical images spanning 2,032 disease categories and demonstrated classification performance on par with 21 board-certified dermatologists, achieving an AUC of 0.96 for melanoma identification. Architectures such as ResNet </w:t>
      </w:r>
      <w:r>
        <w:rPr>
          <w:rFonts w:ascii="Calibri" w:cs="Calibri" w:eastAsia="Calibri" w:hAnsi="Calibri"/>
          <w:color w:val="2C3E50"/>
          <w:sz w:val="23"/>
          <w:szCs w:val="23"/>
        </w:rPr>
      </w:r>
      <w:r>
        <w:rPr>
          <w:rFonts w:ascii="Calibri" w:cs="Calibri" w:eastAsia="Calibri" w:hAnsi="Calibri"/>
          <w:color w:val="2C3E50"/>
          <w:sz w:val="23"/>
          <w:szCs w:val="23"/>
        </w:rPr>
        <w:t xml:space="preserve">, which introduced residual connections to enable training of networks exceeding 150 layers, VGG </w:t>
      </w:r>
      <w:r>
        <w:rPr>
          <w:rFonts w:ascii="Calibri" w:cs="Calibri" w:eastAsia="Calibri" w:hAnsi="Calibri"/>
          <w:color w:val="2C3E50"/>
          <w:sz w:val="23"/>
          <w:szCs w:val="23"/>
        </w:rPr>
      </w:r>
      <w:r>
        <w:rPr>
          <w:rFonts w:ascii="Calibri" w:cs="Calibri" w:eastAsia="Calibri" w:hAnsi="Calibri"/>
          <w:color w:val="2C3E50"/>
          <w:sz w:val="23"/>
          <w:szCs w:val="23"/>
        </w:rPr>
        <w:t xml:space="preserve">, and EfficientNet </w:t>
      </w:r>
      <w:r>
        <w:rPr>
          <w:rFonts w:ascii="Calibri" w:cs="Calibri" w:eastAsia="Calibri" w:hAnsi="Calibri"/>
          <w:color w:val="2C3E50"/>
          <w:sz w:val="23"/>
          <w:szCs w:val="23"/>
        </w:rPr>
      </w:r>
      <w:r>
        <w:rPr>
          <w:rFonts w:ascii="Calibri" w:cs="Calibri" w:eastAsia="Calibri" w:hAnsi="Calibri"/>
          <w:color w:val="2C3E50"/>
          <w:sz w:val="23"/>
          <w:szCs w:val="23"/>
        </w:rPr>
        <w:t xml:space="preserve">, which achieves state-of-the-art accuracy with fewer parameters through compound scaling, have been extensively employed for classification tasks, leveraging transfer learning from ImageNet to overcome the limited sample sizes common in medical imaging.</w:t>
      </w:r>
    </w:p>
    <w:p>
      <w:pPr>
        <w:spacing w:after="180" w:before="0" w:line="360"/>
        <w:jc w:val="both"/>
      </w:pPr>
      <w:r>
        <w:rPr>
          <w:rFonts w:ascii="Calibri" w:cs="Calibri" w:eastAsia="Calibri" w:hAnsi="Calibri"/>
          <w:color w:val="2C3E50"/>
          <w:sz w:val="23"/>
          <w:szCs w:val="23"/>
        </w:rPr>
        <w:t xml:space="preserve">For semantic segmentation — the pixel-level delineation of tumour regions — the U-Net architecture, originally proposed by Ronneberger et al. </w:t>
      </w:r>
      <w:r>
        <w:rPr>
          <w:rFonts w:ascii="Calibri" w:cs="Calibri" w:eastAsia="Calibri" w:hAnsi="Calibri"/>
          <w:color w:val="2C3E50"/>
          <w:sz w:val="23"/>
          <w:szCs w:val="23"/>
        </w:rPr>
      </w:r>
      <w:r>
        <w:rPr>
          <w:rFonts w:ascii="Calibri" w:cs="Calibri" w:eastAsia="Calibri" w:hAnsi="Calibri"/>
          <w:color w:val="2C3E50"/>
          <w:sz w:val="23"/>
          <w:szCs w:val="23"/>
        </w:rPr>
        <w:t xml:space="preserve"> for neuronal structure segmentation in electron microscopy, achieved a Dice coefficient of 0.9203 on the ISBI cell tracking challenge using only 30 training images, demonstrating exceptional performance in data-limited biomedical contexts. Its encoder-decoder structure with skip connections enables precise localisation while maintaining contextual understanding. Variants such as Attention U-Net </w:t>
      </w:r>
      <w:r>
        <w:rPr>
          <w:rFonts w:ascii="Calibri" w:cs="Calibri" w:eastAsia="Calibri" w:hAnsi="Calibri"/>
          <w:color w:val="2C3E50"/>
          <w:sz w:val="23"/>
          <w:szCs w:val="23"/>
        </w:rPr>
      </w:r>
      <w:r>
        <w:rPr>
          <w:rFonts w:ascii="Calibri" w:cs="Calibri" w:eastAsia="Calibri" w:hAnsi="Calibri"/>
          <w:color w:val="2C3E50"/>
          <w:sz w:val="23"/>
          <w:szCs w:val="23"/>
        </w:rPr>
        <w:t xml:space="preserve">, which introduced soft-attention gating to suppress irrelevant background regions, improved pancreas segmentation Dice scores by 3.6% over the baseline U-Net, demonstrating the value of attention mechanisms in heterogeneous tissue environments.</w:t>
      </w:r>
    </w:p>
    <w:p>
      <w:pPr>
        <w:spacing w:after="180" w:before="0" w:line="360"/>
        <w:jc w:val="both"/>
      </w:pPr>
      <w:r>
        <w:rPr>
          <w:rFonts w:ascii="Calibri" w:cs="Calibri" w:eastAsia="Calibri" w:hAnsi="Calibri"/>
          <w:color w:val="2C3E50"/>
          <w:sz w:val="23"/>
          <w:szCs w:val="23"/>
        </w:rPr>
        <w:t xml:space="preserve">Recent studies have applied these architectures specifically to dermatopathology, with promising results. Hekler et al. </w:t>
      </w:r>
      <w:r>
        <w:rPr>
          <w:rFonts w:ascii="Calibri" w:cs="Calibri" w:eastAsia="Calibri" w:hAnsi="Calibri"/>
          <w:color w:val="2C3E50"/>
          <w:sz w:val="23"/>
          <w:szCs w:val="23"/>
        </w:rPr>
      </w:r>
      <w:r>
        <w:rPr>
          <w:rFonts w:ascii="Calibri" w:cs="Calibri" w:eastAsia="Calibri" w:hAnsi="Calibri"/>
          <w:color w:val="2C3E50"/>
          <w:sz w:val="23"/>
          <w:szCs w:val="23"/>
        </w:rPr>
        <w:t xml:space="preserve"> trained a ResNet-based CNN on 695 histopathological images of melanoma and nevi, achieving a classification accuracy of 93.1%, thereby demonstrating performance equivalent to that of eleven board-certified pathologists. Similarly, Brinker et al. </w:t>
      </w:r>
      <w:r>
        <w:rPr>
          <w:rFonts w:ascii="Calibri" w:cs="Calibri" w:eastAsia="Calibri" w:hAnsi="Calibri"/>
          <w:color w:val="2C3E50"/>
          <w:sz w:val="23"/>
          <w:szCs w:val="23"/>
        </w:rPr>
      </w:r>
      <w:r>
        <w:rPr>
          <w:rFonts w:ascii="Calibri" w:cs="Calibri" w:eastAsia="Calibri" w:hAnsi="Calibri"/>
          <w:color w:val="2C3E50"/>
          <w:sz w:val="23"/>
          <w:szCs w:val="23"/>
        </w:rPr>
        <w:t xml:space="preserve"> employed a Google Inception v4 architecture trained on 12,378 dermoscopic images and reported that their model outperformed 136 of 157 dermatologists in binary melanoma classification, achieving a sensitivity of 95%. In the veterinary domain, Aubreville et al. </w:t>
      </w:r>
      <w:r>
        <w:rPr>
          <w:rFonts w:ascii="Calibri" w:cs="Calibri" w:eastAsia="Calibri" w:hAnsi="Calibri"/>
          <w:color w:val="2C3E50"/>
          <w:sz w:val="23"/>
          <w:szCs w:val="23"/>
        </w:rPr>
      </w:r>
      <w:r>
        <w:rPr>
          <w:rFonts w:ascii="Calibri" w:cs="Calibri" w:eastAsia="Calibri" w:hAnsi="Calibri"/>
          <w:color w:val="2C3E50"/>
          <w:sz w:val="23"/>
          <w:szCs w:val="23"/>
        </w:rPr>
        <w:t xml:space="preserve"> applied deep learning to canine mast cell tumour grading using histopathology images, achieving classification accuracy above 88% using a combination of patch-level CNNs and slide-level aggregation. However, relatively few studies have applied such methods specifically to canine melanoma classification, representing a notable research gap that this project intends to address.</w:t>
      </w:r>
    </w:p>
    <w:p>
      <w:pPr>
        <w:pBdr>
          <w:left w:val="single" w:color="2980B9" w:sz="8"/>
        </w:pBdr>
        <w:spacing w:after="140" w:before="320"/>
        <w:ind w:left="200"/>
      </w:pPr>
      <w:r>
        <w:rPr>
          <w:rFonts w:ascii="Calibri" w:cs="Calibri" w:eastAsia="Calibri" w:hAnsi="Calibri"/>
          <w:b/>
          <w:bCs/>
          <w:color w:val="8E44AD"/>
          <w:sz w:val="26"/>
          <w:szCs w:val="26"/>
        </w:rPr>
        <w:t xml:space="preserve">2.5 Addressing the Research Gap</w:t>
      </w:r>
    </w:p>
    <w:p>
      <w:pPr>
        <w:spacing w:after="180" w:before="0" w:line="360"/>
        <w:jc w:val="both"/>
      </w:pPr>
      <w:r>
        <w:rPr>
          <w:rFonts w:ascii="Calibri" w:cs="Calibri" w:eastAsia="Calibri" w:hAnsi="Calibri"/>
          <w:b w:val="false"/>
          <w:bCs w:val="false"/>
          <w:i w:val="false"/>
          <w:iCs w:val="false"/>
          <w:color w:val="2C3E50"/>
          <w:sz w:val="23"/>
          <w:szCs w:val="23"/>
        </w:rPr>
        <w:t xml:space="preserve">Despite the established parallels between canine and human melanomas, computational approaches to canine cutaneous tumour classification remain markedly underexplored. The availability of the CATCH dataset presents a timely opportunity to apply state-of-the-art deep learning methods to this domain. By developing accurate segmentation and classification models for canine cutaneous tumours, this research may contribute to both veterinary diagnostic practice and the broader comparative oncology agenda, potentially illuminating pathways relevant to non-UV melanoma in humans.</w:t>
      </w:r>
    </w:p>
    <w:p>
      <w:pPr>
        <w:spacing w:after="100"/>
      </w:pPr>
    </w:p>
    <w:p>
      <w:pPr>
        <w:spacing w:after="150"/>
        <w:jc w:val="center"/>
      </w:pPr>
      <w:r>
        <w:rPr>
          <w:rFonts w:ascii="Calibri" w:cs="Calibri" w:eastAsia="Calibri" w:hAnsi="Calibri"/>
          <w:b/>
          <w:bCs/>
          <w:color w:val="2C3E50"/>
          <w:sz w:val="22"/>
          <w:szCs w:val="22"/>
        </w:rPr>
        <w:t xml:space="preserve">Figure 1: Distribution of Research Focus Areas</w:t>
      </w:r>
    </w:p>
    <w:tbl>
      <w:tblPr>
        <w:tblW w:type="pct" w:w="70%"/>
        <w:jc w:val="center"/>
        <w:tblBorders>
          <w:top w:val="none"/>
          <w:left w:val="none"/>
          <w:bottom w:val="none"/>
          <w:right w:val="none"/>
          <w:insideH w:val="single" w:color="E8E8E8" w:sz="1"/>
          <w:insideV w:val="none"/>
        </w:tblBorders>
      </w:tblPr>
      <w:tblGrid>
        <w:gridCol w:w="100"/>
        <w:gridCol w:w="100"/>
        <w:gridCol w:w="100"/>
        <w:gridCol w:w="100"/>
      </w:tblGrid>
      <w:tr>
        <w:tc>
          <w:tcPr>
            <w:tcW w:type="pct" w:w="5%"/>
            <w:vAlign w:val="center"/>
          </w:tcPr>
          <w:p>
            <w:pPr>
              <w:spacing w:after="40" w:before="40"/>
              <w:jc w:val="center"/>
            </w:pPr>
            <w:r>
              <w:rPr>
                <w:rFonts w:ascii="Calibri" w:cs="Calibri" w:eastAsia="Calibri" w:hAnsi="Calibri"/>
                <w:b/>
                <w:bCs/>
                <w:i w:val="false"/>
                <w:iCs w:val="false"/>
                <w:color w:val="8E44AD"/>
                <w:sz w:val="28"/>
                <w:szCs w:val="28"/>
              </w:rPr>
              <w:t xml:space="preserve">■</w:t>
            </w:r>
          </w:p>
        </w:tc>
        <w:tc>
          <w:tcPr>
            <w:tcW w:type="pct" w:w="50%"/>
            <w:vAlign w:val="center"/>
          </w:tcPr>
          <w:p>
            <w:pPr>
              <w:spacing w:after="40" w:before="40"/>
              <w:jc w:val="left"/>
            </w:pPr>
            <w:r>
              <w:rPr>
                <w:rFonts w:ascii="Calibri" w:cs="Calibri" w:eastAsia="Calibri" w:hAnsi="Calibri"/>
                <w:b/>
                <w:bCs/>
                <w:i w:val="false"/>
                <w:iCs w:val="false"/>
                <w:color w:val="2C3E50"/>
                <w:sz w:val="21"/>
                <w:szCs w:val="21"/>
              </w:rPr>
              <w:t xml:space="preserve">Segmentation</w:t>
            </w:r>
          </w:p>
        </w:tc>
        <w:tc>
          <w:tcPr>
            <w:tcW w:type="pct" w:w="30%"/>
            <w:shd w:color="8E44AD" w:val="solid"/>
            <w:vAlign w:val="center"/>
          </w:tcPr>
          <w:p>
            <w:pPr>
              <w:spacing w:after="40" w:before="40"/>
              <w:jc w:val="left"/>
            </w:pPr>
            <w:r>
              <w:rPr>
                <w:rFonts w:ascii="Calibri" w:cs="Calibri" w:eastAsia="Calibri" w:hAnsi="Calibri"/>
                <w:b w:val="false"/>
                <w:bCs w:val="false"/>
                <w:i w:val="false"/>
                <w:iCs w:val="false"/>
                <w:color w:val="2C3E50"/>
                <w:sz w:val="20"/>
                <w:szCs w:val="20"/>
              </w:rPr>
              <w:t xml:space="preserve"/>
            </w:r>
          </w:p>
        </w:tc>
        <w:tc>
          <w:tcPr>
            <w:tcW w:type="pct" w:w="15%"/>
            <w:vAlign w:val="center"/>
          </w:tcPr>
          <w:p>
            <w:pPr>
              <w:spacing w:after="40" w:before="40"/>
              <w:jc w:val="center"/>
            </w:pPr>
            <w:r>
              <w:rPr>
                <w:rFonts w:ascii="Calibri" w:cs="Calibri" w:eastAsia="Calibri" w:hAnsi="Calibri"/>
                <w:b/>
                <w:bCs/>
                <w:i w:val="false"/>
                <w:iCs w:val="false"/>
                <w:color w:val="8E44AD"/>
                <w:sz w:val="21"/>
                <w:szCs w:val="21"/>
              </w:rPr>
              <w:t xml:space="preserve">30%</w:t>
            </w:r>
          </w:p>
        </w:tc>
      </w:tr>
      <w:tr>
        <w:tc>
          <w:tcPr>
            <w:tcW w:type="pct" w:w="5%"/>
            <w:vAlign w:val="center"/>
          </w:tcPr>
          <w:p>
            <w:pPr>
              <w:spacing w:after="40" w:before="40"/>
              <w:jc w:val="center"/>
            </w:pPr>
            <w:r>
              <w:rPr>
                <w:rFonts w:ascii="Calibri" w:cs="Calibri" w:eastAsia="Calibri" w:hAnsi="Calibri"/>
                <w:b/>
                <w:bCs/>
                <w:i w:val="false"/>
                <w:iCs w:val="false"/>
                <w:color w:val="2980B9"/>
                <w:sz w:val="28"/>
                <w:szCs w:val="28"/>
              </w:rPr>
              <w:t xml:space="preserve">■</w:t>
            </w:r>
          </w:p>
        </w:tc>
        <w:tc>
          <w:tcPr>
            <w:tcW w:type="pct" w:w="50%"/>
            <w:vAlign w:val="center"/>
          </w:tcPr>
          <w:p>
            <w:pPr>
              <w:spacing w:after="40" w:before="40"/>
              <w:jc w:val="left"/>
            </w:pPr>
            <w:r>
              <w:rPr>
                <w:rFonts w:ascii="Calibri" w:cs="Calibri" w:eastAsia="Calibri" w:hAnsi="Calibri"/>
                <w:b/>
                <w:bCs/>
                <w:i w:val="false"/>
                <w:iCs w:val="false"/>
                <w:color w:val="2C3E50"/>
                <w:sz w:val="21"/>
                <w:szCs w:val="21"/>
              </w:rPr>
              <w:t xml:space="preserve">Classification</w:t>
            </w:r>
          </w:p>
        </w:tc>
        <w:tc>
          <w:tcPr>
            <w:tcW w:type="pct" w:w="30%"/>
            <w:shd w:color="2980B9" w:val="solid"/>
            <w:vAlign w:val="center"/>
          </w:tcPr>
          <w:p>
            <w:pPr>
              <w:spacing w:after="40" w:before="40"/>
              <w:jc w:val="left"/>
            </w:pPr>
            <w:r>
              <w:rPr>
                <w:rFonts w:ascii="Calibri" w:cs="Calibri" w:eastAsia="Calibri" w:hAnsi="Calibri"/>
                <w:b w:val="false"/>
                <w:bCs w:val="false"/>
                <w:i w:val="false"/>
                <w:iCs w:val="false"/>
                <w:color w:val="2C3E50"/>
                <w:sz w:val="20"/>
                <w:szCs w:val="20"/>
              </w:rPr>
              <w:t xml:space="preserve"/>
            </w:r>
          </w:p>
        </w:tc>
        <w:tc>
          <w:tcPr>
            <w:tcW w:type="pct" w:w="15%"/>
            <w:vAlign w:val="center"/>
          </w:tcPr>
          <w:p>
            <w:pPr>
              <w:spacing w:after="40" w:before="40"/>
              <w:jc w:val="center"/>
            </w:pPr>
            <w:r>
              <w:rPr>
                <w:rFonts w:ascii="Calibri" w:cs="Calibri" w:eastAsia="Calibri" w:hAnsi="Calibri"/>
                <w:b/>
                <w:bCs/>
                <w:i w:val="false"/>
                <w:iCs w:val="false"/>
                <w:color w:val="2980B9"/>
                <w:sz w:val="21"/>
                <w:szCs w:val="21"/>
              </w:rPr>
              <w:t xml:space="preserve">30%</w:t>
            </w:r>
          </w:p>
        </w:tc>
      </w:tr>
      <w:tr>
        <w:tc>
          <w:tcPr>
            <w:tcW w:type="pct" w:w="5%"/>
            <w:vAlign w:val="center"/>
          </w:tcPr>
          <w:p>
            <w:pPr>
              <w:spacing w:after="40" w:before="40"/>
              <w:jc w:val="center"/>
            </w:pPr>
            <w:r>
              <w:rPr>
                <w:rFonts w:ascii="Calibri" w:cs="Calibri" w:eastAsia="Calibri" w:hAnsi="Calibri"/>
                <w:b/>
                <w:bCs/>
                <w:i w:val="false"/>
                <w:iCs w:val="false"/>
                <w:color w:val="27AE60"/>
                <w:sz w:val="28"/>
                <w:szCs w:val="28"/>
              </w:rPr>
              <w:t xml:space="preserve">■</w:t>
            </w:r>
          </w:p>
        </w:tc>
        <w:tc>
          <w:tcPr>
            <w:tcW w:type="pct" w:w="50%"/>
            <w:vAlign w:val="center"/>
          </w:tcPr>
          <w:p>
            <w:pPr>
              <w:spacing w:after="40" w:before="40"/>
              <w:jc w:val="left"/>
            </w:pPr>
            <w:r>
              <w:rPr>
                <w:rFonts w:ascii="Calibri" w:cs="Calibri" w:eastAsia="Calibri" w:hAnsi="Calibri"/>
                <w:b/>
                <w:bCs/>
                <w:i w:val="false"/>
                <w:iCs w:val="false"/>
                <w:color w:val="2C3E50"/>
                <w:sz w:val="21"/>
                <w:szCs w:val="21"/>
              </w:rPr>
              <w:t xml:space="preserve">Evaluation &amp; Analysis</w:t>
            </w:r>
          </w:p>
        </w:tc>
        <w:tc>
          <w:tcPr>
            <w:tcW w:type="pct" w:w="20%"/>
            <w:shd w:color="27AE60" w:val="solid"/>
            <w:vAlign w:val="center"/>
          </w:tcPr>
          <w:p>
            <w:pPr>
              <w:spacing w:after="40" w:before="40"/>
              <w:jc w:val="left"/>
            </w:pPr>
            <w:r>
              <w:rPr>
                <w:rFonts w:ascii="Calibri" w:cs="Calibri" w:eastAsia="Calibri" w:hAnsi="Calibri"/>
                <w:b w:val="false"/>
                <w:bCs w:val="false"/>
                <w:i w:val="false"/>
                <w:iCs w:val="false"/>
                <w:color w:val="2C3E50"/>
                <w:sz w:val="20"/>
                <w:szCs w:val="20"/>
              </w:rPr>
              <w:t xml:space="preserve"/>
            </w:r>
          </w:p>
        </w:tc>
        <w:tc>
          <w:tcPr>
            <w:tcW w:type="pct" w:w="15%"/>
            <w:vAlign w:val="center"/>
          </w:tcPr>
          <w:p>
            <w:pPr>
              <w:spacing w:after="40" w:before="40"/>
              <w:jc w:val="center"/>
            </w:pPr>
            <w:r>
              <w:rPr>
                <w:rFonts w:ascii="Calibri" w:cs="Calibri" w:eastAsia="Calibri" w:hAnsi="Calibri"/>
                <w:b/>
                <w:bCs/>
                <w:i w:val="false"/>
                <w:iCs w:val="false"/>
                <w:color w:val="27AE60"/>
                <w:sz w:val="21"/>
                <w:szCs w:val="21"/>
              </w:rPr>
              <w:t xml:space="preserve">20%</w:t>
            </w:r>
          </w:p>
        </w:tc>
      </w:tr>
      <w:tr>
        <w:tc>
          <w:tcPr>
            <w:tcW w:type="pct" w:w="5%"/>
            <w:vAlign w:val="center"/>
          </w:tcPr>
          <w:p>
            <w:pPr>
              <w:spacing w:after="40" w:before="40"/>
              <w:jc w:val="center"/>
            </w:pPr>
            <w:r>
              <w:rPr>
                <w:rFonts w:ascii="Calibri" w:cs="Calibri" w:eastAsia="Calibri" w:hAnsi="Calibri"/>
                <w:b/>
                <w:bCs/>
                <w:i w:val="false"/>
                <w:iCs w:val="false"/>
                <w:color w:val="E74C3C"/>
                <w:sz w:val="28"/>
                <w:szCs w:val="28"/>
              </w:rPr>
              <w:t xml:space="preserve">■</w:t>
            </w:r>
          </w:p>
        </w:tc>
        <w:tc>
          <w:tcPr>
            <w:tcW w:type="pct" w:w="50%"/>
            <w:vAlign w:val="center"/>
          </w:tcPr>
          <w:p>
            <w:pPr>
              <w:spacing w:after="40" w:before="40"/>
              <w:jc w:val="left"/>
            </w:pPr>
            <w:r>
              <w:rPr>
                <w:rFonts w:ascii="Calibri" w:cs="Calibri" w:eastAsia="Calibri" w:hAnsi="Calibri"/>
                <w:b/>
                <w:bCs/>
                <w:i w:val="false"/>
                <w:iCs w:val="false"/>
                <w:color w:val="2C3E50"/>
                <w:sz w:val="21"/>
                <w:szCs w:val="21"/>
              </w:rPr>
              <w:t xml:space="preserve">Literature Review</w:t>
            </w:r>
          </w:p>
        </w:tc>
        <w:tc>
          <w:tcPr>
            <w:tcW w:type="pct" w:w="12%"/>
            <w:shd w:color="E74C3C" w:val="solid"/>
            <w:vAlign w:val="center"/>
          </w:tcPr>
          <w:p>
            <w:pPr>
              <w:spacing w:after="40" w:before="40"/>
              <w:jc w:val="left"/>
            </w:pPr>
            <w:r>
              <w:rPr>
                <w:rFonts w:ascii="Calibri" w:cs="Calibri" w:eastAsia="Calibri" w:hAnsi="Calibri"/>
                <w:b w:val="false"/>
                <w:bCs w:val="false"/>
                <w:i w:val="false"/>
                <w:iCs w:val="false"/>
                <w:color w:val="2C3E50"/>
                <w:sz w:val="20"/>
                <w:szCs w:val="20"/>
              </w:rPr>
              <w:t xml:space="preserve"/>
            </w:r>
          </w:p>
        </w:tc>
        <w:tc>
          <w:tcPr>
            <w:tcW w:type="pct" w:w="15%"/>
            <w:vAlign w:val="center"/>
          </w:tcPr>
          <w:p>
            <w:pPr>
              <w:spacing w:after="40" w:before="40"/>
              <w:jc w:val="center"/>
            </w:pPr>
            <w:r>
              <w:rPr>
                <w:rFonts w:ascii="Calibri" w:cs="Calibri" w:eastAsia="Calibri" w:hAnsi="Calibri"/>
                <w:b/>
                <w:bCs/>
                <w:i w:val="false"/>
                <w:iCs w:val="false"/>
                <w:color w:val="E74C3C"/>
                <w:sz w:val="21"/>
                <w:szCs w:val="21"/>
              </w:rPr>
              <w:t xml:space="preserve">12%</w:t>
            </w:r>
          </w:p>
        </w:tc>
      </w:tr>
      <w:tr>
        <w:tc>
          <w:tcPr>
            <w:tcW w:type="pct" w:w="5%"/>
            <w:vAlign w:val="center"/>
          </w:tcPr>
          <w:p>
            <w:pPr>
              <w:spacing w:after="40" w:before="40"/>
              <w:jc w:val="center"/>
            </w:pPr>
            <w:r>
              <w:rPr>
                <w:rFonts w:ascii="Calibri" w:cs="Calibri" w:eastAsia="Calibri" w:hAnsi="Calibri"/>
                <w:b/>
                <w:bCs/>
                <w:i w:val="false"/>
                <w:iCs w:val="false"/>
                <w:color w:val="F39C12"/>
                <w:sz w:val="28"/>
                <w:szCs w:val="28"/>
              </w:rPr>
              <w:t xml:space="preserve">■</w:t>
            </w:r>
          </w:p>
        </w:tc>
        <w:tc>
          <w:tcPr>
            <w:tcW w:type="pct" w:w="50%"/>
            <w:vAlign w:val="center"/>
          </w:tcPr>
          <w:p>
            <w:pPr>
              <w:spacing w:after="40" w:before="40"/>
              <w:jc w:val="left"/>
            </w:pPr>
            <w:r>
              <w:rPr>
                <w:rFonts w:ascii="Calibri" w:cs="Calibri" w:eastAsia="Calibri" w:hAnsi="Calibri"/>
                <w:b/>
                <w:bCs/>
                <w:i w:val="false"/>
                <w:iCs w:val="false"/>
                <w:color w:val="2C3E50"/>
                <w:sz w:val="21"/>
                <w:szCs w:val="21"/>
              </w:rPr>
              <w:t xml:space="preserve">Data Preparation</w:t>
            </w:r>
          </w:p>
        </w:tc>
        <w:tc>
          <w:tcPr>
            <w:tcW w:type="pct" w:w="8%"/>
            <w:shd w:color="F39C12" w:val="solid"/>
            <w:vAlign w:val="center"/>
          </w:tcPr>
          <w:p>
            <w:pPr>
              <w:spacing w:after="40" w:before="40"/>
              <w:jc w:val="left"/>
            </w:pPr>
            <w:r>
              <w:rPr>
                <w:rFonts w:ascii="Calibri" w:cs="Calibri" w:eastAsia="Calibri" w:hAnsi="Calibri"/>
                <w:b w:val="false"/>
                <w:bCs w:val="false"/>
                <w:i w:val="false"/>
                <w:iCs w:val="false"/>
                <w:color w:val="2C3E50"/>
                <w:sz w:val="20"/>
                <w:szCs w:val="20"/>
              </w:rPr>
              <w:t xml:space="preserve"/>
            </w:r>
          </w:p>
        </w:tc>
        <w:tc>
          <w:tcPr>
            <w:tcW w:type="pct" w:w="15%"/>
            <w:vAlign w:val="center"/>
          </w:tcPr>
          <w:p>
            <w:pPr>
              <w:spacing w:after="40" w:before="40"/>
              <w:jc w:val="center"/>
            </w:pPr>
            <w:r>
              <w:rPr>
                <w:rFonts w:ascii="Calibri" w:cs="Calibri" w:eastAsia="Calibri" w:hAnsi="Calibri"/>
                <w:b/>
                <w:bCs/>
                <w:i w:val="false"/>
                <w:iCs w:val="false"/>
                <w:color w:val="F39C12"/>
                <w:sz w:val="21"/>
                <w:szCs w:val="21"/>
              </w:rPr>
              <w:t xml:space="preserve">8%</w:t>
            </w:r>
          </w:p>
        </w:tc>
      </w:tr>
    </w:tbl>
    <w:p>
      <w:pPr>
        <w:spacing w:after="250" w:before="100"/>
        <w:jc w:val="center"/>
      </w:pPr>
      <w:r>
        <w:rPr>
          <w:rFonts w:ascii="Calibri" w:cs="Calibri" w:eastAsia="Calibri" w:hAnsi="Calibri"/>
          <w:b/>
          <w:bCs/>
          <w:i/>
          <w:iCs/>
          <w:color w:val="2C3E50"/>
          <w:sz w:val="20"/>
          <w:szCs w:val="20"/>
        </w:rPr>
        <w:t xml:space="preserve">Figure 1: </w:t>
      </w:r>
      <w:r>
        <w:rPr>
          <w:rFonts w:ascii="Calibri" w:cs="Calibri" w:eastAsia="Calibri" w:hAnsi="Calibri"/>
          <w:i/>
          <w:iCs/>
          <w:color w:val="666666"/>
          <w:sz w:val="20"/>
          <w:szCs w:val="20"/>
        </w:rPr>
        <w:t xml:space="preserve">Proportional allocation of research effort across the five principal focus areas of the proposed study.</w:t>
      </w:r>
    </w:p>
    <w:p>
      <w:pPr>
        <w:spacing w:after="40" w:before="400"/>
      </w:pPr>
      <w:r>
        <w:rPr>
          <w:rFonts w:ascii="Calibri" w:cs="Calibri" w:eastAsia="Calibri" w:hAnsi="Calibri"/>
          <w:b/>
          <w:bCs/>
          <w:caps/>
          <w:color w:val="8E44AD"/>
          <w:sz w:val="20"/>
          <w:szCs w:val="20"/>
        </w:rPr>
        <w:t xml:space="preserve">Section C</w:t>
      </w:r>
    </w:p>
    <w:p>
      <w:pPr>
        <w:pBdr>
          <w:bottom w:val="single" w:color="8E44AD" w:sz="6"/>
        </w:pBdr>
        <w:spacing w:after="60"/>
      </w:pPr>
      <w:r>
        <w:rPr>
          <w:rFonts w:ascii="Calibri Light" w:cs="Calibri Light" w:eastAsia="Calibri Light" w:hAnsi="Calibri Light"/>
          <w:b/>
          <w:bCs/>
          <w:color w:val="2C3E50"/>
          <w:sz w:val="36"/>
          <w:szCs w:val="36"/>
        </w:rPr>
        <w:t xml:space="preserve">Research Description and Anticipated Outcomes</w:t>
      </w:r>
    </w:p>
    <w:p>
      <w:pPr>
        <w:spacing w:after="150"/>
      </w:pPr>
    </w:p>
    <w:p>
      <w:pPr>
        <w:pBdr>
          <w:left w:val="single" w:color="2980B9" w:sz="8"/>
        </w:pBdr>
        <w:spacing w:after="140" w:before="320"/>
        <w:ind w:left="200"/>
      </w:pPr>
      <w:r>
        <w:rPr>
          <w:rFonts w:ascii="Calibri" w:cs="Calibri" w:eastAsia="Calibri" w:hAnsi="Calibri"/>
          <w:b/>
          <w:bCs/>
          <w:color w:val="8E44AD"/>
          <w:sz w:val="26"/>
          <w:szCs w:val="26"/>
        </w:rPr>
        <w:t xml:space="preserve">3.1 Proposed Methodology</w:t>
      </w:r>
    </w:p>
    <w:p>
      <w:pPr>
        <w:spacing w:after="180" w:before="0" w:line="360"/>
        <w:jc w:val="both"/>
      </w:pPr>
      <w:r>
        <w:rPr>
          <w:rFonts w:ascii="Calibri" w:cs="Calibri" w:eastAsia="Calibri" w:hAnsi="Calibri"/>
          <w:b w:val="false"/>
          <w:bCs w:val="false"/>
          <w:i w:val="false"/>
          <w:iCs w:val="false"/>
          <w:color w:val="2C3E50"/>
          <w:sz w:val="23"/>
          <w:szCs w:val="23"/>
        </w:rPr>
        <w:t xml:space="preserve">The proposed research follows a structured pipeline encompassing data acquisition and preprocessing, model development for both segmentation and classification tasks, systematic evaluation, and comparative analysis. Each phase has been designed to align with established best practices in computational pathology while addressing the specific characteristics of the CATCH dataset.</w:t>
      </w:r>
    </w:p>
    <w:p>
      <w:pPr>
        <w:spacing w:after="100"/>
      </w:pPr>
    </w:p>
    <w:p>
      <w:pPr>
        <w:spacing w:after="120"/>
        <w:jc w:val="center"/>
      </w:pPr>
      <w:r>
        <w:rPr>
          <w:rFonts w:ascii="Calibri" w:cs="Calibri" w:eastAsia="Calibri" w:hAnsi="Calibri"/>
          <w:b/>
          <w:bCs/>
          <w:color w:val="2C3E50"/>
          <w:sz w:val="22"/>
          <w:szCs w:val="22"/>
        </w:rPr>
        <w:t xml:space="preserve">Figure 2: Research Methodology Pipeline</w:t>
      </w:r>
    </w:p>
    <w:tbl>
      <w:tblPr>
        <w:tblW w:type="pct" w:w="100%"/>
        <w:jc w:val="center"/>
        <w:tblBorders>
          <w:top w:val="none"/>
          <w:left w:val="none"/>
          <w:bottom w:val="none"/>
          <w:right w:val="none"/>
          <w:insideH w:val="none"/>
          <w:insideV w:val="none"/>
        </w:tblBorders>
      </w:tblPr>
      <w:tblGrid>
        <w:gridCol w:w="100"/>
        <w:gridCol w:w="100"/>
        <w:gridCol w:w="100"/>
        <w:gridCol w:w="100"/>
        <w:gridCol w:w="100"/>
        <w:gridCol w:w="100"/>
        <w:gridCol w:w="100"/>
        <w:gridCol w:w="100"/>
        <w:gridCol w:w="100"/>
      </w:tblGrid>
      <w:tr>
        <w:tc>
          <w:tcPr>
            <w:tcW w:type="pct" w:w="18%"/>
            <w:shd w:color="8E44AD" w:val="solid"/>
            <w:vAlign w:val="center"/>
          </w:tcPr>
          <w:p>
            <w:pPr>
              <w:spacing w:after="40" w:before="40"/>
              <w:jc w:val="center"/>
            </w:pPr>
            <w:r>
              <w:rPr>
                <w:rFonts w:ascii="Calibri" w:cs="Calibri" w:eastAsia="Calibri" w:hAnsi="Calibri"/>
                <w:b/>
                <w:bCs/>
                <w:color w:val="FFFFFF"/>
                <w:sz w:val="18"/>
                <w:szCs w:val="18"/>
              </w:rPr>
              <w:t xml:space="preserve">STEP 1</w:t>
            </w:r>
            <w:r>
              <w:rPr>
                <w:rFonts w:ascii="Calibri" w:cs="Calibri" w:eastAsia="Calibri" w:hAnsi="Calibri"/>
                <w:color w:val="FFFFFF"/>
                <w:sz w:val="17"/>
                <w:szCs w:val="17"/>
              </w:rPr>
              <w:t xml:space="preserve">
Data Acquisition
&amp; Preprocessing</w:t>
            </w:r>
          </w:p>
        </w:tc>
        <w:tc>
          <w:tcPr>
            <w:tcW w:type="pct" w:w="4%"/>
            <w:vAlign w:val="center"/>
          </w:tcPr>
          <w:p>
            <w:pPr>
              <w:spacing w:after="40" w:before="40"/>
              <w:jc w:val="center"/>
            </w:pPr>
            <w:r>
              <w:rPr>
                <w:rFonts w:ascii="Calibri" w:cs="Calibri" w:eastAsia="Calibri" w:hAnsi="Calibri"/>
                <w:b w:val="false"/>
                <w:bCs w:val="false"/>
                <w:i w:val="false"/>
                <w:iCs w:val="false"/>
                <w:color w:val="8E44AD"/>
                <w:sz w:val="28"/>
                <w:szCs w:val="28"/>
              </w:rPr>
              <w:t xml:space="preserve">→</w:t>
            </w:r>
          </w:p>
        </w:tc>
        <w:tc>
          <w:tcPr>
            <w:tcW w:type="pct" w:w="18%"/>
            <w:shd w:color="2980B9" w:val="solid"/>
            <w:vAlign w:val="center"/>
          </w:tcPr>
          <w:p>
            <w:pPr>
              <w:spacing w:after="40" w:before="40"/>
              <w:jc w:val="center"/>
            </w:pPr>
            <w:r>
              <w:rPr>
                <w:rFonts w:ascii="Calibri" w:cs="Calibri" w:eastAsia="Calibri" w:hAnsi="Calibri"/>
                <w:b/>
                <w:bCs/>
                <w:color w:val="FFFFFF"/>
                <w:sz w:val="18"/>
                <w:szCs w:val="18"/>
              </w:rPr>
              <w:t xml:space="preserve">STEP 2</w:t>
            </w:r>
            <w:r>
              <w:rPr>
                <w:rFonts w:ascii="Calibri" w:cs="Calibri" w:eastAsia="Calibri" w:hAnsi="Calibri"/>
                <w:color w:val="FFFFFF"/>
                <w:sz w:val="17"/>
                <w:szCs w:val="17"/>
              </w:rPr>
              <w:t xml:space="preserve">
Segmentation
(U-Net)</w:t>
            </w:r>
          </w:p>
        </w:tc>
        <w:tc>
          <w:tcPr>
            <w:tcW w:type="pct" w:w="4%"/>
            <w:vAlign w:val="center"/>
          </w:tcPr>
          <w:p>
            <w:pPr>
              <w:spacing w:after="40" w:before="40"/>
              <w:jc w:val="center"/>
            </w:pPr>
            <w:r>
              <w:rPr>
                <w:rFonts w:ascii="Calibri" w:cs="Calibri" w:eastAsia="Calibri" w:hAnsi="Calibri"/>
                <w:b w:val="false"/>
                <w:bCs w:val="false"/>
                <w:i w:val="false"/>
                <w:iCs w:val="false"/>
                <w:color w:val="2980B9"/>
                <w:sz w:val="28"/>
                <w:szCs w:val="28"/>
              </w:rPr>
              <w:t xml:space="preserve">→</w:t>
            </w:r>
          </w:p>
        </w:tc>
        <w:tc>
          <w:tcPr>
            <w:tcW w:type="pct" w:w="18%"/>
            <w:shd w:color="27AE60" w:val="solid"/>
            <w:vAlign w:val="center"/>
          </w:tcPr>
          <w:p>
            <w:pPr>
              <w:spacing w:after="40" w:before="40"/>
              <w:jc w:val="center"/>
            </w:pPr>
            <w:r>
              <w:rPr>
                <w:rFonts w:ascii="Calibri" w:cs="Calibri" w:eastAsia="Calibri" w:hAnsi="Calibri"/>
                <w:b/>
                <w:bCs/>
                <w:color w:val="FFFFFF"/>
                <w:sz w:val="18"/>
                <w:szCs w:val="18"/>
              </w:rPr>
              <w:t xml:space="preserve">STEP 3</w:t>
            </w:r>
            <w:r>
              <w:rPr>
                <w:rFonts w:ascii="Calibri" w:cs="Calibri" w:eastAsia="Calibri" w:hAnsi="Calibri"/>
                <w:color w:val="FFFFFF"/>
                <w:sz w:val="17"/>
                <w:szCs w:val="17"/>
              </w:rPr>
              <w:t xml:space="preserve">
Classification
(CNN)</w:t>
            </w:r>
          </w:p>
        </w:tc>
        <w:tc>
          <w:tcPr>
            <w:tcW w:type="pct" w:w="4%"/>
            <w:vAlign w:val="center"/>
          </w:tcPr>
          <w:p>
            <w:pPr>
              <w:spacing w:after="40" w:before="40"/>
              <w:jc w:val="center"/>
            </w:pPr>
            <w:r>
              <w:rPr>
                <w:rFonts w:ascii="Calibri" w:cs="Calibri" w:eastAsia="Calibri" w:hAnsi="Calibri"/>
                <w:b w:val="false"/>
                <w:bCs w:val="false"/>
                <w:i w:val="false"/>
                <w:iCs w:val="false"/>
                <w:color w:val="27AE60"/>
                <w:sz w:val="28"/>
                <w:szCs w:val="28"/>
              </w:rPr>
              <w:t xml:space="preserve">→</w:t>
            </w:r>
          </w:p>
        </w:tc>
        <w:tc>
          <w:tcPr>
            <w:tcW w:type="pct" w:w="18%"/>
            <w:shd w:color="E74C3C" w:val="solid"/>
            <w:vAlign w:val="center"/>
          </w:tcPr>
          <w:p>
            <w:pPr>
              <w:spacing w:after="40" w:before="40"/>
              <w:jc w:val="center"/>
            </w:pPr>
            <w:r>
              <w:rPr>
                <w:rFonts w:ascii="Calibri" w:cs="Calibri" w:eastAsia="Calibri" w:hAnsi="Calibri"/>
                <w:b/>
                <w:bCs/>
                <w:color w:val="FFFFFF"/>
                <w:sz w:val="18"/>
                <w:szCs w:val="18"/>
              </w:rPr>
              <w:t xml:space="preserve">STEP 4</w:t>
            </w:r>
            <w:r>
              <w:rPr>
                <w:rFonts w:ascii="Calibri" w:cs="Calibri" w:eastAsia="Calibri" w:hAnsi="Calibri"/>
                <w:color w:val="FFFFFF"/>
                <w:sz w:val="17"/>
                <w:szCs w:val="17"/>
              </w:rPr>
              <w:t xml:space="preserve">
Evaluation &amp;
Analysis</w:t>
            </w:r>
          </w:p>
        </w:tc>
        <w:tc>
          <w:tcPr>
            <w:tcW w:type="pct" w:w="4%"/>
            <w:vAlign w:val="center"/>
          </w:tcPr>
          <w:p>
            <w:pPr>
              <w:spacing w:after="40" w:before="40"/>
              <w:jc w:val="center"/>
            </w:pPr>
            <w:r>
              <w:rPr>
                <w:rFonts w:ascii="Calibri" w:cs="Calibri" w:eastAsia="Calibri" w:hAnsi="Calibri"/>
                <w:b w:val="false"/>
                <w:bCs w:val="false"/>
                <w:i w:val="false"/>
                <w:iCs w:val="false"/>
                <w:color w:val="E74C3C"/>
                <w:sz w:val="28"/>
                <w:szCs w:val="28"/>
              </w:rPr>
              <w:t xml:space="preserve">→</w:t>
            </w:r>
          </w:p>
        </w:tc>
        <w:tc>
          <w:tcPr>
            <w:tcW w:type="pct" w:w="18%"/>
            <w:shd w:color="F39C12" w:val="solid"/>
            <w:vAlign w:val="center"/>
          </w:tcPr>
          <w:p>
            <w:pPr>
              <w:spacing w:after="40" w:before="40"/>
              <w:jc w:val="center"/>
            </w:pPr>
            <w:r>
              <w:rPr>
                <w:rFonts w:ascii="Calibri" w:cs="Calibri" w:eastAsia="Calibri" w:hAnsi="Calibri"/>
                <w:b/>
                <w:bCs/>
                <w:color w:val="FFFFFF"/>
                <w:sz w:val="18"/>
                <w:szCs w:val="18"/>
              </w:rPr>
              <w:t xml:space="preserve">STEP 5</w:t>
            </w:r>
            <w:r>
              <w:rPr>
                <w:rFonts w:ascii="Calibri" w:cs="Calibri" w:eastAsia="Calibri" w:hAnsi="Calibri"/>
                <w:color w:val="FFFFFF"/>
                <w:sz w:val="17"/>
                <w:szCs w:val="17"/>
              </w:rPr>
              <w:t xml:space="preserve">
Comparative
Analysis</w:t>
            </w:r>
          </w:p>
        </w:tc>
      </w:tr>
    </w:tbl>
    <w:p>
      <w:pPr>
        <w:spacing w:after="250" w:before="100"/>
        <w:jc w:val="center"/>
      </w:pPr>
      <w:r>
        <w:rPr>
          <w:rFonts w:ascii="Calibri" w:cs="Calibri" w:eastAsia="Calibri" w:hAnsi="Calibri"/>
          <w:b/>
          <w:bCs/>
          <w:i/>
          <w:iCs/>
          <w:color w:val="2C3E50"/>
          <w:sz w:val="20"/>
          <w:szCs w:val="20"/>
        </w:rPr>
        <w:t xml:space="preserve">Figure 2: </w:t>
      </w:r>
      <w:r>
        <w:rPr>
          <w:rFonts w:ascii="Calibri" w:cs="Calibri" w:eastAsia="Calibri" w:hAnsi="Calibri"/>
          <w:i/>
          <w:iCs/>
          <w:color w:val="666666"/>
          <w:sz w:val="20"/>
          <w:szCs w:val="20"/>
        </w:rPr>
        <w:t xml:space="preserve">Sequential stages of the proposed research methodology, from data acquisition through to comparative analysis.</w:t>
      </w:r>
    </w:p>
    <w:p>
      <w:pPr>
        <w:spacing w:after="120" w:before="250"/>
      </w:pPr>
      <w:r>
        <w:rPr>
          <w:rFonts w:ascii="Calibri" w:cs="Calibri" w:eastAsia="Calibri" w:hAnsi="Calibri"/>
          <w:b/>
          <w:bCs/>
          <w:color w:val="2C3E50"/>
          <w:sz w:val="24"/>
          <w:szCs w:val="24"/>
        </w:rPr>
        <w:t xml:space="preserve">3.1.1 Data Acquisition and Preprocessing</w:t>
      </w:r>
    </w:p>
    <w:p>
      <w:pPr>
        <w:spacing w:after="180" w:before="0" w:line="360"/>
        <w:jc w:val="both"/>
      </w:pPr>
      <w:r>
        <w:rPr>
          <w:rFonts w:ascii="Calibri" w:cs="Calibri" w:eastAsia="Calibri" w:hAnsi="Calibri"/>
          <w:color w:val="2C3E50"/>
          <w:sz w:val="23"/>
          <w:szCs w:val="23"/>
        </w:rPr>
        <w:t xml:space="preserve">The CATCH dataset will be obtained from The Cancer Imaging Archive (TCIA). Preprocessing will involve standardising image dimensions, applying stain normalisation using the Macenko method </w:t>
      </w:r>
      <w:r>
        <w:rPr>
          <w:rFonts w:ascii="Calibri" w:cs="Calibri" w:eastAsia="Calibri" w:hAnsi="Calibri"/>
          <w:color w:val="2C3E50"/>
          <w:sz w:val="23"/>
          <w:szCs w:val="23"/>
        </w:rPr>
      </w:r>
      <w:r>
        <w:rPr>
          <w:rFonts w:ascii="Calibri" w:cs="Calibri" w:eastAsia="Calibri" w:hAnsi="Calibri"/>
          <w:color w:val="2C3E50"/>
          <w:sz w:val="23"/>
          <w:szCs w:val="23"/>
        </w:rPr>
        <w:t xml:space="preserve"> to mitigate inter-slide colour variability, and performing patch extraction at multiple magnification levels (5×, 10×, 20×). Data augmentation strategies — including rotation, horizontal and vertical flipping, elastic deformation, and colour jittering — will be employed to enhance model generalisation and address class imbalance. The dataset will be partitioned into training (70%), validation (15%), and test (15%) subsets using stratified sampling to preserve class distributions.</w:t>
      </w:r>
    </w:p>
    <w:p>
      <w:pPr>
        <w:spacing w:after="120" w:before="250"/>
      </w:pPr>
      <w:r>
        <w:rPr>
          <w:rFonts w:ascii="Calibri" w:cs="Calibri" w:eastAsia="Calibri" w:hAnsi="Calibri"/>
          <w:b/>
          <w:bCs/>
          <w:color w:val="2C3E50"/>
          <w:sz w:val="24"/>
          <w:szCs w:val="24"/>
        </w:rPr>
        <w:t xml:space="preserve">3.1.2 Segmentation Pipeline</w:t>
      </w:r>
    </w:p>
    <w:p>
      <w:pPr>
        <w:spacing w:after="180" w:before="0" w:line="360"/>
        <w:jc w:val="both"/>
      </w:pPr>
      <w:r>
        <w:rPr>
          <w:rFonts w:ascii="Calibri" w:cs="Calibri" w:eastAsia="Calibri" w:hAnsi="Calibri"/>
          <w:color w:val="2C3E50"/>
          <w:sz w:val="23"/>
          <w:szCs w:val="23"/>
        </w:rPr>
        <w:t xml:space="preserve">Tumour region segmentation will be performed using a U-Net architecture </w:t>
      </w:r>
      <w:r>
        <w:rPr>
          <w:rFonts w:ascii="Calibri" w:cs="Calibri" w:eastAsia="Calibri" w:hAnsi="Calibri"/>
          <w:color w:val="2C3E50"/>
          <w:sz w:val="23"/>
          <w:szCs w:val="23"/>
        </w:rPr>
      </w:r>
      <w:r>
        <w:rPr>
          <w:rFonts w:ascii="Calibri" w:cs="Calibri" w:eastAsia="Calibri" w:hAnsi="Calibri"/>
          <w:color w:val="2C3E50"/>
          <w:sz w:val="23"/>
          <w:szCs w:val="23"/>
        </w:rPr>
        <w:t xml:space="preserve"> with a ResNet-34 encoder pretrained on ImageNet. The encoder will extract hierarchical feature representations, while the decoder will reconstruct spatial resolution through transposed convolutions and skip connections. An Attention U-Net variant </w:t>
      </w:r>
      <w:r>
        <w:rPr>
          <w:rFonts w:ascii="Calibri" w:cs="Calibri" w:eastAsia="Calibri" w:hAnsi="Calibri"/>
          <w:color w:val="2C3E50"/>
          <w:sz w:val="23"/>
          <w:szCs w:val="23"/>
        </w:rPr>
      </w:r>
      <w:r>
        <w:rPr>
          <w:rFonts w:ascii="Calibri" w:cs="Calibri" w:eastAsia="Calibri" w:hAnsi="Calibri"/>
          <w:color w:val="2C3E50"/>
          <w:sz w:val="23"/>
          <w:szCs w:val="23"/>
        </w:rPr>
        <w:t xml:space="preserve"> will also be implemented to assess the impact of attention gating on segmentation precision. Both models will be trained using a composite loss function combining binary cross-entropy and Dice loss, optimised with the Adam optimiser at an initial learning rate of 1×10⁻⁴ with cosine annealing scheduling.</w:t>
      </w:r>
    </w:p>
    <w:p>
      <w:pPr>
        <w:spacing w:after="120" w:before="250"/>
      </w:pPr>
      <w:r>
        <w:rPr>
          <w:rFonts w:ascii="Calibri" w:cs="Calibri" w:eastAsia="Calibri" w:hAnsi="Calibri"/>
          <w:b/>
          <w:bCs/>
          <w:color w:val="2C3E50"/>
          <w:sz w:val="24"/>
          <w:szCs w:val="24"/>
        </w:rPr>
        <w:t xml:space="preserve">3.1.3 Classification Pipeline</w:t>
      </w:r>
    </w:p>
    <w:p>
      <w:pPr>
        <w:spacing w:after="180" w:before="0" w:line="360"/>
        <w:jc w:val="both"/>
      </w:pPr>
      <w:r>
        <w:rPr>
          <w:rFonts w:ascii="Calibri" w:cs="Calibri" w:eastAsia="Calibri" w:hAnsi="Calibri"/>
          <w:color w:val="2C3E50"/>
          <w:sz w:val="23"/>
          <w:szCs w:val="23"/>
        </w:rPr>
        <w:t xml:space="preserve">Two classification architectures will be evaluated: ResNet-50 </w:t>
      </w:r>
      <w:r>
        <w:rPr>
          <w:rFonts w:ascii="Calibri" w:cs="Calibri" w:eastAsia="Calibri" w:hAnsi="Calibri"/>
          <w:color w:val="2C3E50"/>
          <w:sz w:val="23"/>
          <w:szCs w:val="23"/>
        </w:rPr>
      </w:r>
      <w:r>
        <w:rPr>
          <w:rFonts w:ascii="Calibri" w:cs="Calibri" w:eastAsia="Calibri" w:hAnsi="Calibri"/>
          <w:color w:val="2C3E50"/>
          <w:sz w:val="23"/>
          <w:szCs w:val="23"/>
        </w:rPr>
        <w:t xml:space="preserve"> and EfficientNet-B3 </w:t>
      </w:r>
      <w:r>
        <w:rPr>
          <w:rFonts w:ascii="Calibri" w:cs="Calibri" w:eastAsia="Calibri" w:hAnsi="Calibri"/>
          <w:color w:val="2C3E50"/>
          <w:sz w:val="23"/>
          <w:szCs w:val="23"/>
        </w:rPr>
      </w:r>
      <w:r>
        <w:rPr>
          <w:rFonts w:ascii="Calibri" w:cs="Calibri" w:eastAsia="Calibri" w:hAnsi="Calibri"/>
          <w:color w:val="2C3E50"/>
          <w:sz w:val="23"/>
          <w:szCs w:val="23"/>
        </w:rPr>
        <w:t xml:space="preserve">. Both models will be initialised with ImageNet-pretrained weights and fine-tuned on the CATCH dataset. A progressive unfreezing strategy will be adopted, initially training only the classification head before gradually unfreezing deeper convolutional layers. The models will be trained using cross-entropy loss with label smoothing (factor = 0.1) and optimised using AdamW with weight decay regularisation. Hyperparameter tuning will be conducted through systematic grid search over learning rates, batch sizes, and dropout rates.</w:t>
      </w:r>
    </w:p>
    <w:p>
      <w:pPr>
        <w:spacing w:after="120" w:before="250"/>
      </w:pPr>
      <w:r>
        <w:rPr>
          <w:rFonts w:ascii="Calibri" w:cs="Calibri" w:eastAsia="Calibri" w:hAnsi="Calibri"/>
          <w:b/>
          <w:bCs/>
          <w:color w:val="2C3E50"/>
          <w:sz w:val="24"/>
          <w:szCs w:val="24"/>
        </w:rPr>
        <w:t xml:space="preserve">3.1.4 Evaluation Framework</w:t>
      </w:r>
    </w:p>
    <w:p>
      <w:pPr>
        <w:spacing w:after="180" w:before="0" w:line="360"/>
        <w:jc w:val="both"/>
      </w:pPr>
      <w:r>
        <w:rPr>
          <w:rFonts w:ascii="Calibri" w:cs="Calibri" w:eastAsia="Calibri" w:hAnsi="Calibri"/>
          <w:color w:val="2C3E50"/>
          <w:sz w:val="23"/>
          <w:szCs w:val="23"/>
        </w:rPr>
        <w:t xml:space="preserve">Segmentation performance will be assessed using the Dice Similarity Coefficient (DSC), Intersection over Union (IoU), pixel-wise accuracy, and Hausdorff distance. Classification performance will be evaluated through accuracy, macro-averaged precision, recall, F1-score, and area under the receiver operating characteristic curve (AUC-ROC). Confusion matrices will provide granular insights into per-class performance, while Grad-CAM visualisations </w:t>
      </w:r>
      <w:r>
        <w:rPr>
          <w:rFonts w:ascii="Calibri" w:cs="Calibri" w:eastAsia="Calibri" w:hAnsi="Calibri"/>
          <w:color w:val="2C3E50"/>
          <w:sz w:val="23"/>
          <w:szCs w:val="23"/>
        </w:rPr>
      </w:r>
      <w:r>
        <w:rPr>
          <w:rFonts w:ascii="Calibri" w:cs="Calibri" w:eastAsia="Calibri" w:hAnsi="Calibri"/>
          <w:color w:val="2C3E50"/>
          <w:sz w:val="23"/>
          <w:szCs w:val="23"/>
        </w:rPr>
        <w:t xml:space="preserve"> will offer interpretability by highlighting the image regions most influential to classification decisions. Five-fold cross-validation will ensure robust and generalisable performance estimates.</w:t>
      </w:r>
    </w:p>
    <w:p>
      <w:pPr>
        <w:spacing w:after="100"/>
      </w:pPr>
    </w:p>
    <w:p>
      <w:pPr>
        <w:spacing w:after="120"/>
        <w:jc w:val="center"/>
      </w:pPr>
      <w:r>
        <w:rPr>
          <w:rFonts w:ascii="Calibri" w:cs="Calibri" w:eastAsia="Calibri" w:hAnsi="Calibri"/>
          <w:b/>
          <w:bCs/>
          <w:color w:val="2C3E50"/>
          <w:sz w:val="22"/>
          <w:szCs w:val="22"/>
        </w:rPr>
        <w:t xml:space="preserve">Figure 3: Anticipated Model Performance Benchmarks</w:t>
      </w: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Model / Metric</w:t>
            </w:r>
          </w:p>
        </w:tc>
        <w:tc>
          <w:tcPr>
            <w:tcW w:type="pct" w:w="30%"/>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Expected Performance</w:t>
            </w:r>
          </w:p>
        </w:tc>
        <w:tc>
          <w:tcPr>
            <w:tcW w:type="pct" w:w="30%"/>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Benchmark Source</w:t>
            </w:r>
          </w:p>
        </w:tc>
      </w:tr>
      <w:tr>
        <w:tc>
          <w:tcPr>
            <w:vAlign w:val="center"/>
          </w:tcPr>
          <w:p>
            <w:pPr>
              <w:spacing w:after="40" w:before="40"/>
              <w:jc w:val="left"/>
            </w:pPr>
            <w:r>
              <w:rPr>
                <w:rFonts w:ascii="Calibri" w:cs="Calibri" w:eastAsia="Calibri" w:hAnsi="Calibri"/>
                <w:b/>
                <w:bCs/>
                <w:i w:val="false"/>
                <w:iCs w:val="false"/>
                <w:color w:val="2C3E50"/>
                <w:sz w:val="20"/>
                <w:szCs w:val="20"/>
              </w:rPr>
              <w:t xml:space="preserve">U-Net (DSC)</w:t>
            </w:r>
          </w:p>
        </w:tc>
        <w:tc>
          <w:tcPr>
            <w:vAlign w:val="center"/>
          </w:tcPr>
          <w:p>
            <w:pPr>
              <w:spacing w:after="40" w:before="40"/>
              <w:jc w:val="left"/>
            </w:pPr>
            <w:r>
              <w:rPr>
                <w:rFonts w:ascii="Calibri" w:cs="Calibri" w:eastAsia="Calibri" w:hAnsi="Calibri"/>
                <w:b/>
                <w:bCs/>
                <w:color w:val="8E44AD"/>
                <w:sz w:val="20"/>
                <w:szCs w:val="20"/>
              </w:rPr>
              <w:t xml:space="preserve">87%</w:t>
            </w:r>
          </w:p>
        </w:tc>
        <w:tc>
          <w:tcPr>
            <w:vAlign w:val="center"/>
          </w:tcPr>
          <w:p>
            <w:pPr>
              <w:spacing w:after="40" w:before="40"/>
              <w:jc w:val="left"/>
            </w:pPr>
            <w:r>
              <w:rPr>
                <w:rFonts w:ascii="Calibri" w:cs="Calibri" w:eastAsia="Calibri" w:hAnsi="Calibri"/>
                <w:b w:val="false"/>
                <w:bCs w:val="false"/>
                <w:i/>
                <w:iCs/>
                <w:color w:val="2C3E50"/>
                <w:sz w:val="18"/>
                <w:szCs w:val="18"/>
              </w:rPr>
              <w:t xml:space="preserve">Ronneberger et al., 2015</w:t>
            </w:r>
          </w:p>
        </w:tc>
      </w:tr>
      <w:tr>
        <w:tc>
          <w:tcPr>
            <w:vAlign w:val="center"/>
          </w:tcPr>
          <w:p>
            <w:pPr>
              <w:spacing w:after="40" w:before="40"/>
              <w:jc w:val="left"/>
            </w:pPr>
            <w:r>
              <w:rPr>
                <w:rFonts w:ascii="Calibri" w:cs="Calibri" w:eastAsia="Calibri" w:hAnsi="Calibri"/>
                <w:b/>
                <w:bCs/>
                <w:i w:val="false"/>
                <w:iCs w:val="false"/>
                <w:color w:val="2C3E50"/>
                <w:sz w:val="20"/>
                <w:szCs w:val="20"/>
              </w:rPr>
              <w:t xml:space="preserve">Attention U-Net (DSC)</w:t>
            </w:r>
          </w:p>
        </w:tc>
        <w:tc>
          <w:tcPr>
            <w:vAlign w:val="center"/>
          </w:tcPr>
          <w:p>
            <w:pPr>
              <w:spacing w:after="40" w:before="40"/>
              <w:jc w:val="left"/>
            </w:pPr>
            <w:r>
              <w:rPr>
                <w:rFonts w:ascii="Calibri" w:cs="Calibri" w:eastAsia="Calibri" w:hAnsi="Calibri"/>
                <w:b/>
                <w:bCs/>
                <w:color w:val="8E44AD"/>
                <w:sz w:val="20"/>
                <w:szCs w:val="20"/>
              </w:rPr>
              <w:t xml:space="preserve">89%</w:t>
            </w:r>
          </w:p>
        </w:tc>
        <w:tc>
          <w:tcPr>
            <w:vAlign w:val="center"/>
          </w:tcPr>
          <w:p>
            <w:pPr>
              <w:spacing w:after="40" w:before="40"/>
              <w:jc w:val="left"/>
            </w:pPr>
            <w:r>
              <w:rPr>
                <w:rFonts w:ascii="Calibri" w:cs="Calibri" w:eastAsia="Calibri" w:hAnsi="Calibri"/>
                <w:b w:val="false"/>
                <w:bCs w:val="false"/>
                <w:i/>
                <w:iCs/>
                <w:color w:val="2C3E50"/>
                <w:sz w:val="18"/>
                <w:szCs w:val="18"/>
              </w:rPr>
              <w:t xml:space="preserve">Oktay et al., 2018</w:t>
            </w:r>
          </w:p>
        </w:tc>
      </w:tr>
      <w:tr>
        <w:tc>
          <w:tcPr>
            <w:vAlign w:val="center"/>
          </w:tcPr>
          <w:p>
            <w:pPr>
              <w:spacing w:after="40" w:before="40"/>
              <w:jc w:val="left"/>
            </w:pPr>
            <w:r>
              <w:rPr>
                <w:rFonts w:ascii="Calibri" w:cs="Calibri" w:eastAsia="Calibri" w:hAnsi="Calibri"/>
                <w:b/>
                <w:bCs/>
                <w:i w:val="false"/>
                <w:iCs w:val="false"/>
                <w:color w:val="2C3E50"/>
                <w:sz w:val="20"/>
                <w:szCs w:val="20"/>
              </w:rPr>
              <w:t xml:space="preserve">ResNet-50 (Accuracy)</w:t>
            </w:r>
          </w:p>
        </w:tc>
        <w:tc>
          <w:tcPr>
            <w:vAlign w:val="center"/>
          </w:tcPr>
          <w:p>
            <w:pPr>
              <w:spacing w:after="40" w:before="40"/>
              <w:jc w:val="left"/>
            </w:pPr>
            <w:r>
              <w:rPr>
                <w:rFonts w:ascii="Calibri" w:cs="Calibri" w:eastAsia="Calibri" w:hAnsi="Calibri"/>
                <w:b/>
                <w:bCs/>
                <w:color w:val="2980B9"/>
                <w:sz w:val="20"/>
                <w:szCs w:val="20"/>
              </w:rPr>
              <w:t xml:space="preserve">88%</w:t>
            </w:r>
          </w:p>
        </w:tc>
        <w:tc>
          <w:tcPr>
            <w:vAlign w:val="center"/>
          </w:tcPr>
          <w:p>
            <w:pPr>
              <w:spacing w:after="40" w:before="40"/>
              <w:jc w:val="left"/>
            </w:pPr>
            <w:r>
              <w:rPr>
                <w:rFonts w:ascii="Calibri" w:cs="Calibri" w:eastAsia="Calibri" w:hAnsi="Calibri"/>
                <w:b w:val="false"/>
                <w:bCs w:val="false"/>
                <w:i/>
                <w:iCs/>
                <w:color w:val="2C3E50"/>
                <w:sz w:val="18"/>
                <w:szCs w:val="18"/>
              </w:rPr>
              <w:t xml:space="preserve">He et al., 2016</w:t>
            </w:r>
          </w:p>
        </w:tc>
      </w:tr>
      <w:tr>
        <w:tc>
          <w:tcPr>
            <w:vAlign w:val="center"/>
          </w:tcPr>
          <w:p>
            <w:pPr>
              <w:spacing w:after="40" w:before="40"/>
              <w:jc w:val="left"/>
            </w:pPr>
            <w:r>
              <w:rPr>
                <w:rFonts w:ascii="Calibri" w:cs="Calibri" w:eastAsia="Calibri" w:hAnsi="Calibri"/>
                <w:b/>
                <w:bCs/>
                <w:i w:val="false"/>
                <w:iCs w:val="false"/>
                <w:color w:val="2C3E50"/>
                <w:sz w:val="20"/>
                <w:szCs w:val="20"/>
              </w:rPr>
              <w:t xml:space="preserve">EfficientNet-B3 (Accuracy)</w:t>
            </w:r>
          </w:p>
        </w:tc>
        <w:tc>
          <w:tcPr>
            <w:vAlign w:val="center"/>
          </w:tcPr>
          <w:p>
            <w:pPr>
              <w:spacing w:after="40" w:before="40"/>
              <w:jc w:val="left"/>
            </w:pPr>
            <w:r>
              <w:rPr>
                <w:rFonts w:ascii="Calibri" w:cs="Calibri" w:eastAsia="Calibri" w:hAnsi="Calibri"/>
                <w:b/>
                <w:bCs/>
                <w:color w:val="2980B9"/>
                <w:sz w:val="20"/>
                <w:szCs w:val="20"/>
              </w:rPr>
              <w:t xml:space="preserve">91%</w:t>
            </w:r>
          </w:p>
        </w:tc>
        <w:tc>
          <w:tcPr>
            <w:vAlign w:val="center"/>
          </w:tcPr>
          <w:p>
            <w:pPr>
              <w:spacing w:after="40" w:before="40"/>
              <w:jc w:val="left"/>
            </w:pPr>
            <w:r>
              <w:rPr>
                <w:rFonts w:ascii="Calibri" w:cs="Calibri" w:eastAsia="Calibri" w:hAnsi="Calibri"/>
                <w:b w:val="false"/>
                <w:bCs w:val="false"/>
                <w:i/>
                <w:iCs/>
                <w:color w:val="2C3E50"/>
                <w:sz w:val="18"/>
                <w:szCs w:val="18"/>
              </w:rPr>
              <w:t xml:space="preserve">Tan and Le, 2019</w:t>
            </w:r>
          </w:p>
        </w:tc>
      </w:tr>
      <w:tr>
        <w:tc>
          <w:tcPr>
            <w:vAlign w:val="center"/>
          </w:tcPr>
          <w:p>
            <w:pPr>
              <w:spacing w:after="40" w:before="40"/>
              <w:jc w:val="left"/>
            </w:pPr>
            <w:r>
              <w:rPr>
                <w:rFonts w:ascii="Calibri" w:cs="Calibri" w:eastAsia="Calibri" w:hAnsi="Calibri"/>
                <w:b/>
                <w:bCs/>
                <w:i w:val="false"/>
                <w:iCs w:val="false"/>
                <w:color w:val="2C3E50"/>
                <w:sz w:val="20"/>
                <w:szCs w:val="20"/>
              </w:rPr>
              <w:t xml:space="preserve">Melanoma F1-Score</w:t>
            </w:r>
          </w:p>
        </w:tc>
        <w:tc>
          <w:tcPr>
            <w:vAlign w:val="center"/>
          </w:tcPr>
          <w:p>
            <w:pPr>
              <w:spacing w:after="40" w:before="40"/>
              <w:jc w:val="left"/>
            </w:pPr>
            <w:r>
              <w:rPr>
                <w:rFonts w:ascii="Calibri" w:cs="Calibri" w:eastAsia="Calibri" w:hAnsi="Calibri"/>
                <w:b/>
                <w:bCs/>
                <w:color w:val="27AE60"/>
                <w:sz w:val="20"/>
                <w:szCs w:val="20"/>
              </w:rPr>
              <w:t xml:space="preserve">90%</w:t>
            </w:r>
          </w:p>
        </w:tc>
        <w:tc>
          <w:tcPr>
            <w:vAlign w:val="center"/>
          </w:tcPr>
          <w:p>
            <w:pPr>
              <w:spacing w:after="40" w:before="40"/>
              <w:jc w:val="left"/>
            </w:pPr>
            <w:r>
              <w:rPr>
                <w:rFonts w:ascii="Calibri" w:cs="Calibri" w:eastAsia="Calibri" w:hAnsi="Calibri"/>
                <w:b w:val="false"/>
                <w:bCs w:val="false"/>
                <w:i/>
                <w:iCs/>
                <w:color w:val="2C3E50"/>
                <w:sz w:val="18"/>
                <w:szCs w:val="18"/>
              </w:rPr>
              <w:t xml:space="preserve">Hekler et al., 2019</w:t>
            </w:r>
          </w:p>
        </w:tc>
      </w:tr>
    </w:tbl>
    <w:p>
      <w:pPr>
        <w:spacing w:after="250" w:before="100"/>
        <w:jc w:val="center"/>
      </w:pPr>
      <w:r>
        <w:rPr>
          <w:rFonts w:ascii="Calibri" w:cs="Calibri" w:eastAsia="Calibri" w:hAnsi="Calibri"/>
          <w:b/>
          <w:bCs/>
          <w:i/>
          <w:iCs/>
          <w:color w:val="2C3E50"/>
          <w:sz w:val="20"/>
          <w:szCs w:val="20"/>
        </w:rPr>
        <w:t xml:space="preserve">Figure 3: </w:t>
      </w:r>
      <w:r>
        <w:rPr>
          <w:rFonts w:ascii="Calibri" w:cs="Calibri" w:eastAsia="Calibri" w:hAnsi="Calibri"/>
          <w:i/>
          <w:iCs/>
          <w:color w:val="666666"/>
          <w:sz w:val="20"/>
          <w:szCs w:val="20"/>
        </w:rPr>
        <w:t xml:space="preserve">Projected performance metrics for the proposed segmentation and classification models based on comparable studies.</w:t>
      </w:r>
    </w:p>
    <w:p>
      <w:pPr>
        <w:pBdr>
          <w:left w:val="single" w:color="2980B9" w:sz="8"/>
        </w:pBdr>
        <w:spacing w:after="140" w:before="320"/>
        <w:ind w:left="200"/>
      </w:pPr>
      <w:r>
        <w:rPr>
          <w:rFonts w:ascii="Calibri" w:cs="Calibri" w:eastAsia="Calibri" w:hAnsi="Calibri"/>
          <w:b/>
          <w:bCs/>
          <w:color w:val="8E44AD"/>
          <w:sz w:val="26"/>
          <w:szCs w:val="26"/>
        </w:rPr>
        <w:t xml:space="preserve">3.2 Anticipated Outcomes</w:t>
      </w:r>
    </w:p>
    <w:p>
      <w:pPr>
        <w:spacing w:after="180" w:before="0" w:line="360"/>
        <w:jc w:val="both"/>
      </w:pPr>
      <w:r>
        <w:rPr>
          <w:rFonts w:ascii="Calibri" w:cs="Calibri" w:eastAsia="Calibri" w:hAnsi="Calibri"/>
          <w:b w:val="false"/>
          <w:bCs w:val="false"/>
          <w:i w:val="false"/>
          <w:iCs w:val="false"/>
          <w:color w:val="2C3E50"/>
          <w:sz w:val="23"/>
          <w:szCs w:val="23"/>
        </w:rPr>
        <w:t xml:space="preserve">Based upon the reviewed literature and the characteristics of the CATCH dataset, the following outcomes are anticipated: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Outcome</w:t>
            </w:r>
          </w:p>
        </w:tc>
        <w:tc>
          <w:tcPr>
            <w:tcW w:type="pct" w:w="55%"/>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Description</w:t>
            </w:r>
          </w:p>
        </w:tc>
        <w:tc>
          <w:tcPr>
            <w:tcW w:type="pct" w:w="25%"/>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Expected Result</w:t>
            </w:r>
          </w:p>
        </w:tc>
      </w:tr>
      <w:tr>
        <w:tc>
          <w:tcPr>
            <w:vAlign w:val="center"/>
          </w:tcPr>
          <w:p>
            <w:pPr>
              <w:spacing w:after="40" w:before="40"/>
              <w:jc w:val="left"/>
            </w:pPr>
            <w:r>
              <w:rPr>
                <w:rFonts w:ascii="Calibri" w:cs="Calibri" w:eastAsia="Calibri" w:hAnsi="Calibri"/>
                <w:b/>
                <w:bCs/>
                <w:color w:val="8E44AD"/>
                <w:sz w:val="20"/>
                <w:szCs w:val="20"/>
              </w:rPr>
              <w:t xml:space="preserve">1. Segmentation
Accuracy</w:t>
            </w:r>
          </w:p>
        </w:tc>
        <w:tc>
          <w:tcPr>
            <w:vAlign w:val="center"/>
          </w:tcPr>
          <w:p>
            <w:pPr>
              <w:spacing w:after="40" w:before="40"/>
              <w:jc w:val="left"/>
            </w:pPr>
            <w:r>
              <w:rPr>
                <w:rFonts w:ascii="Calibri" w:cs="Calibri" w:eastAsia="Calibri" w:hAnsi="Calibri"/>
                <w:b w:val="false"/>
                <w:bCs w:val="false"/>
                <w:i w:val="false"/>
                <w:iCs w:val="false"/>
                <w:color w:val="2C3E50"/>
                <w:sz w:val="20"/>
                <w:szCs w:val="20"/>
              </w:rPr>
              <w:t xml:space="preserve">The U-Net models are expected to achieve a Dice Similarity Coefficient exceeding 0.85 for tumour region delineation, consistent with performance benchmarks reported in comparable histopathology segmentation studies.</w:t>
            </w:r>
          </w:p>
        </w:tc>
        <w:tc>
          <w:tcPr>
            <w:vAlign w:val="center"/>
          </w:tcPr>
          <w:p>
            <w:pPr>
              <w:spacing w:after="40" w:before="40"/>
              <w:jc w:val="left"/>
            </w:pPr>
            <w:r>
              <w:rPr>
                <w:rFonts w:ascii="Calibri" w:cs="Calibri" w:eastAsia="Calibri" w:hAnsi="Calibri"/>
                <w:b/>
                <w:bCs/>
                <w:color w:val="27AE60"/>
                <w:sz w:val="20"/>
                <w:szCs w:val="20"/>
              </w:rPr>
              <w:t xml:space="preserve">DSC &gt; 0.85</w:t>
            </w:r>
          </w:p>
        </w:tc>
      </w:tr>
      <w:tr>
        <w:tc>
          <w:tcPr>
            <w:vAlign w:val="center"/>
          </w:tcPr>
          <w:p>
            <w:pPr>
              <w:spacing w:after="40" w:before="40"/>
              <w:jc w:val="left"/>
            </w:pPr>
            <w:r>
              <w:rPr>
                <w:rFonts w:ascii="Calibri" w:cs="Calibri" w:eastAsia="Calibri" w:hAnsi="Calibri"/>
                <w:b/>
                <w:bCs/>
                <w:color w:val="8E44AD"/>
                <w:sz w:val="20"/>
                <w:szCs w:val="20"/>
              </w:rPr>
              <w:t xml:space="preserve">2. Classification
Performance</w:t>
            </w:r>
          </w:p>
        </w:tc>
        <w:tc>
          <w:tcPr>
            <w:vAlign w:val="center"/>
          </w:tcPr>
          <w:p>
            <w:pPr>
              <w:spacing w:after="40" w:before="40"/>
              <w:jc w:val="left"/>
            </w:pPr>
            <w:r>
              <w:rPr>
                <w:rFonts w:ascii="Calibri" w:cs="Calibri" w:eastAsia="Calibri" w:hAnsi="Calibri"/>
                <w:b w:val="false"/>
                <w:bCs w:val="false"/>
                <w:i w:val="false"/>
                <w:iCs w:val="false"/>
                <w:color w:val="2C3E50"/>
                <w:sz w:val="20"/>
                <w:szCs w:val="20"/>
              </w:rPr>
              <w:t xml:space="preserve">Transfer learning-based classifiers are expected to achieve multi-class classification accuracy of 85–92%, with EfficientNet-B3 anticipated to demonstrate superior efficiency owing to its compound scaling strategy.</w:t>
            </w:r>
          </w:p>
        </w:tc>
        <w:tc>
          <w:tcPr>
            <w:vAlign w:val="center"/>
          </w:tcPr>
          <w:p>
            <w:pPr>
              <w:spacing w:after="40" w:before="40"/>
              <w:jc w:val="left"/>
            </w:pPr>
            <w:r>
              <w:rPr>
                <w:rFonts w:ascii="Calibri" w:cs="Calibri" w:eastAsia="Calibri" w:hAnsi="Calibri"/>
                <w:b/>
                <w:bCs/>
                <w:color w:val="27AE60"/>
                <w:sz w:val="20"/>
                <w:szCs w:val="20"/>
              </w:rPr>
              <w:t xml:space="preserve">Accuracy 85–92%</w:t>
            </w:r>
          </w:p>
        </w:tc>
      </w:tr>
      <w:tr>
        <w:tc>
          <w:tcPr>
            <w:vAlign w:val="center"/>
          </w:tcPr>
          <w:p>
            <w:pPr>
              <w:spacing w:after="40" w:before="40"/>
              <w:jc w:val="left"/>
            </w:pPr>
            <w:r>
              <w:rPr>
                <w:rFonts w:ascii="Calibri" w:cs="Calibri" w:eastAsia="Calibri" w:hAnsi="Calibri"/>
                <w:b/>
                <w:bCs/>
                <w:color w:val="8E44AD"/>
                <w:sz w:val="20"/>
                <w:szCs w:val="20"/>
              </w:rPr>
              <w:t xml:space="preserve">3. Model
Interpretability</w:t>
            </w:r>
          </w:p>
        </w:tc>
        <w:tc>
          <w:tcPr>
            <w:vAlign w:val="center"/>
          </w:tcPr>
          <w:p>
            <w:pPr>
              <w:spacing w:after="40" w:before="40"/>
              <w:jc w:val="left"/>
            </w:pPr>
            <w:r>
              <w:rPr>
                <w:rFonts w:ascii="Calibri" w:cs="Calibri" w:eastAsia="Calibri" w:hAnsi="Calibri"/>
                <w:b w:val="false"/>
                <w:bCs w:val="false"/>
                <w:i w:val="false"/>
                <w:iCs w:val="false"/>
                <w:color w:val="2C3E50"/>
                <w:sz w:val="20"/>
                <w:szCs w:val="20"/>
              </w:rPr>
              <w:t xml:space="preserve">Grad-CAM visualisations are expected to reveal that the classification models attend to histologically meaningful features — such as melanin pigmentation patterns, nuclear morphology, and tissue architecture.</w:t>
            </w:r>
          </w:p>
        </w:tc>
        <w:tc>
          <w:tcPr>
            <w:vAlign w:val="center"/>
          </w:tcPr>
          <w:p>
            <w:pPr>
              <w:spacing w:after="40" w:before="40"/>
              <w:jc w:val="left"/>
            </w:pPr>
            <w:r>
              <w:rPr>
                <w:rFonts w:ascii="Calibri" w:cs="Calibri" w:eastAsia="Calibri" w:hAnsi="Calibri"/>
                <w:b/>
                <w:bCs/>
                <w:color w:val="27AE60"/>
                <w:sz w:val="20"/>
                <w:szCs w:val="20"/>
              </w:rPr>
              <w:t xml:space="preserve">Clinically relevant
attention maps</w:t>
            </w:r>
          </w:p>
        </w:tc>
      </w:tr>
      <w:tr>
        <w:tc>
          <w:tcPr>
            <w:vAlign w:val="center"/>
          </w:tcPr>
          <w:p>
            <w:pPr>
              <w:spacing w:after="40" w:before="40"/>
              <w:jc w:val="left"/>
            </w:pPr>
            <w:r>
              <w:rPr>
                <w:rFonts w:ascii="Calibri" w:cs="Calibri" w:eastAsia="Calibri" w:hAnsi="Calibri"/>
                <w:b/>
                <w:bCs/>
                <w:color w:val="8E44AD"/>
                <w:sz w:val="20"/>
                <w:szCs w:val="20"/>
              </w:rPr>
              <w:t xml:space="preserve">4. Comparative
Oncology Insights</w:t>
            </w:r>
          </w:p>
        </w:tc>
        <w:tc>
          <w:tcPr>
            <w:vAlign w:val="center"/>
          </w:tcPr>
          <w:p>
            <w:pPr>
              <w:spacing w:after="40" w:before="40"/>
              <w:jc w:val="left"/>
            </w:pPr>
            <w:r>
              <w:rPr>
                <w:rFonts w:ascii="Calibri" w:cs="Calibri" w:eastAsia="Calibri" w:hAnsi="Calibri"/>
                <w:b w:val="false"/>
                <w:bCs w:val="false"/>
                <w:i w:val="false"/>
                <w:iCs w:val="false"/>
                <w:color w:val="2C3E50"/>
                <w:sz w:val="20"/>
                <w:szCs w:val="20"/>
              </w:rPr>
              <w:t xml:space="preserve">Given the molecular parallels between canine and human non-UV-induced melanomas established by Gillard et al. (2014) and Prouteau and André (2019), the classification patterns and Grad-CAM attention regions are expected to highlight shared histological features — such as melanin distribution, mitotic index, and stromal invasion patterns — providing preliminary computational evidence supporting the translational value of canine melanoma as a model for human non-UV melanoma research.</w:t>
            </w:r>
          </w:p>
        </w:tc>
        <w:tc>
          <w:tcPr>
            <w:vAlign w:val="center"/>
          </w:tcPr>
          <w:p>
            <w:pPr>
              <w:spacing w:after="40" w:before="40"/>
              <w:jc w:val="left"/>
            </w:pPr>
            <w:r>
              <w:rPr>
                <w:rFonts w:ascii="Calibri" w:cs="Calibri" w:eastAsia="Calibri" w:hAnsi="Calibri"/>
                <w:b/>
                <w:bCs/>
                <w:color w:val="27AE60"/>
                <w:sz w:val="20"/>
                <w:szCs w:val="20"/>
              </w:rPr>
              <w:t xml:space="preserve">Cross-species
translational evidence</w:t>
            </w:r>
          </w:p>
        </w:tc>
      </w:tr>
    </w:tbl>
    <w:p>
      <w:pPr>
        <w:spacing w:after="250" w:before="100"/>
        <w:jc w:val="center"/>
      </w:pPr>
      <w:r>
        <w:rPr>
          <w:rFonts w:ascii="Calibri" w:cs="Calibri" w:eastAsia="Calibri" w:hAnsi="Calibri"/>
          <w:b/>
          <w:bCs/>
          <w:i/>
          <w:iCs/>
          <w:color w:val="2C3E50"/>
          <w:sz w:val="20"/>
          <w:szCs w:val="20"/>
        </w:rPr>
        <w:t xml:space="preserve">Figure : </w:t>
      </w:r>
      <w:r>
        <w:rPr>
          <w:rFonts w:ascii="Calibri" w:cs="Calibri" w:eastAsia="Calibri" w:hAnsi="Calibri"/>
          <w:i/>
          <w:iCs/>
          <w:color w:val="666666"/>
          <w:sz w:val="20"/>
          <w:szCs w:val="20"/>
        </w:rPr>
        <w:t xml:space="preserve">Table 2: Summary of anticipated outcomes with expected quantitative and qualitative results.</w:t>
      </w:r>
    </w:p>
    <w:p>
      <w:pPr>
        <w:pBdr>
          <w:left w:val="single" w:color="2980B9" w:sz="8"/>
        </w:pBdr>
        <w:spacing w:after="140" w:before="320"/>
        <w:ind w:left="200"/>
      </w:pPr>
      <w:r>
        <w:rPr>
          <w:rFonts w:ascii="Calibri" w:cs="Calibri" w:eastAsia="Calibri" w:hAnsi="Calibri"/>
          <w:b/>
          <w:bCs/>
          <w:color w:val="8E44AD"/>
          <w:sz w:val="26"/>
          <w:szCs w:val="26"/>
        </w:rPr>
        <w:t xml:space="preserve">3.3 Justification for the Research Approach</w:t>
      </w:r>
    </w:p>
    <w:p>
      <w:pPr>
        <w:spacing w:after="180" w:before="0" w:line="360"/>
        <w:jc w:val="both"/>
      </w:pPr>
      <w:r>
        <w:rPr>
          <w:rFonts w:ascii="Calibri" w:cs="Calibri" w:eastAsia="Calibri" w:hAnsi="Calibri"/>
          <w:color w:val="2C3E50"/>
          <w:sz w:val="23"/>
          <w:szCs w:val="23"/>
        </w:rPr>
        <w:t xml:space="preserve">The selection of U-Net for segmentation is grounded in its established efficacy in biomedical imaging contexts, where its skip-connection architecture demonstrates particular strength in preserving fine-grained spatial detail essential for accurate tumour delineation </w:t>
      </w:r>
      <w:r>
        <w:rPr>
          <w:rFonts w:ascii="Calibri" w:cs="Calibri" w:eastAsia="Calibri" w:hAnsi="Calibri"/>
          <w:color w:val="2C3E50"/>
          <w:sz w:val="23"/>
          <w:szCs w:val="23"/>
        </w:rPr>
      </w:r>
      <w:r>
        <w:rPr>
          <w:rFonts w:ascii="Calibri" w:cs="Calibri" w:eastAsia="Calibri" w:hAnsi="Calibri"/>
          <w:color w:val="2C3E50"/>
          <w:sz w:val="23"/>
          <w:szCs w:val="23"/>
        </w:rPr>
        <w:t xml:space="preserve">. The inclusion of Attention U-Net provides a controlled comparison to evaluate whether attention mechanisms yield statistically significant improvements in the specific context of canine cutaneous histopathology.</w:t>
      </w:r>
    </w:p>
    <w:p>
      <w:pPr>
        <w:spacing w:after="180" w:before="0" w:line="360"/>
        <w:jc w:val="both"/>
      </w:pPr>
      <w:r>
        <w:rPr>
          <w:rFonts w:ascii="Calibri" w:cs="Calibri" w:eastAsia="Calibri" w:hAnsi="Calibri"/>
          <w:color w:val="2C3E50"/>
          <w:sz w:val="23"/>
          <w:szCs w:val="23"/>
        </w:rPr>
        <w:t xml:space="preserve">ResNet-50 was selected for its proven track record in medical image classification and its residual learning framework, which mitigates the vanishing gradient problem in deep networks </w:t>
      </w:r>
      <w:r>
        <w:rPr>
          <w:rFonts w:ascii="Calibri" w:cs="Calibri" w:eastAsia="Calibri" w:hAnsi="Calibri"/>
          <w:color w:val="2C3E50"/>
          <w:sz w:val="23"/>
          <w:szCs w:val="23"/>
        </w:rPr>
      </w:r>
      <w:r>
        <w:rPr>
          <w:rFonts w:ascii="Calibri" w:cs="Calibri" w:eastAsia="Calibri" w:hAnsi="Calibri"/>
          <w:color w:val="2C3E50"/>
          <w:sz w:val="23"/>
          <w:szCs w:val="23"/>
        </w:rPr>
        <w:t xml:space="preserve">. EfficientNet-B3 was chosen as a complementary architecture due to its superior parameter efficiency, achieved through compound scaling of network width, depth, and resolution </w:t>
      </w:r>
      <w:r>
        <w:rPr>
          <w:rFonts w:ascii="Calibri" w:cs="Calibri" w:eastAsia="Calibri" w:hAnsi="Calibri"/>
          <w:color w:val="2C3E50"/>
          <w:sz w:val="23"/>
          <w:szCs w:val="23"/>
        </w:rPr>
      </w:r>
      <w:r>
        <w:rPr>
          <w:rFonts w:ascii="Calibri" w:cs="Calibri" w:eastAsia="Calibri" w:hAnsi="Calibri"/>
          <w:color w:val="2C3E50"/>
          <w:sz w:val="23"/>
          <w:szCs w:val="23"/>
        </w:rPr>
        <w:t xml:space="preserve">. Evaluating both architectures enables a rigorous comparison of classification approaches with differing computational profiles.</w:t>
      </w:r>
    </w:p>
    <w:p>
      <w:pPr>
        <w:spacing w:after="180" w:before="0" w:line="360"/>
        <w:jc w:val="both"/>
      </w:pPr>
      <w:r>
        <w:rPr>
          <w:rFonts w:ascii="Calibri" w:cs="Calibri" w:eastAsia="Calibri" w:hAnsi="Calibri"/>
          <w:color w:val="2C3E50"/>
          <w:sz w:val="23"/>
          <w:szCs w:val="23"/>
        </w:rPr>
        <w:t xml:space="preserve">Transfer learning is justified by the relatively modest size of the CATCH dataset (750 samples). Fine-tuning ImageNet-pretrained models has been shown to substantially outperform training from scratch in medical imaging settings with limited data availability </w:t>
      </w:r>
      <w:r>
        <w:rPr>
          <w:rFonts w:ascii="Calibri" w:cs="Calibri" w:eastAsia="Calibri" w:hAnsi="Calibri"/>
          <w:color w:val="2C3E50"/>
          <w:sz w:val="23"/>
          <w:szCs w:val="23"/>
        </w:rPr>
      </w:r>
      <w:r>
        <w:rPr>
          <w:rFonts w:ascii="Calibri" w:cs="Calibri" w:eastAsia="Calibri" w:hAnsi="Calibri"/>
          <w:color w:val="2C3E50"/>
          <w:sz w:val="23"/>
          <w:szCs w:val="23"/>
        </w:rPr>
        <w:t xml:space="preserve">. The progressive unfreezing strategy further safeguards against catastrophic forgetting of learned feature representations.</w:t>
      </w:r>
    </w:p>
    <w:p>
      <w:pPr>
        <w:spacing w:after="100"/>
      </w:pPr>
    </w:p>
    <w:p>
      <w:pPr>
        <w:spacing w:after="120"/>
        <w:jc w:val="center"/>
      </w:pPr>
      <w:r>
        <w:rPr>
          <w:rFonts w:ascii="Calibri" w:cs="Calibri" w:eastAsia="Calibri" w:hAnsi="Calibri"/>
          <w:b/>
          <w:bCs/>
          <w:color w:val="2C3E50"/>
          <w:sz w:val="22"/>
          <w:szCs w:val="22"/>
        </w:rPr>
        <w:t xml:space="preserve">Figure 5: Time Allocation Across Project Phases</w:t>
      </w:r>
    </w:p>
    <w:tbl>
      <w:tblPr>
        <w:tblW w:type="pct" w:w="70%"/>
        <w:jc w:val="center"/>
        <w:tblBorders>
          <w:top w:val="none"/>
          <w:left w:val="none"/>
          <w:bottom w:val="none"/>
          <w:right w:val="none"/>
          <w:insideH w:val="single" w:color="E8E8E8" w:sz="1"/>
          <w:insideV w:val="none"/>
        </w:tblBorders>
      </w:tblPr>
      <w:tblGrid>
        <w:gridCol w:w="100"/>
        <w:gridCol w:w="100"/>
        <w:gridCol w:w="100"/>
        <w:gridCol w:w="100"/>
      </w:tblGrid>
      <w:tr>
        <w:tc>
          <w:tcPr>
            <w:tcW w:type="pct" w:w="5%"/>
            <w:vAlign w:val="center"/>
          </w:tcPr>
          <w:p>
            <w:pPr>
              <w:spacing w:after="40" w:before="40"/>
              <w:jc w:val="center"/>
            </w:pPr>
            <w:r>
              <w:rPr>
                <w:rFonts w:ascii="Calibri" w:cs="Calibri" w:eastAsia="Calibri" w:hAnsi="Calibri"/>
                <w:b/>
                <w:bCs/>
                <w:i w:val="false"/>
                <w:iCs w:val="false"/>
                <w:color w:val="8E44AD"/>
                <w:sz w:val="28"/>
                <w:szCs w:val="28"/>
              </w:rPr>
              <w:t xml:space="preserve">■</w:t>
            </w:r>
          </w:p>
        </w:tc>
        <w:tc>
          <w:tcPr>
            <w:tcW w:type="pct" w:w="55%"/>
            <w:vAlign w:val="center"/>
          </w:tcPr>
          <w:p>
            <w:pPr>
              <w:spacing w:after="40" w:before="40"/>
              <w:jc w:val="left"/>
            </w:pPr>
            <w:r>
              <w:rPr>
                <w:rFonts w:ascii="Calibri" w:cs="Calibri" w:eastAsia="Calibri" w:hAnsi="Calibri"/>
                <w:b/>
                <w:bCs/>
                <w:i w:val="false"/>
                <w:iCs w:val="false"/>
                <w:color w:val="2C3E50"/>
                <w:sz w:val="21"/>
                <w:szCs w:val="21"/>
              </w:rPr>
              <w:t xml:space="preserve">Foundation (Weeks 1–3)</w:t>
            </w:r>
          </w:p>
        </w:tc>
        <w:tc>
          <w:tcPr>
            <w:tcW w:type="pct" w:w="25%"/>
            <w:shd w:color="8E44AD" w:val="solid"/>
            <w:vAlign w:val="center"/>
          </w:tcPr>
          <w:p>
            <w:pPr>
              <w:spacing w:after="40" w:before="40"/>
              <w:jc w:val="left"/>
            </w:pPr>
            <w:r>
              <w:rPr>
                <w:rFonts w:ascii="Calibri" w:cs="Calibri" w:eastAsia="Calibri" w:hAnsi="Calibri"/>
                <w:b w:val="false"/>
                <w:bCs w:val="false"/>
                <w:i w:val="false"/>
                <w:iCs w:val="false"/>
                <w:color w:val="2C3E50"/>
                <w:sz w:val="20"/>
                <w:szCs w:val="20"/>
              </w:rPr>
              <w:t xml:space="preserve"/>
            </w:r>
          </w:p>
        </w:tc>
        <w:tc>
          <w:tcPr>
            <w:tcW w:type="pct" w:w="15%"/>
            <w:vAlign w:val="center"/>
          </w:tcPr>
          <w:p>
            <w:pPr>
              <w:spacing w:after="40" w:before="40"/>
              <w:jc w:val="center"/>
            </w:pPr>
            <w:r>
              <w:rPr>
                <w:rFonts w:ascii="Calibri" w:cs="Calibri" w:eastAsia="Calibri" w:hAnsi="Calibri"/>
                <w:b/>
                <w:bCs/>
                <w:i w:val="false"/>
                <w:iCs w:val="false"/>
                <w:color w:val="8E44AD"/>
                <w:sz w:val="21"/>
                <w:szCs w:val="21"/>
              </w:rPr>
              <w:t xml:space="preserve">25%</w:t>
            </w:r>
          </w:p>
        </w:tc>
      </w:tr>
      <w:tr>
        <w:tc>
          <w:tcPr>
            <w:tcW w:type="pct" w:w="5%"/>
            <w:vAlign w:val="center"/>
          </w:tcPr>
          <w:p>
            <w:pPr>
              <w:spacing w:after="40" w:before="40"/>
              <w:jc w:val="center"/>
            </w:pPr>
            <w:r>
              <w:rPr>
                <w:rFonts w:ascii="Calibri" w:cs="Calibri" w:eastAsia="Calibri" w:hAnsi="Calibri"/>
                <w:b/>
                <w:bCs/>
                <w:i w:val="false"/>
                <w:iCs w:val="false"/>
                <w:color w:val="2980B9"/>
                <w:sz w:val="28"/>
                <w:szCs w:val="28"/>
              </w:rPr>
              <w:t xml:space="preserve">■</w:t>
            </w:r>
          </w:p>
        </w:tc>
        <w:tc>
          <w:tcPr>
            <w:tcW w:type="pct" w:w="55%"/>
            <w:vAlign w:val="center"/>
          </w:tcPr>
          <w:p>
            <w:pPr>
              <w:spacing w:after="40" w:before="40"/>
              <w:jc w:val="left"/>
            </w:pPr>
            <w:r>
              <w:rPr>
                <w:rFonts w:ascii="Calibri" w:cs="Calibri" w:eastAsia="Calibri" w:hAnsi="Calibri"/>
                <w:b/>
                <w:bCs/>
                <w:i w:val="false"/>
                <w:iCs w:val="false"/>
                <w:color w:val="2C3E50"/>
                <w:sz w:val="21"/>
                <w:szCs w:val="21"/>
              </w:rPr>
              <w:t xml:space="preserve">Model Development (Weeks 3–8)</w:t>
            </w:r>
          </w:p>
        </w:tc>
        <w:tc>
          <w:tcPr>
            <w:tcW w:type="pct" w:w="35%"/>
            <w:shd w:color="2980B9" w:val="solid"/>
            <w:vAlign w:val="center"/>
          </w:tcPr>
          <w:p>
            <w:pPr>
              <w:spacing w:after="40" w:before="40"/>
              <w:jc w:val="left"/>
            </w:pPr>
            <w:r>
              <w:rPr>
                <w:rFonts w:ascii="Calibri" w:cs="Calibri" w:eastAsia="Calibri" w:hAnsi="Calibri"/>
                <w:b w:val="false"/>
                <w:bCs w:val="false"/>
                <w:i w:val="false"/>
                <w:iCs w:val="false"/>
                <w:color w:val="2C3E50"/>
                <w:sz w:val="20"/>
                <w:szCs w:val="20"/>
              </w:rPr>
              <w:t xml:space="preserve"/>
            </w:r>
          </w:p>
        </w:tc>
        <w:tc>
          <w:tcPr>
            <w:tcW w:type="pct" w:w="15%"/>
            <w:vAlign w:val="center"/>
          </w:tcPr>
          <w:p>
            <w:pPr>
              <w:spacing w:after="40" w:before="40"/>
              <w:jc w:val="center"/>
            </w:pPr>
            <w:r>
              <w:rPr>
                <w:rFonts w:ascii="Calibri" w:cs="Calibri" w:eastAsia="Calibri" w:hAnsi="Calibri"/>
                <w:b/>
                <w:bCs/>
                <w:i w:val="false"/>
                <w:iCs w:val="false"/>
                <w:color w:val="2980B9"/>
                <w:sz w:val="21"/>
                <w:szCs w:val="21"/>
              </w:rPr>
              <w:t xml:space="preserve">35%</w:t>
            </w:r>
          </w:p>
        </w:tc>
      </w:tr>
      <w:tr>
        <w:tc>
          <w:tcPr>
            <w:tcW w:type="pct" w:w="5%"/>
            <w:vAlign w:val="center"/>
          </w:tcPr>
          <w:p>
            <w:pPr>
              <w:spacing w:after="40" w:before="40"/>
              <w:jc w:val="center"/>
            </w:pPr>
            <w:r>
              <w:rPr>
                <w:rFonts w:ascii="Calibri" w:cs="Calibri" w:eastAsia="Calibri" w:hAnsi="Calibri"/>
                <w:b/>
                <w:bCs/>
                <w:i w:val="false"/>
                <w:iCs w:val="false"/>
                <w:color w:val="27AE60"/>
                <w:sz w:val="28"/>
                <w:szCs w:val="28"/>
              </w:rPr>
              <w:t xml:space="preserve">■</w:t>
            </w:r>
          </w:p>
        </w:tc>
        <w:tc>
          <w:tcPr>
            <w:tcW w:type="pct" w:w="55%"/>
            <w:vAlign w:val="center"/>
          </w:tcPr>
          <w:p>
            <w:pPr>
              <w:spacing w:after="40" w:before="40"/>
              <w:jc w:val="left"/>
            </w:pPr>
            <w:r>
              <w:rPr>
                <w:rFonts w:ascii="Calibri" w:cs="Calibri" w:eastAsia="Calibri" w:hAnsi="Calibri"/>
                <w:b/>
                <w:bCs/>
                <w:i w:val="false"/>
                <w:iCs w:val="false"/>
                <w:color w:val="2C3E50"/>
                <w:sz w:val="21"/>
                <w:szCs w:val="21"/>
              </w:rPr>
              <w:t xml:space="preserve">Evaluation (Weeks 8–10)</w:t>
            </w:r>
          </w:p>
        </w:tc>
        <w:tc>
          <w:tcPr>
            <w:tcW w:type="pct" w:w="20%"/>
            <w:shd w:color="27AE60" w:val="solid"/>
            <w:vAlign w:val="center"/>
          </w:tcPr>
          <w:p>
            <w:pPr>
              <w:spacing w:after="40" w:before="40"/>
              <w:jc w:val="left"/>
            </w:pPr>
            <w:r>
              <w:rPr>
                <w:rFonts w:ascii="Calibri" w:cs="Calibri" w:eastAsia="Calibri" w:hAnsi="Calibri"/>
                <w:b w:val="false"/>
                <w:bCs w:val="false"/>
                <w:i w:val="false"/>
                <w:iCs w:val="false"/>
                <w:color w:val="2C3E50"/>
                <w:sz w:val="20"/>
                <w:szCs w:val="20"/>
              </w:rPr>
              <w:t xml:space="preserve"/>
            </w:r>
          </w:p>
        </w:tc>
        <w:tc>
          <w:tcPr>
            <w:tcW w:type="pct" w:w="15%"/>
            <w:vAlign w:val="center"/>
          </w:tcPr>
          <w:p>
            <w:pPr>
              <w:spacing w:after="40" w:before="40"/>
              <w:jc w:val="center"/>
            </w:pPr>
            <w:r>
              <w:rPr>
                <w:rFonts w:ascii="Calibri" w:cs="Calibri" w:eastAsia="Calibri" w:hAnsi="Calibri"/>
                <w:b/>
                <w:bCs/>
                <w:i w:val="false"/>
                <w:iCs w:val="false"/>
                <w:color w:val="27AE60"/>
                <w:sz w:val="21"/>
                <w:szCs w:val="21"/>
              </w:rPr>
              <w:t xml:space="preserve">20%</w:t>
            </w:r>
          </w:p>
        </w:tc>
      </w:tr>
      <w:tr>
        <w:tc>
          <w:tcPr>
            <w:tcW w:type="pct" w:w="5%"/>
            <w:vAlign w:val="center"/>
          </w:tcPr>
          <w:p>
            <w:pPr>
              <w:spacing w:after="40" w:before="40"/>
              <w:jc w:val="center"/>
            </w:pPr>
            <w:r>
              <w:rPr>
                <w:rFonts w:ascii="Calibri" w:cs="Calibri" w:eastAsia="Calibri" w:hAnsi="Calibri"/>
                <w:b/>
                <w:bCs/>
                <w:i w:val="false"/>
                <w:iCs w:val="false"/>
                <w:color w:val="E74C3C"/>
                <w:sz w:val="28"/>
                <w:szCs w:val="28"/>
              </w:rPr>
              <w:t xml:space="preserve">■</w:t>
            </w:r>
          </w:p>
        </w:tc>
        <w:tc>
          <w:tcPr>
            <w:tcW w:type="pct" w:w="55%"/>
            <w:vAlign w:val="center"/>
          </w:tcPr>
          <w:p>
            <w:pPr>
              <w:spacing w:after="40" w:before="40"/>
              <w:jc w:val="left"/>
            </w:pPr>
            <w:r>
              <w:rPr>
                <w:rFonts w:ascii="Calibri" w:cs="Calibri" w:eastAsia="Calibri" w:hAnsi="Calibri"/>
                <w:b/>
                <w:bCs/>
                <w:i w:val="false"/>
                <w:iCs w:val="false"/>
                <w:color w:val="2C3E50"/>
                <w:sz w:val="21"/>
                <w:szCs w:val="21"/>
              </w:rPr>
              <w:t xml:space="preserve">Documentation (Weeks 8–12)</w:t>
            </w:r>
          </w:p>
        </w:tc>
        <w:tc>
          <w:tcPr>
            <w:tcW w:type="pct" w:w="20%"/>
            <w:shd w:color="E74C3C" w:val="solid"/>
            <w:vAlign w:val="center"/>
          </w:tcPr>
          <w:p>
            <w:pPr>
              <w:spacing w:after="40" w:before="40"/>
              <w:jc w:val="left"/>
            </w:pPr>
            <w:r>
              <w:rPr>
                <w:rFonts w:ascii="Calibri" w:cs="Calibri" w:eastAsia="Calibri" w:hAnsi="Calibri"/>
                <w:b w:val="false"/>
                <w:bCs w:val="false"/>
                <w:i w:val="false"/>
                <w:iCs w:val="false"/>
                <w:color w:val="2C3E50"/>
                <w:sz w:val="20"/>
                <w:szCs w:val="20"/>
              </w:rPr>
              <w:t xml:space="preserve"/>
            </w:r>
          </w:p>
        </w:tc>
        <w:tc>
          <w:tcPr>
            <w:tcW w:type="pct" w:w="15%"/>
            <w:vAlign w:val="center"/>
          </w:tcPr>
          <w:p>
            <w:pPr>
              <w:spacing w:after="40" w:before="40"/>
              <w:jc w:val="center"/>
            </w:pPr>
            <w:r>
              <w:rPr>
                <w:rFonts w:ascii="Calibri" w:cs="Calibri" w:eastAsia="Calibri" w:hAnsi="Calibri"/>
                <w:b/>
                <w:bCs/>
                <w:i w:val="false"/>
                <w:iCs w:val="false"/>
                <w:color w:val="E74C3C"/>
                <w:sz w:val="21"/>
                <w:szCs w:val="21"/>
              </w:rPr>
              <w:t xml:space="preserve">20%</w:t>
            </w:r>
          </w:p>
        </w:tc>
      </w:tr>
    </w:tbl>
    <w:p>
      <w:pPr>
        <w:spacing w:after="250" w:before="100"/>
        <w:jc w:val="center"/>
      </w:pPr>
      <w:r>
        <w:rPr>
          <w:rFonts w:ascii="Calibri" w:cs="Calibri" w:eastAsia="Calibri" w:hAnsi="Calibri"/>
          <w:b/>
          <w:bCs/>
          <w:i/>
          <w:iCs/>
          <w:color w:val="2C3E50"/>
          <w:sz w:val="20"/>
          <w:szCs w:val="20"/>
        </w:rPr>
        <w:t xml:space="preserve">Figure 5: </w:t>
      </w:r>
      <w:r>
        <w:rPr>
          <w:rFonts w:ascii="Calibri" w:cs="Calibri" w:eastAsia="Calibri" w:hAnsi="Calibri"/>
          <w:i/>
          <w:iCs/>
          <w:color w:val="666666"/>
          <w:sz w:val="20"/>
          <w:szCs w:val="20"/>
        </w:rPr>
        <w:t xml:space="preserve">Proportional distribution of project effort across the four principal phases of the research timeline.</w:t>
      </w:r>
    </w:p>
    <w:p>
      <w:pPr>
        <w:spacing w:after="40" w:before="400"/>
      </w:pPr>
      <w:r>
        <w:rPr>
          <w:rFonts w:ascii="Calibri" w:cs="Calibri" w:eastAsia="Calibri" w:hAnsi="Calibri"/>
          <w:b/>
          <w:bCs/>
          <w:caps/>
          <w:color w:val="8E44AD"/>
          <w:sz w:val="20"/>
          <w:szCs w:val="20"/>
        </w:rPr>
        <w:t xml:space="preserve">Section D</w:t>
      </w:r>
    </w:p>
    <w:p>
      <w:pPr>
        <w:pBdr>
          <w:bottom w:val="single" w:color="8E44AD" w:sz="6"/>
        </w:pBdr>
        <w:spacing w:after="60"/>
      </w:pPr>
      <w:r>
        <w:rPr>
          <w:rFonts w:ascii="Calibri Light" w:cs="Calibri Light" w:eastAsia="Calibri Light" w:hAnsi="Calibri Light"/>
          <w:b/>
          <w:bCs/>
          <w:color w:val="2C3E50"/>
          <w:sz w:val="36"/>
          <w:szCs w:val="36"/>
        </w:rPr>
        <w:t xml:space="preserve">Timeline, Tasks, and Risk Assessment</w:t>
      </w:r>
    </w:p>
    <w:p>
      <w:pPr>
        <w:spacing w:after="150"/>
      </w:pPr>
    </w:p>
    <w:p>
      <w:pPr>
        <w:pBdr>
          <w:left w:val="single" w:color="2980B9" w:sz="8"/>
        </w:pBdr>
        <w:spacing w:after="140" w:before="320"/>
        <w:ind w:left="200"/>
      </w:pPr>
      <w:r>
        <w:rPr>
          <w:rFonts w:ascii="Calibri" w:cs="Calibri" w:eastAsia="Calibri" w:hAnsi="Calibri"/>
          <w:b/>
          <w:bCs/>
          <w:color w:val="8E44AD"/>
          <w:sz w:val="26"/>
          <w:szCs w:val="26"/>
        </w:rPr>
        <w:t xml:space="preserve">4.1 Project Timeline (Gantt Chart)</w:t>
      </w:r>
    </w:p>
    <w:p>
      <w:pPr>
        <w:spacing w:after="180" w:before="0" w:line="360"/>
        <w:jc w:val="both"/>
      </w:pPr>
      <w:r>
        <w:rPr>
          <w:rFonts w:ascii="Calibri" w:cs="Calibri" w:eastAsia="Calibri" w:hAnsi="Calibri"/>
          <w:b w:val="false"/>
          <w:bCs w:val="false"/>
          <w:i w:val="false"/>
          <w:iCs w:val="false"/>
          <w:color w:val="2C3E50"/>
          <w:sz w:val="23"/>
          <w:szCs w:val="23"/>
        </w:rPr>
        <w:t xml:space="preserve">The research will be conducted over a twelve-week period commencing on 26th May 2026 and concluding on 14th August 2026, with the final submission scheduled for 17th August 2026. The timeline has been structured to accommodate iterative model development cycles while incorporating contingency provisions for potential delays.</w:t>
      </w:r>
    </w:p>
    <w:p>
      <w:pPr>
        <w:spacing w:after="100"/>
      </w:pPr>
    </w:p>
    <w:p>
      <w:pPr>
        <w:spacing w:after="120"/>
        <w:jc w:val="center"/>
      </w:pPr>
      <w:r>
        <w:rPr>
          <w:rFonts w:ascii="Calibri" w:cs="Calibri" w:eastAsia="Calibri" w:hAnsi="Calibri"/>
          <w:b/>
          <w:bCs/>
          <w:color w:val="2C3E50"/>
          <w:sz w:val="22"/>
          <w:szCs w:val="22"/>
        </w:rPr>
        <w:t xml:space="preserve">Figure 4: Project Gantt Chart (Weeks 1–12)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tblGrid>
      <w:tr>
        <w:tc>
          <w:tcPr>
            <w:tcW w:type="pct" w:w="28%"/>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Task</w:t>
            </w:r>
          </w:p>
        </w:tc>
        <w:tc>
          <w:tcPr>
            <w:tcW w:type="pct" w:w="6%"/>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W1</w:t>
            </w:r>
          </w:p>
        </w:tc>
        <w:tc>
          <w:tcPr>
            <w:tcW w:type="pct" w:w="6%"/>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W2</w:t>
            </w:r>
          </w:p>
        </w:tc>
        <w:tc>
          <w:tcPr>
            <w:tcW w:type="pct" w:w="6%"/>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W3</w:t>
            </w:r>
          </w:p>
        </w:tc>
        <w:tc>
          <w:tcPr>
            <w:tcW w:type="pct" w:w="6%"/>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W4</w:t>
            </w:r>
          </w:p>
        </w:tc>
        <w:tc>
          <w:tcPr>
            <w:tcW w:type="pct" w:w="6%"/>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W5</w:t>
            </w:r>
          </w:p>
        </w:tc>
        <w:tc>
          <w:tcPr>
            <w:tcW w:type="pct" w:w="6%"/>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W6</w:t>
            </w:r>
          </w:p>
        </w:tc>
        <w:tc>
          <w:tcPr>
            <w:tcW w:type="pct" w:w="6%"/>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W7</w:t>
            </w:r>
          </w:p>
        </w:tc>
        <w:tc>
          <w:tcPr>
            <w:tcW w:type="pct" w:w="6%"/>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W8</w:t>
            </w:r>
          </w:p>
        </w:tc>
        <w:tc>
          <w:tcPr>
            <w:tcW w:type="pct" w:w="6%"/>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W9</w:t>
            </w:r>
          </w:p>
        </w:tc>
        <w:tc>
          <w:tcPr>
            <w:tcW w:type="pct" w:w="6%"/>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W10</w:t>
            </w:r>
          </w:p>
        </w:tc>
        <w:tc>
          <w:tcPr>
            <w:tcW w:type="pct" w:w="6%"/>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W11</w:t>
            </w:r>
          </w:p>
        </w:tc>
        <w:tc>
          <w:tcPr>
            <w:tcW w:type="pct" w:w="6%"/>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W12</w:t>
            </w:r>
          </w:p>
        </w:tc>
      </w:tr>
      <w:tr>
        <w:tc>
          <w:tcPr>
            <w:vAlign w:val="center"/>
          </w:tcPr>
          <w:p>
            <w:pPr>
              <w:spacing w:after="40" w:before="40"/>
              <w:jc w:val="left"/>
            </w:pPr>
            <w:r>
              <w:rPr>
                <w:rFonts w:ascii="Calibri" w:cs="Calibri" w:eastAsia="Calibri" w:hAnsi="Calibri"/>
                <w:b/>
                <w:bCs/>
                <w:i w:val="false"/>
                <w:iCs w:val="false"/>
                <w:color w:val="2C3E50"/>
                <w:sz w:val="17"/>
                <w:szCs w:val="17"/>
              </w:rPr>
              <w:t xml:space="preserve">Literature Review &amp; Refinement</w:t>
            </w:r>
          </w:p>
        </w:tc>
        <w:tc>
          <w:tcPr>
            <w:shd w:color="8E44AD"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8E44AD"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r>
      <w:tr>
        <w:tc>
          <w:tcPr>
            <w:vAlign w:val="center"/>
          </w:tcPr>
          <w:p>
            <w:pPr>
              <w:spacing w:after="40" w:before="40"/>
              <w:jc w:val="left"/>
            </w:pPr>
            <w:r>
              <w:rPr>
                <w:rFonts w:ascii="Calibri" w:cs="Calibri" w:eastAsia="Calibri" w:hAnsi="Calibri"/>
                <w:b/>
                <w:bCs/>
                <w:i w:val="false"/>
                <w:iCs w:val="false"/>
                <w:color w:val="2C3E50"/>
                <w:sz w:val="17"/>
                <w:szCs w:val="17"/>
              </w:rPr>
              <w:t xml:space="preserve">Data Acquisition &amp; Preprocessing</w:t>
            </w:r>
          </w:p>
        </w:tc>
        <w:tc>
          <w:tcPr>
            <w:shd w:color="2980B9"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2980B9"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2980B9"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r>
      <w:tr>
        <w:tc>
          <w:tcPr>
            <w:vAlign w:val="center"/>
          </w:tcPr>
          <w:p>
            <w:pPr>
              <w:spacing w:after="40" w:before="40"/>
              <w:jc w:val="left"/>
            </w:pPr>
            <w:r>
              <w:rPr>
                <w:rFonts w:ascii="Calibri" w:cs="Calibri" w:eastAsia="Calibri" w:hAnsi="Calibri"/>
                <w:b/>
                <w:bCs/>
                <w:i w:val="false"/>
                <w:iCs w:val="false"/>
                <w:color w:val="2C3E50"/>
                <w:sz w:val="17"/>
                <w:szCs w:val="17"/>
              </w:rPr>
              <w:t xml:space="preserve">Environment Setup &amp; Framework</w:t>
            </w:r>
          </w:p>
        </w:tc>
        <w:tc>
          <w:tcPr>
            <w:shd w:color="27AE60"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r>
      <w:tr>
        <w:tc>
          <w:tcPr>
            <w:vAlign w:val="center"/>
          </w:tcPr>
          <w:p>
            <w:pPr>
              <w:spacing w:after="40" w:before="40"/>
              <w:jc w:val="left"/>
            </w:pPr>
            <w:r>
              <w:rPr>
                <w:rFonts w:ascii="Calibri" w:cs="Calibri" w:eastAsia="Calibri" w:hAnsi="Calibri"/>
                <w:b/>
                <w:bCs/>
                <w:i w:val="false"/>
                <w:iCs w:val="false"/>
                <w:color w:val="2C3E50"/>
                <w:sz w:val="17"/>
                <w:szCs w:val="17"/>
              </w:rPr>
              <w:t xml:space="preserve">U-Net Segmentation Development</w:t>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8E44AD"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8E44AD"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8E44AD"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r>
      <w:tr>
        <w:tc>
          <w:tcPr>
            <w:vAlign w:val="center"/>
          </w:tcPr>
          <w:p>
            <w:pPr>
              <w:spacing w:after="40" w:before="40"/>
              <w:jc w:val="left"/>
            </w:pPr>
            <w:r>
              <w:rPr>
                <w:rFonts w:ascii="Calibri" w:cs="Calibri" w:eastAsia="Calibri" w:hAnsi="Calibri"/>
                <w:b/>
                <w:bCs/>
                <w:i w:val="false"/>
                <w:iCs w:val="false"/>
                <w:color w:val="2C3E50"/>
                <w:sz w:val="17"/>
                <w:szCs w:val="17"/>
              </w:rPr>
              <w:t xml:space="preserve">Attention U-Net Implementation</w:t>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E74C3C"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E74C3C"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r>
      <w:tr>
        <w:tc>
          <w:tcPr>
            <w:vAlign w:val="center"/>
          </w:tcPr>
          <w:p>
            <w:pPr>
              <w:spacing w:after="40" w:before="40"/>
              <w:jc w:val="left"/>
            </w:pPr>
            <w:r>
              <w:rPr>
                <w:rFonts w:ascii="Calibri" w:cs="Calibri" w:eastAsia="Calibri" w:hAnsi="Calibri"/>
                <w:b/>
                <w:bCs/>
                <w:i w:val="false"/>
                <w:iCs w:val="false"/>
                <w:color w:val="2C3E50"/>
                <w:sz w:val="17"/>
                <w:szCs w:val="17"/>
              </w:rPr>
              <w:t xml:space="preserve">ResNet-50 Classification</w:t>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2980B9"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2980B9"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r>
      <w:tr>
        <w:tc>
          <w:tcPr>
            <w:vAlign w:val="center"/>
          </w:tcPr>
          <w:p>
            <w:pPr>
              <w:spacing w:after="40" w:before="40"/>
              <w:jc w:val="left"/>
            </w:pPr>
            <w:r>
              <w:rPr>
                <w:rFonts w:ascii="Calibri" w:cs="Calibri" w:eastAsia="Calibri" w:hAnsi="Calibri"/>
                <w:b/>
                <w:bCs/>
                <w:i w:val="false"/>
                <w:iCs w:val="false"/>
                <w:color w:val="2C3E50"/>
                <w:sz w:val="17"/>
                <w:szCs w:val="17"/>
              </w:rPr>
              <w:t xml:space="preserve">EfficientNet-B3 Classification</w:t>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27AE60"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27AE60"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r>
      <w:tr>
        <w:tc>
          <w:tcPr>
            <w:vAlign w:val="center"/>
          </w:tcPr>
          <w:p>
            <w:pPr>
              <w:spacing w:after="40" w:before="40"/>
              <w:jc w:val="left"/>
            </w:pPr>
            <w:r>
              <w:rPr>
                <w:rFonts w:ascii="Calibri" w:cs="Calibri" w:eastAsia="Calibri" w:hAnsi="Calibri"/>
                <w:b/>
                <w:bCs/>
                <w:i w:val="false"/>
                <w:iCs w:val="false"/>
                <w:color w:val="2C3E50"/>
                <w:sz w:val="17"/>
                <w:szCs w:val="17"/>
              </w:rPr>
              <w:t xml:space="preserve">Evaluation &amp; Cross-Validation</w:t>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F39C12"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F39C12"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r>
      <w:tr>
        <w:tc>
          <w:tcPr>
            <w:vAlign w:val="center"/>
          </w:tcPr>
          <w:p>
            <w:pPr>
              <w:spacing w:after="40" w:before="40"/>
              <w:jc w:val="left"/>
            </w:pPr>
            <w:r>
              <w:rPr>
                <w:rFonts w:ascii="Calibri" w:cs="Calibri" w:eastAsia="Calibri" w:hAnsi="Calibri"/>
                <w:b/>
                <w:bCs/>
                <w:i w:val="false"/>
                <w:iCs w:val="false"/>
                <w:color w:val="2C3E50"/>
                <w:sz w:val="17"/>
                <w:szCs w:val="17"/>
              </w:rPr>
              <w:t xml:space="preserve">Grad-CAM &amp; Interpretability</w:t>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E74C3C"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r>
      <w:tr>
        <w:tc>
          <w:tcPr>
            <w:vAlign w:val="center"/>
          </w:tcPr>
          <w:p>
            <w:pPr>
              <w:spacing w:after="40" w:before="40"/>
              <w:jc w:val="left"/>
            </w:pPr>
            <w:r>
              <w:rPr>
                <w:rFonts w:ascii="Calibri" w:cs="Calibri" w:eastAsia="Calibri" w:hAnsi="Calibri"/>
                <w:b/>
                <w:bCs/>
                <w:i w:val="false"/>
                <w:iCs w:val="false"/>
                <w:color w:val="2C3E50"/>
                <w:sz w:val="17"/>
                <w:szCs w:val="17"/>
              </w:rPr>
              <w:t xml:space="preserve">Results Analysis &amp; Discussion</w:t>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8E44AD"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8E44AD"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r>
      <w:tr>
        <w:tc>
          <w:tcPr>
            <w:vAlign w:val="center"/>
          </w:tcPr>
          <w:p>
            <w:pPr>
              <w:spacing w:after="40" w:before="40"/>
              <w:jc w:val="left"/>
            </w:pPr>
            <w:r>
              <w:rPr>
                <w:rFonts w:ascii="Calibri" w:cs="Calibri" w:eastAsia="Calibri" w:hAnsi="Calibri"/>
                <w:b/>
                <w:bCs/>
                <w:i w:val="false"/>
                <w:iCs w:val="false"/>
                <w:color w:val="2C3E50"/>
                <w:sz w:val="17"/>
                <w:szCs w:val="17"/>
              </w:rPr>
              <w:t xml:space="preserve">Dissertation Writing</w:t>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2C3E50"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2C3E50"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2C3E50"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2C3E50"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r>
      <w:tr>
        <w:tc>
          <w:tcPr>
            <w:vAlign w:val="center"/>
          </w:tcPr>
          <w:p>
            <w:pPr>
              <w:spacing w:after="40" w:before="40"/>
              <w:jc w:val="left"/>
            </w:pPr>
            <w:r>
              <w:rPr>
                <w:rFonts w:ascii="Calibri" w:cs="Calibri" w:eastAsia="Calibri" w:hAnsi="Calibri"/>
                <w:b/>
                <w:bCs/>
                <w:i w:val="false"/>
                <w:iCs w:val="false"/>
                <w:color w:val="2C3E50"/>
                <w:sz w:val="17"/>
                <w:szCs w:val="17"/>
              </w:rPr>
              <w:t xml:space="preserve">Review, Revision &amp; Submission</w:t>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E74C3C"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E74C3C" w:val="solid"/>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r>
      <w:tr>
        <w:tc>
          <w:tcPr>
            <w:vAlign w:val="center"/>
          </w:tcPr>
          <w:p>
            <w:pPr>
              <w:spacing w:after="40" w:before="40"/>
              <w:jc w:val="left"/>
            </w:pPr>
            <w:r>
              <w:rPr>
                <w:rFonts w:ascii="Calibri" w:cs="Calibri" w:eastAsia="Calibri" w:hAnsi="Calibri"/>
                <w:b/>
                <w:bCs/>
                <w:color w:val="E74C3C"/>
                <w:sz w:val="20"/>
                <w:szCs w:val="20"/>
              </w:rPr>
              <w:t xml:space="preserve">★ Contingency Buffer</w:t>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vAlign w:val="center"/>
          </w:tcPr>
          <w:p>
            <w:pPr>
              <w:spacing w:after="40" w:before="40"/>
              <w:jc w:val="left"/>
            </w:pPr>
            <w:r>
              <w:rPr>
                <w:rFonts w:ascii="Calibri" w:cs="Calibri" w:eastAsia="Calibri" w:hAnsi="Calibri"/>
                <w:b w:val="false"/>
                <w:bCs w:val="false"/>
                <w:i w:val="false"/>
                <w:iCs w:val="false"/>
                <w:color w:val="2C3E50"/>
                <w:sz w:val="16"/>
                <w:szCs w:val="16"/>
              </w:rPr>
              <w:t xml:space="preserve"/>
            </w:r>
          </w:p>
        </w:tc>
        <w:tc>
          <w:tcPr>
            <w:shd w:color="FFF3E0" w:val="solid"/>
            <w:vAlign w:val="center"/>
          </w:tcPr>
          <w:p>
            <w:pPr>
              <w:spacing w:after="40" w:before="40"/>
              <w:jc w:val="center"/>
            </w:pPr>
            <w:r>
              <w:rPr>
                <w:rFonts w:ascii="Calibri" w:cs="Calibri" w:eastAsia="Calibri" w:hAnsi="Calibri"/>
                <w:b/>
                <w:bCs/>
                <w:i w:val="false"/>
                <w:iCs w:val="false"/>
                <w:color w:val="E74C3C"/>
                <w:sz w:val="16"/>
                <w:szCs w:val="16"/>
              </w:rPr>
              <w:t xml:space="preserve">BUFFER</w:t>
            </w:r>
          </w:p>
        </w:tc>
      </w:tr>
    </w:tbl>
    <w:p>
      <w:pPr>
        <w:spacing w:after="250" w:before="100"/>
        <w:jc w:val="center"/>
      </w:pPr>
      <w:r>
        <w:rPr>
          <w:rFonts w:ascii="Calibri" w:cs="Calibri" w:eastAsia="Calibri" w:hAnsi="Calibri"/>
          <w:b/>
          <w:bCs/>
          <w:i/>
          <w:iCs/>
          <w:color w:val="2C3E50"/>
          <w:sz w:val="20"/>
          <w:szCs w:val="20"/>
        </w:rPr>
        <w:t xml:space="preserve">Figure 4: </w:t>
      </w:r>
      <w:r>
        <w:rPr>
          <w:rFonts w:ascii="Calibri" w:cs="Calibri" w:eastAsia="Calibri" w:hAnsi="Calibri"/>
          <w:i/>
          <w:iCs/>
          <w:color w:val="666666"/>
          <w:sz w:val="20"/>
          <w:szCs w:val="20"/>
        </w:rPr>
        <w:t xml:space="preserve">Gantt chart illustrating the planned timeline for all project tasks across the twelve-week research period (26 May – 14 August 2026). Submission: 17 August 2026.</w:t>
      </w:r>
    </w:p>
    <w:p>
      <w:pPr>
        <w:pBdr>
          <w:left w:val="single" w:color="2980B9" w:sz="8"/>
        </w:pBdr>
        <w:spacing w:after="140" w:before="320"/>
        <w:ind w:left="200"/>
      </w:pPr>
      <w:r>
        <w:rPr>
          <w:rFonts w:ascii="Calibri" w:cs="Calibri" w:eastAsia="Calibri" w:hAnsi="Calibri"/>
          <w:b/>
          <w:bCs/>
          <w:color w:val="8E44AD"/>
          <w:sz w:val="26"/>
          <w:szCs w:val="26"/>
        </w:rPr>
        <w:t xml:space="preserve">4.2 Task Breakdown and Discussion</w:t>
      </w:r>
    </w:p>
    <w:p>
      <w:pPr>
        <w:spacing w:after="120" w:before="250"/>
      </w:pPr>
      <w:r>
        <w:rPr>
          <w:rFonts w:ascii="Calibri" w:cs="Calibri" w:eastAsia="Calibri" w:hAnsi="Calibri"/>
          <w:b/>
          <w:bCs/>
          <w:color w:val="2C3E50"/>
          <w:sz w:val="24"/>
          <w:szCs w:val="24"/>
        </w:rPr>
        <w:t xml:space="preserve">Phase 1: Foundation (Weeks 1–3)</w:t>
      </w:r>
    </w:p>
    <w:p>
      <w:pPr>
        <w:spacing w:after="180" w:before="0" w:line="360"/>
        <w:jc w:val="both"/>
      </w:pPr>
      <w:r>
        <w:rPr>
          <w:rFonts w:ascii="Calibri" w:cs="Calibri" w:eastAsia="Calibri" w:hAnsi="Calibri"/>
          <w:b w:val="false"/>
          <w:bCs w:val="false"/>
          <w:i w:val="false"/>
          <w:iCs w:val="false"/>
          <w:color w:val="2C3E50"/>
          <w:sz w:val="23"/>
          <w:szCs w:val="23"/>
        </w:rPr>
        <w:t xml:space="preserve">The initial phase establishes the research foundation. During Week 1, the computational environment will be configured, including the installation of PyTorch, CUDA-enabled GPU drivers, and auxiliary libraries (OpenSlide, Albumentations, scikit-learn). Concurrently, the literature review will be refined to incorporate the most recent publications. Weeks 1–3 will encompass the complete data acquisition and preprocessing pipeline: downloading the CATCH dataset from TCIA, performing quality assessment of whole-slide images, applying Macenko stain normalisation, and extracting annotated patches at multiple resolutions. This phase is critical, as the quality of preprocessing directly impacts all subsequent model performance. Approximately 40 hours of computational time have been allocated for patch extraction from 750 whole-slide images.</w:t>
      </w:r>
    </w:p>
    <w:p>
      <w:pPr>
        <w:spacing w:after="120" w:before="250"/>
      </w:pPr>
      <w:r>
        <w:rPr>
          <w:rFonts w:ascii="Calibri" w:cs="Calibri" w:eastAsia="Calibri" w:hAnsi="Calibri"/>
          <w:b/>
          <w:bCs/>
          <w:color w:val="2C3E50"/>
          <w:sz w:val="24"/>
          <w:szCs w:val="24"/>
        </w:rPr>
        <w:t xml:space="preserve">Phase 2: Model Development (Weeks 3–8)</w:t>
      </w:r>
    </w:p>
    <w:p>
      <w:pPr>
        <w:spacing w:after="180" w:before="0" w:line="360"/>
        <w:jc w:val="both"/>
      </w:pPr>
      <w:r>
        <w:rPr>
          <w:rFonts w:ascii="Calibri" w:cs="Calibri" w:eastAsia="Calibri" w:hAnsi="Calibri"/>
          <w:b w:val="false"/>
          <w:bCs w:val="false"/>
          <w:i w:val="false"/>
          <w:iCs w:val="false"/>
          <w:color w:val="2C3E50"/>
          <w:sz w:val="23"/>
          <w:szCs w:val="23"/>
        </w:rPr>
        <w:t xml:space="preserve">The development phase represents the core of the research programme. Weeks 3–5 will focus on implementing and training the U-Net segmentation model, beginning with baseline architecture before incorporating the ResNet-34 encoder. Hyperparameter optimisation will proceed iteratively, with training monitored via TensorBoard for loss convergence and validation metrics. The Attention U-Net variant will be implemented during Weeks 5–6. Classification model development commences in Week 6 with ResNet-50, followed by EfficientNet-B3 in Weeks 7–8. Each model will require approximately 8–12 hours of GPU training time per epoch configuration, justifying the two-week allocation per architecture. Progressive unfreezing schedules will be documented meticulously for reproducibility.</w:t>
      </w:r>
    </w:p>
    <w:p>
      <w:pPr>
        <w:spacing w:after="120" w:before="250"/>
      </w:pPr>
      <w:r>
        <w:rPr>
          <w:rFonts w:ascii="Calibri" w:cs="Calibri" w:eastAsia="Calibri" w:hAnsi="Calibri"/>
          <w:b/>
          <w:bCs/>
          <w:color w:val="2C3E50"/>
          <w:sz w:val="24"/>
          <w:szCs w:val="24"/>
        </w:rPr>
        <w:t xml:space="preserve">Phase 3: Evaluation and Analysis (Weeks 8–10)</w:t>
      </w:r>
    </w:p>
    <w:p>
      <w:pPr>
        <w:spacing w:after="180" w:before="0" w:line="360"/>
        <w:jc w:val="both"/>
      </w:pPr>
      <w:r>
        <w:rPr>
          <w:rFonts w:ascii="Calibri" w:cs="Calibri" w:eastAsia="Calibri" w:hAnsi="Calibri"/>
          <w:b w:val="false"/>
          <w:bCs w:val="false"/>
          <w:i w:val="false"/>
          <w:iCs w:val="false"/>
          <w:color w:val="2C3E50"/>
          <w:sz w:val="23"/>
          <w:szCs w:val="23"/>
        </w:rPr>
        <w:t xml:space="preserve">Weeks 8–9 will be dedicated to comprehensive model evaluation through five-fold cross-validation, computation of performance metrics, generation of confusion matrices, and statistical significance testing (McNemar's test) to compare architectures. Grad-CAM visualisations will be produced during Week 9 to assess model interpretability. Weeks 9–10 will focus on results analysis, contextualising findings within the comparative oncology literature and drawing connections between observed classification patterns and established histopathological features.</w:t>
      </w:r>
    </w:p>
    <w:p>
      <w:pPr>
        <w:spacing w:after="120" w:before="250"/>
      </w:pPr>
      <w:r>
        <w:rPr>
          <w:rFonts w:ascii="Calibri" w:cs="Calibri" w:eastAsia="Calibri" w:hAnsi="Calibri"/>
          <w:b/>
          <w:bCs/>
          <w:color w:val="2C3E50"/>
          <w:sz w:val="24"/>
          <w:szCs w:val="24"/>
        </w:rPr>
        <w:t xml:space="preserve">Phase 4: Documentation and Submission (Weeks 8–12)</w:t>
      </w:r>
    </w:p>
    <w:p>
      <w:pPr>
        <w:spacing w:after="180" w:before="0" w:line="360"/>
        <w:jc w:val="both"/>
      </w:pPr>
      <w:r>
        <w:rPr>
          <w:rFonts w:ascii="Calibri" w:cs="Calibri" w:eastAsia="Calibri" w:hAnsi="Calibri"/>
          <w:b w:val="false"/>
          <w:bCs w:val="false"/>
          <w:i w:val="false"/>
          <w:iCs w:val="false"/>
          <w:color w:val="2C3E50"/>
          <w:sz w:val="23"/>
          <w:szCs w:val="23"/>
        </w:rPr>
        <w:t xml:space="preserve">Dissertation writing will commence during Week 8, running in parallel with the evaluation phase to maintain momentum. The introduction, background, and methodology chapters will be drafted first, followed by results and discussion sections as experimental outcomes are finalised. Weeks 11–12 are reserved for comprehensive revision, supervisor feedback incorporation, proofreading, and formatting. Week 12 includes a dedicated contingency buffer to accommodate any unforeseen delays.</w:t>
      </w:r>
    </w:p>
    <w:p>
      <w:pPr>
        <w:pBdr>
          <w:left w:val="single" w:color="2980B9" w:sz="8"/>
        </w:pBdr>
        <w:spacing w:after="140" w:before="320"/>
        <w:ind w:left="200"/>
      </w:pPr>
      <w:r>
        <w:rPr>
          <w:rFonts w:ascii="Calibri" w:cs="Calibri" w:eastAsia="Calibri" w:hAnsi="Calibri"/>
          <w:b/>
          <w:bCs/>
          <w:color w:val="8E44AD"/>
          <w:sz w:val="26"/>
          <w:szCs w:val="26"/>
        </w:rPr>
        <w:t xml:space="preserve">4.3 Risk Assessment and Contingency Planning</w:t>
      </w:r>
    </w:p>
    <w:p>
      <w:pPr>
        <w:spacing w:after="180" w:before="0" w:line="360"/>
        <w:jc w:val="both"/>
      </w:pPr>
      <w:r>
        <w:rPr>
          <w:rFonts w:ascii="Calibri" w:cs="Calibri" w:eastAsia="Calibri" w:hAnsi="Calibri"/>
          <w:b w:val="false"/>
          <w:bCs w:val="false"/>
          <w:i w:val="false"/>
          <w:iCs w:val="false"/>
          <w:color w:val="2C3E50"/>
          <w:sz w:val="23"/>
          <w:szCs w:val="23"/>
        </w:rPr>
        <w:t xml:space="preserve">A comprehensive risk assessment has been conducted to identify potential impediments to the project timeline and to establish appropriate mitigation strategies. The following table summarises the key risks, their assessed likelihood and impact, and the proposed contingency measures.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Risk</w:t>
            </w:r>
          </w:p>
        </w:tc>
        <w:tc>
          <w:tcPr>
            <w:tcW w:type="pct" w:w="12%"/>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Likelihood</w:t>
            </w:r>
          </w:p>
        </w:tc>
        <w:tc>
          <w:tcPr>
            <w:tcW w:type="pct" w:w="10%"/>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Impact</w:t>
            </w:r>
          </w:p>
        </w:tc>
        <w:tc>
          <w:tcPr>
            <w:tcW w:type="pct" w:w="56%"/>
            <w:shd w:color="2C3E50" w:val="solid"/>
            <w:vAlign w:val="center"/>
          </w:tcPr>
          <w:p>
            <w:pPr>
              <w:spacing w:after="40" w:before="40"/>
              <w:jc w:val="center"/>
            </w:pPr>
            <w:r>
              <w:rPr>
                <w:rFonts w:ascii="Calibri" w:cs="Calibri" w:eastAsia="Calibri" w:hAnsi="Calibri"/>
                <w:b/>
                <w:bCs/>
                <w:i w:val="false"/>
                <w:iCs w:val="false"/>
                <w:color w:val="FFFFFF"/>
                <w:sz w:val="20"/>
                <w:szCs w:val="20"/>
              </w:rPr>
              <w:t xml:space="preserve">Contingency Strategy</w:t>
            </w:r>
          </w:p>
        </w:tc>
      </w:tr>
      <w:tr>
        <w:tc>
          <w:tcPr>
            <w:vAlign w:val="center"/>
          </w:tcPr>
          <w:p>
            <w:pPr>
              <w:spacing w:after="40" w:before="40"/>
              <w:jc w:val="left"/>
            </w:pPr>
            <w:r>
              <w:rPr>
                <w:rFonts w:ascii="Calibri" w:cs="Calibri" w:eastAsia="Calibri" w:hAnsi="Calibri"/>
                <w:b/>
                <w:bCs/>
                <w:color w:val="2C3E50"/>
                <w:sz w:val="20"/>
                <w:szCs w:val="20"/>
              </w:rPr>
              <w:t xml:space="preserve">Insufficient GPU
Resources</w:t>
            </w:r>
          </w:p>
        </w:tc>
        <w:tc>
          <w:tcPr>
            <w:vAlign w:val="center"/>
          </w:tcPr>
          <w:p>
            <w:pPr>
              <w:spacing w:after="40" w:before="40"/>
              <w:jc w:val="center"/>
            </w:pPr>
            <w:r>
              <w:rPr>
                <w:rFonts w:ascii="Calibri" w:cs="Calibri" w:eastAsia="Calibri" w:hAnsi="Calibri"/>
                <w:b/>
                <w:bCs/>
                <w:color w:val="F39C12"/>
                <w:sz w:val="20"/>
                <w:szCs w:val="20"/>
              </w:rPr>
              <w:t xml:space="preserve">Medium</w:t>
            </w:r>
          </w:p>
        </w:tc>
        <w:tc>
          <w:tcPr>
            <w:vAlign w:val="center"/>
          </w:tcPr>
          <w:p>
            <w:pPr>
              <w:spacing w:after="40" w:before="40"/>
              <w:jc w:val="center"/>
            </w:pPr>
            <w:r>
              <w:rPr>
                <w:rFonts w:ascii="Calibri" w:cs="Calibri" w:eastAsia="Calibri" w:hAnsi="Calibri"/>
                <w:b/>
                <w:bCs/>
                <w:color w:val="E74C3C"/>
                <w:sz w:val="20"/>
                <w:szCs w:val="20"/>
              </w:rPr>
              <w:t xml:space="preserve">High</w:t>
            </w:r>
          </w:p>
        </w:tc>
        <w:tc>
          <w:tcPr>
            <w:vAlign w:val="center"/>
          </w:tcPr>
          <w:p>
            <w:pPr>
              <w:spacing w:after="40" w:before="40"/>
              <w:jc w:val="left"/>
            </w:pPr>
            <w:r>
              <w:rPr>
                <w:rFonts w:ascii="Calibri" w:cs="Calibri" w:eastAsia="Calibri" w:hAnsi="Calibri"/>
                <w:b w:val="false"/>
                <w:bCs w:val="false"/>
                <w:i w:val="false"/>
                <w:iCs w:val="false"/>
                <w:color w:val="2C3E50"/>
                <w:sz w:val="20"/>
                <w:szCs w:val="20"/>
              </w:rPr>
              <w:t xml:space="preserve">Google Colab Pro and university HPC cluster have been identified as alternative compute resources. Model architectures can be scaled down (e.g., EfficientNet-B0 instead of B3) to reduce training time if necessary.</w:t>
            </w:r>
          </w:p>
        </w:tc>
      </w:tr>
      <w:tr>
        <w:tc>
          <w:tcPr>
            <w:vAlign w:val="center"/>
          </w:tcPr>
          <w:p>
            <w:pPr>
              <w:spacing w:after="40" w:before="40"/>
              <w:jc w:val="left"/>
            </w:pPr>
            <w:r>
              <w:rPr>
                <w:rFonts w:ascii="Calibri" w:cs="Calibri" w:eastAsia="Calibri" w:hAnsi="Calibri"/>
                <w:b/>
                <w:bCs/>
                <w:color w:val="2C3E50"/>
                <w:sz w:val="20"/>
                <w:szCs w:val="20"/>
              </w:rPr>
              <w:t xml:space="preserve">Data Quality
Issues</w:t>
            </w:r>
          </w:p>
        </w:tc>
        <w:tc>
          <w:tcPr>
            <w:vAlign w:val="center"/>
          </w:tcPr>
          <w:p>
            <w:pPr>
              <w:spacing w:after="40" w:before="40"/>
              <w:jc w:val="center"/>
            </w:pPr>
            <w:r>
              <w:rPr>
                <w:rFonts w:ascii="Calibri" w:cs="Calibri" w:eastAsia="Calibri" w:hAnsi="Calibri"/>
                <w:b/>
                <w:bCs/>
                <w:color w:val="27AE60"/>
                <w:sz w:val="20"/>
                <w:szCs w:val="20"/>
              </w:rPr>
              <w:t xml:space="preserve">Low</w:t>
            </w:r>
          </w:p>
        </w:tc>
        <w:tc>
          <w:tcPr>
            <w:vAlign w:val="center"/>
          </w:tcPr>
          <w:p>
            <w:pPr>
              <w:spacing w:after="40" w:before="40"/>
              <w:jc w:val="center"/>
            </w:pPr>
            <w:r>
              <w:rPr>
                <w:rFonts w:ascii="Calibri" w:cs="Calibri" w:eastAsia="Calibri" w:hAnsi="Calibri"/>
                <w:b/>
                <w:bCs/>
                <w:color w:val="F39C12"/>
                <w:sz w:val="20"/>
                <w:szCs w:val="20"/>
              </w:rPr>
              <w:t xml:space="preserve">Medium</w:t>
            </w:r>
          </w:p>
        </w:tc>
        <w:tc>
          <w:tcPr>
            <w:vAlign w:val="center"/>
          </w:tcPr>
          <w:p>
            <w:pPr>
              <w:spacing w:after="40" w:before="40"/>
              <w:jc w:val="left"/>
            </w:pPr>
            <w:r>
              <w:rPr>
                <w:rFonts w:ascii="Calibri" w:cs="Calibri" w:eastAsia="Calibri" w:hAnsi="Calibri"/>
                <w:b w:val="false"/>
                <w:bCs w:val="false"/>
                <w:i w:val="false"/>
                <w:iCs w:val="false"/>
                <w:color w:val="2C3E50"/>
                <w:sz w:val="20"/>
                <w:szCs w:val="20"/>
              </w:rPr>
              <w:t xml:space="preserve">The CATCH dataset has been curated by board-certified pathologists. Any corrupted or ambiguous slides will be flagged during preprocessing and excluded with documented justification.</w:t>
            </w:r>
          </w:p>
        </w:tc>
      </w:tr>
      <w:tr>
        <w:tc>
          <w:tcPr>
            <w:vAlign w:val="center"/>
          </w:tcPr>
          <w:p>
            <w:pPr>
              <w:spacing w:after="40" w:before="40"/>
              <w:jc w:val="left"/>
            </w:pPr>
            <w:r>
              <w:rPr>
                <w:rFonts w:ascii="Calibri" w:cs="Calibri" w:eastAsia="Calibri" w:hAnsi="Calibri"/>
                <w:b/>
                <w:bCs/>
                <w:color w:val="2C3E50"/>
                <w:sz w:val="20"/>
                <w:szCs w:val="20"/>
              </w:rPr>
              <w:t xml:space="preserve">Class
Imbalance</w:t>
            </w:r>
          </w:p>
        </w:tc>
        <w:tc>
          <w:tcPr>
            <w:vAlign w:val="center"/>
          </w:tcPr>
          <w:p>
            <w:pPr>
              <w:spacing w:after="40" w:before="40"/>
              <w:jc w:val="center"/>
            </w:pPr>
            <w:r>
              <w:rPr>
                <w:rFonts w:ascii="Calibri" w:cs="Calibri" w:eastAsia="Calibri" w:hAnsi="Calibri"/>
                <w:b/>
                <w:bCs/>
                <w:color w:val="E74C3C"/>
                <w:sz w:val="20"/>
                <w:szCs w:val="20"/>
              </w:rPr>
              <w:t xml:space="preserve">High</w:t>
            </w:r>
          </w:p>
        </w:tc>
        <w:tc>
          <w:tcPr>
            <w:vAlign w:val="center"/>
          </w:tcPr>
          <w:p>
            <w:pPr>
              <w:spacing w:after="40" w:before="40"/>
              <w:jc w:val="center"/>
            </w:pPr>
            <w:r>
              <w:rPr>
                <w:rFonts w:ascii="Calibri" w:cs="Calibri" w:eastAsia="Calibri" w:hAnsi="Calibri"/>
                <w:b/>
                <w:bCs/>
                <w:color w:val="F39C12"/>
                <w:sz w:val="20"/>
                <w:szCs w:val="20"/>
              </w:rPr>
              <w:t xml:space="preserve">Medium</w:t>
            </w:r>
          </w:p>
        </w:tc>
        <w:tc>
          <w:tcPr>
            <w:vAlign w:val="center"/>
          </w:tcPr>
          <w:p>
            <w:pPr>
              <w:spacing w:after="40" w:before="40"/>
              <w:jc w:val="left"/>
            </w:pPr>
            <w:r>
              <w:rPr>
                <w:rFonts w:ascii="Calibri" w:cs="Calibri" w:eastAsia="Calibri" w:hAnsi="Calibri"/>
                <w:b w:val="false"/>
                <w:bCs w:val="false"/>
                <w:i w:val="false"/>
                <w:iCs w:val="false"/>
                <w:color w:val="2C3E50"/>
                <w:sz w:val="20"/>
                <w:szCs w:val="20"/>
              </w:rPr>
              <w:t xml:space="preserve">Oversampling (SMOTE), class-weighted loss functions, and augmentation of minority classes will be employed. Evaluation metrics (macro F1, AUC-ROC) inherently account for imbalanced distributions.</w:t>
            </w:r>
          </w:p>
        </w:tc>
      </w:tr>
      <w:tr>
        <w:tc>
          <w:tcPr>
            <w:vAlign w:val="center"/>
          </w:tcPr>
          <w:p>
            <w:pPr>
              <w:spacing w:after="40" w:before="40"/>
              <w:jc w:val="left"/>
            </w:pPr>
            <w:r>
              <w:rPr>
                <w:rFonts w:ascii="Calibri" w:cs="Calibri" w:eastAsia="Calibri" w:hAnsi="Calibri"/>
                <w:b/>
                <w:bCs/>
                <w:color w:val="2C3E50"/>
                <w:sz w:val="20"/>
                <w:szCs w:val="20"/>
              </w:rPr>
              <w:t xml:space="preserve">Model
Overfitting</w:t>
            </w:r>
          </w:p>
        </w:tc>
        <w:tc>
          <w:tcPr>
            <w:vAlign w:val="center"/>
          </w:tcPr>
          <w:p>
            <w:pPr>
              <w:spacing w:after="40" w:before="40"/>
              <w:jc w:val="center"/>
            </w:pPr>
            <w:r>
              <w:rPr>
                <w:rFonts w:ascii="Calibri" w:cs="Calibri" w:eastAsia="Calibri" w:hAnsi="Calibri"/>
                <w:b/>
                <w:bCs/>
                <w:color w:val="F39C12"/>
                <w:sz w:val="20"/>
                <w:szCs w:val="20"/>
              </w:rPr>
              <w:t xml:space="preserve">Medium</w:t>
            </w:r>
          </w:p>
        </w:tc>
        <w:tc>
          <w:tcPr>
            <w:vAlign w:val="center"/>
          </w:tcPr>
          <w:p>
            <w:pPr>
              <w:spacing w:after="40" w:before="40"/>
              <w:jc w:val="center"/>
            </w:pPr>
            <w:r>
              <w:rPr>
                <w:rFonts w:ascii="Calibri" w:cs="Calibri" w:eastAsia="Calibri" w:hAnsi="Calibri"/>
                <w:b/>
                <w:bCs/>
                <w:color w:val="F39C12"/>
                <w:sz w:val="20"/>
                <w:szCs w:val="20"/>
              </w:rPr>
              <w:t xml:space="preserve">Medium</w:t>
            </w:r>
          </w:p>
        </w:tc>
        <w:tc>
          <w:tcPr>
            <w:vAlign w:val="center"/>
          </w:tcPr>
          <w:p>
            <w:pPr>
              <w:spacing w:after="40" w:before="40"/>
              <w:jc w:val="left"/>
            </w:pPr>
            <w:r>
              <w:rPr>
                <w:rFonts w:ascii="Calibri" w:cs="Calibri" w:eastAsia="Calibri" w:hAnsi="Calibri"/>
                <w:b w:val="false"/>
                <w:bCs w:val="false"/>
                <w:i w:val="false"/>
                <w:iCs w:val="false"/>
                <w:color w:val="2C3E50"/>
                <w:sz w:val="20"/>
                <w:szCs w:val="20"/>
              </w:rPr>
              <w:t xml:space="preserve">Regularisation techniques (dropout, weight decay, early stopping) and five-fold cross-validation will mitigate overfitting. Data augmentation further reduces this risk.</w:t>
            </w:r>
          </w:p>
        </w:tc>
      </w:tr>
      <w:tr>
        <w:tc>
          <w:tcPr>
            <w:vAlign w:val="center"/>
          </w:tcPr>
          <w:p>
            <w:pPr>
              <w:spacing w:after="40" w:before="40"/>
              <w:jc w:val="left"/>
            </w:pPr>
            <w:r>
              <w:rPr>
                <w:rFonts w:ascii="Calibri" w:cs="Calibri" w:eastAsia="Calibri" w:hAnsi="Calibri"/>
                <w:b/>
                <w:bCs/>
                <w:color w:val="2C3E50"/>
                <w:sz w:val="20"/>
                <w:szCs w:val="20"/>
              </w:rPr>
              <w:t xml:space="preserve">Extended Training
Duration</w:t>
            </w:r>
          </w:p>
        </w:tc>
        <w:tc>
          <w:tcPr>
            <w:vAlign w:val="center"/>
          </w:tcPr>
          <w:p>
            <w:pPr>
              <w:spacing w:after="40" w:before="40"/>
              <w:jc w:val="center"/>
            </w:pPr>
            <w:r>
              <w:rPr>
                <w:rFonts w:ascii="Calibri" w:cs="Calibri" w:eastAsia="Calibri" w:hAnsi="Calibri"/>
                <w:b/>
                <w:bCs/>
                <w:color w:val="F39C12"/>
                <w:sz w:val="20"/>
                <w:szCs w:val="20"/>
              </w:rPr>
              <w:t xml:space="preserve">Medium</w:t>
            </w:r>
          </w:p>
        </w:tc>
        <w:tc>
          <w:tcPr>
            <w:vAlign w:val="center"/>
          </w:tcPr>
          <w:p>
            <w:pPr>
              <w:spacing w:after="40" w:before="40"/>
              <w:jc w:val="center"/>
            </w:pPr>
            <w:r>
              <w:rPr>
                <w:rFonts w:ascii="Calibri" w:cs="Calibri" w:eastAsia="Calibri" w:hAnsi="Calibri"/>
                <w:b/>
                <w:bCs/>
                <w:color w:val="F39C12"/>
                <w:sz w:val="20"/>
                <w:szCs w:val="20"/>
              </w:rPr>
              <w:t xml:space="preserve">Medium</w:t>
            </w:r>
          </w:p>
        </w:tc>
        <w:tc>
          <w:tcPr>
            <w:vAlign w:val="center"/>
          </w:tcPr>
          <w:p>
            <w:pPr>
              <w:spacing w:after="40" w:before="40"/>
              <w:jc w:val="left"/>
            </w:pPr>
            <w:r>
              <w:rPr>
                <w:rFonts w:ascii="Calibri" w:cs="Calibri" w:eastAsia="Calibri" w:hAnsi="Calibri"/>
                <w:b w:val="false"/>
                <w:bCs w:val="false"/>
                <w:i w:val="false"/>
                <w:iCs w:val="false"/>
                <w:color w:val="2C3E50"/>
                <w:sz w:val="20"/>
                <w:szCs w:val="20"/>
              </w:rPr>
              <w:t xml:space="preserve">Week 12 has been designated as a contingency buffer. If training exceeds projections, the number of hyperparameter configurations will be reduced while maintaining core experiments.</w:t>
            </w:r>
          </w:p>
        </w:tc>
      </w:tr>
      <w:tr>
        <w:tc>
          <w:tcPr>
            <w:vAlign w:val="center"/>
          </w:tcPr>
          <w:p>
            <w:pPr>
              <w:spacing w:after="40" w:before="40"/>
              <w:jc w:val="left"/>
            </w:pPr>
            <w:r>
              <w:rPr>
                <w:rFonts w:ascii="Calibri" w:cs="Calibri" w:eastAsia="Calibri" w:hAnsi="Calibri"/>
                <w:b/>
                <w:bCs/>
                <w:color w:val="2C3E50"/>
                <w:sz w:val="20"/>
                <w:szCs w:val="20"/>
              </w:rPr>
              <w:t xml:space="preserve">Supervisor
Unavailability</w:t>
            </w:r>
          </w:p>
        </w:tc>
        <w:tc>
          <w:tcPr>
            <w:vAlign w:val="center"/>
          </w:tcPr>
          <w:p>
            <w:pPr>
              <w:spacing w:after="40" w:before="40"/>
              <w:jc w:val="center"/>
            </w:pPr>
            <w:r>
              <w:rPr>
                <w:rFonts w:ascii="Calibri" w:cs="Calibri" w:eastAsia="Calibri" w:hAnsi="Calibri"/>
                <w:b/>
                <w:bCs/>
                <w:color w:val="27AE60"/>
                <w:sz w:val="20"/>
                <w:szCs w:val="20"/>
              </w:rPr>
              <w:t xml:space="preserve">Low</w:t>
            </w:r>
          </w:p>
        </w:tc>
        <w:tc>
          <w:tcPr>
            <w:vAlign w:val="center"/>
          </w:tcPr>
          <w:p>
            <w:pPr>
              <w:spacing w:after="40" w:before="40"/>
              <w:jc w:val="center"/>
            </w:pPr>
            <w:r>
              <w:rPr>
                <w:rFonts w:ascii="Calibri" w:cs="Calibri" w:eastAsia="Calibri" w:hAnsi="Calibri"/>
                <w:b/>
                <w:bCs/>
                <w:color w:val="27AE60"/>
                <w:sz w:val="20"/>
                <w:szCs w:val="20"/>
              </w:rPr>
              <w:t xml:space="preserve">Low</w:t>
            </w:r>
          </w:p>
        </w:tc>
        <w:tc>
          <w:tcPr>
            <w:vAlign w:val="center"/>
          </w:tcPr>
          <w:p>
            <w:pPr>
              <w:spacing w:after="40" w:before="40"/>
              <w:jc w:val="left"/>
            </w:pPr>
            <w:r>
              <w:rPr>
                <w:rFonts w:ascii="Calibri" w:cs="Calibri" w:eastAsia="Calibri" w:hAnsi="Calibri"/>
                <w:b w:val="false"/>
                <w:bCs w:val="false"/>
                <w:i w:val="false"/>
                <w:iCs w:val="false"/>
                <w:color w:val="2C3E50"/>
                <w:sz w:val="20"/>
                <w:szCs w:val="20"/>
              </w:rPr>
              <w:t xml:space="preserve">Regular fortnightly meetings will be scheduled from Week 1. Asynchronous communication via email will ensure continued guidance during periods of limited availability.</w:t>
            </w:r>
          </w:p>
        </w:tc>
      </w:tr>
    </w:tbl>
    <w:p>
      <w:pPr>
        <w:spacing w:after="250" w:before="100"/>
        <w:jc w:val="center"/>
      </w:pPr>
      <w:r>
        <w:rPr>
          <w:rFonts w:ascii="Calibri" w:cs="Calibri" w:eastAsia="Calibri" w:hAnsi="Calibri"/>
          <w:b/>
          <w:bCs/>
          <w:i/>
          <w:iCs/>
          <w:color w:val="2C3E50"/>
          <w:sz w:val="20"/>
          <w:szCs w:val="20"/>
        </w:rPr>
        <w:t xml:space="preserve">Table 1: </w:t>
      </w:r>
      <w:r>
        <w:rPr>
          <w:rFonts w:ascii="Calibri" w:cs="Calibri" w:eastAsia="Calibri" w:hAnsi="Calibri"/>
          <w:i/>
          <w:iCs/>
          <w:color w:val="666666"/>
          <w:sz w:val="20"/>
          <w:szCs w:val="20"/>
        </w:rPr>
        <w:t xml:space="preserve">Risk assessment matrix identifying key project risks with associated likelihood, impact, and contingency strategies.</w:t>
      </w:r>
    </w:p>
    <w:p>
      <w:pPr>
        <w:spacing w:after="40" w:before="400"/>
      </w:pPr>
      <w:r>
        <w:rPr>
          <w:rFonts w:ascii="Calibri" w:cs="Calibri" w:eastAsia="Calibri" w:hAnsi="Calibri"/>
          <w:b/>
          <w:bCs/>
          <w:caps/>
          <w:color w:val="8E44AD"/>
          <w:sz w:val="20"/>
          <w:szCs w:val="20"/>
        </w:rPr>
        <w:t xml:space="preserve">Section </w:t>
      </w:r>
    </w:p>
    <w:p>
      <w:pPr>
        <w:pBdr>
          <w:bottom w:val="single" w:color="8E44AD" w:sz="6"/>
        </w:pBdr>
        <w:spacing w:after="60"/>
      </w:pPr>
      <w:r>
        <w:rPr>
          <w:rFonts w:ascii="Calibri Light" w:cs="Calibri Light" w:eastAsia="Calibri Light" w:hAnsi="Calibri Light"/>
          <w:b/>
          <w:bCs/>
          <w:color w:val="2C3E50"/>
          <w:sz w:val="36"/>
          <w:szCs w:val="36"/>
        </w:rPr>
        <w:t xml:space="preserve">References</w:t>
      </w:r>
    </w:p>
    <w:p>
      <w:pPr>
        <w:spacing w:after="150"/>
      </w:pPr>
    </w:p>
    <w:p>
      <w:pPr>
        <w:spacing w:after="120"/>
        <w:ind w:left="500" w:hanging="500"/>
      </w:pPr>
      <w:r>
        <w:rPr>
          <w:rFonts w:ascii="Calibri" w:cs="Calibri" w:eastAsia="Calibri" w:hAnsi="Calibri"/>
          <w:color w:val="2C3E50"/>
          <w:sz w:val="20"/>
          <w:szCs w:val="20"/>
        </w:rPr>
        <w:t xml:space="preserve">Aubreville, M., Bertram, C.A., Donovan, T.A., Klopfleisch, R., Maier, A. and Breininger, K. (2020) 'A completely annotated whole slide image dataset of canine breast cancer to aid human breast cancer research', </w:t>
      </w:r>
      <w:r>
        <w:rPr>
          <w:rFonts w:ascii="Calibri" w:cs="Calibri" w:eastAsia="Calibri" w:hAnsi="Calibri"/>
          <w:i/>
          <w:iCs/>
          <w:color w:val="2C3E50"/>
          <w:sz w:val="20"/>
          <w:szCs w:val="20"/>
        </w:rPr>
        <w:t xml:space="preserve">Scientific Data</w:t>
      </w:r>
      <w:r>
        <w:rPr>
          <w:rFonts w:ascii="Calibri" w:cs="Calibri" w:eastAsia="Calibri" w:hAnsi="Calibri"/>
          <w:color w:val="2C3E50"/>
          <w:sz w:val="20"/>
          <w:szCs w:val="20"/>
        </w:rPr>
        <w:t xml:space="preserve">, 7(1), pp. 1–10.</w:t>
      </w:r>
    </w:p>
    <w:p>
      <w:pPr>
        <w:spacing w:after="120"/>
        <w:ind w:left="500" w:hanging="500"/>
      </w:pPr>
      <w:r>
        <w:rPr>
          <w:rFonts w:ascii="Calibri" w:cs="Calibri" w:eastAsia="Calibri" w:hAnsi="Calibri"/>
          <w:color w:val="2C3E50"/>
          <w:sz w:val="20"/>
          <w:szCs w:val="20"/>
        </w:rPr>
        <w:t xml:space="preserve">Brinker, T.J., Hekler, A., Enk, A.H., Berking, C., Haferkamp, S., Hauschild, A., Weichenthal, M., Klode, J., Schadendorf, D., Holland-Letz, T., von Kalle, C., Fröhling, S., Schilling, B. and Utikal, J.S. (2019) 'Deep neural networks are superior to dermatologists in melanoma image classification', </w:t>
      </w:r>
      <w:r>
        <w:rPr>
          <w:rFonts w:ascii="Calibri" w:cs="Calibri" w:eastAsia="Calibri" w:hAnsi="Calibri"/>
          <w:i/>
          <w:iCs/>
          <w:color w:val="2C3E50"/>
          <w:sz w:val="20"/>
          <w:szCs w:val="20"/>
        </w:rPr>
        <w:t xml:space="preserve">European Journal of Cancer</w:t>
      </w:r>
      <w:r>
        <w:rPr>
          <w:rFonts w:ascii="Calibri" w:cs="Calibri" w:eastAsia="Calibri" w:hAnsi="Calibri"/>
          <w:color w:val="2C3E50"/>
          <w:sz w:val="20"/>
          <w:szCs w:val="20"/>
        </w:rPr>
        <w:t xml:space="preserve">, 119, pp. 11–17.</w:t>
      </w:r>
    </w:p>
    <w:p>
      <w:pPr>
        <w:spacing w:after="120"/>
        <w:ind w:left="500" w:hanging="500"/>
      </w:pPr>
      <w:r>
        <w:rPr>
          <w:rFonts w:ascii="Calibri" w:cs="Calibri" w:eastAsia="Calibri" w:hAnsi="Calibri"/>
          <w:color w:val="2C3E50"/>
          <w:sz w:val="20"/>
          <w:szCs w:val="20"/>
        </w:rPr>
        <w:t xml:space="preserve">Clark, K., Vendt, B., Smith, K., Freymann, J., Kirby, J., Koppel, P., Moore, S., Phillips, S., Maffitt, D., Pringle, M., Tarbox, L. and Prior, F. (2013) 'The Cancer Imaging Archive (TCIA): Maintaining and operating a public information repository', </w:t>
      </w:r>
      <w:r>
        <w:rPr>
          <w:rFonts w:ascii="Calibri" w:cs="Calibri" w:eastAsia="Calibri" w:hAnsi="Calibri"/>
          <w:i/>
          <w:iCs/>
          <w:color w:val="2C3E50"/>
          <w:sz w:val="20"/>
          <w:szCs w:val="20"/>
        </w:rPr>
        <w:t xml:space="preserve">Journal of Digital Imaging</w:t>
      </w:r>
      <w:r>
        <w:rPr>
          <w:rFonts w:ascii="Calibri" w:cs="Calibri" w:eastAsia="Calibri" w:hAnsi="Calibri"/>
          <w:color w:val="2C3E50"/>
          <w:sz w:val="20"/>
          <w:szCs w:val="20"/>
        </w:rPr>
        <w:t xml:space="preserve">, 26(6), pp. 1045–1057.</w:t>
      </w:r>
    </w:p>
    <w:p>
      <w:pPr>
        <w:spacing w:after="120"/>
        <w:ind w:left="500" w:hanging="500"/>
      </w:pPr>
      <w:r>
        <w:rPr>
          <w:rFonts w:ascii="Calibri" w:cs="Calibri" w:eastAsia="Calibri" w:hAnsi="Calibri"/>
          <w:color w:val="2C3E50"/>
          <w:sz w:val="20"/>
          <w:szCs w:val="20"/>
        </w:rPr>
        <w:t xml:space="preserve">Curtin, J.A., Fridlyand, J., Kageshita, T., Patel, H.N., Busam, K.J., Kutzner, H., Cho, K.H., Aiba, S., Bröcker, E.B., LeBoit, P.E., Pinkel, D. and Bastian, B.C. (2005) 'Distinct sets of genetic alterations in melanoma', </w:t>
      </w:r>
      <w:r>
        <w:rPr>
          <w:rFonts w:ascii="Calibri" w:cs="Calibri" w:eastAsia="Calibri" w:hAnsi="Calibri"/>
          <w:i/>
          <w:iCs/>
          <w:color w:val="2C3E50"/>
          <w:sz w:val="20"/>
          <w:szCs w:val="20"/>
        </w:rPr>
        <w:t xml:space="preserve">New England Journal of Medicine</w:t>
      </w:r>
      <w:r>
        <w:rPr>
          <w:rFonts w:ascii="Calibri" w:cs="Calibri" w:eastAsia="Calibri" w:hAnsi="Calibri"/>
          <w:color w:val="2C3E50"/>
          <w:sz w:val="20"/>
          <w:szCs w:val="20"/>
        </w:rPr>
        <w:t xml:space="preserve">, 353(20), pp. 2135–2147.</w:t>
      </w:r>
    </w:p>
    <w:p>
      <w:pPr>
        <w:spacing w:after="120"/>
        <w:ind w:left="500" w:hanging="500"/>
      </w:pPr>
      <w:r>
        <w:rPr>
          <w:rFonts w:ascii="Calibri" w:cs="Calibri" w:eastAsia="Calibri" w:hAnsi="Calibri"/>
          <w:color w:val="2C3E50"/>
          <w:sz w:val="20"/>
          <w:szCs w:val="20"/>
        </w:rPr>
        <w:t xml:space="preserve">Esteva, A., Kuprel, B., Novoa, R.A., Ko, J., Swetter, S.M., Blau, H.M. and Thrun, S. (2017) 'Dermatologist-level classification of skin cancer with deep neural networks', </w:t>
      </w:r>
      <w:r>
        <w:rPr>
          <w:rFonts w:ascii="Calibri" w:cs="Calibri" w:eastAsia="Calibri" w:hAnsi="Calibri"/>
          <w:i/>
          <w:iCs/>
          <w:color w:val="2C3E50"/>
          <w:sz w:val="20"/>
          <w:szCs w:val="20"/>
        </w:rPr>
        <w:t xml:space="preserve">Nature</w:t>
      </w:r>
      <w:r>
        <w:rPr>
          <w:rFonts w:ascii="Calibri" w:cs="Calibri" w:eastAsia="Calibri" w:hAnsi="Calibri"/>
          <w:color w:val="2C3E50"/>
          <w:sz w:val="20"/>
          <w:szCs w:val="20"/>
        </w:rPr>
        <w:t xml:space="preserve">, 542(7639), pp. 115–118.</w:t>
      </w:r>
    </w:p>
    <w:p>
      <w:pPr>
        <w:spacing w:after="120"/>
        <w:ind w:left="500" w:hanging="500"/>
      </w:pPr>
      <w:r>
        <w:rPr>
          <w:rFonts w:ascii="Calibri" w:cs="Calibri" w:eastAsia="Calibri" w:hAnsi="Calibri"/>
          <w:color w:val="2C3E50"/>
          <w:sz w:val="20"/>
          <w:szCs w:val="20"/>
        </w:rPr>
        <w:t xml:space="preserve">Fragoso-Garcia, M., van der Velde, H., Beineke, A., Nolte, I., Mischke, R. and Hewicker-Trautwein, M. (2023) 'CAnine CuTaneous Cancer Histology (CATCH) Dataset', </w:t>
      </w:r>
      <w:r>
        <w:rPr>
          <w:rFonts w:ascii="Calibri" w:cs="Calibri" w:eastAsia="Calibri" w:hAnsi="Calibri"/>
          <w:i/>
          <w:iCs/>
          <w:color w:val="2C3E50"/>
          <w:sz w:val="20"/>
          <w:szCs w:val="20"/>
        </w:rPr>
        <w:t xml:space="preserve">The Cancer Imaging Archive</w:t>
      </w:r>
      <w:r>
        <w:rPr>
          <w:rFonts w:ascii="Calibri" w:cs="Calibri" w:eastAsia="Calibri" w:hAnsi="Calibri"/>
          <w:color w:val="2C3E50"/>
          <w:sz w:val="20"/>
          <w:szCs w:val="20"/>
        </w:rPr>
        <w:t xml:space="preserve">. Available at: https://wiki.cancerimagingarchive.net/pages/viewpage.action?pageId=101941773 (Accessed: 25 April 2026).</w:t>
      </w:r>
    </w:p>
    <w:p>
      <w:pPr>
        <w:spacing w:after="120"/>
        <w:ind w:left="500" w:hanging="500"/>
      </w:pPr>
      <w:r>
        <w:rPr>
          <w:rFonts w:ascii="Calibri" w:cs="Calibri" w:eastAsia="Calibri" w:hAnsi="Calibri"/>
          <w:color w:val="2C3E50"/>
          <w:sz w:val="20"/>
          <w:szCs w:val="20"/>
        </w:rPr>
        <w:t xml:space="preserve">Gillard, M., Cadieu, E., De Brito, C., Abadie, J., Vergier, B., Devauchelle, P., Degorce, F., Dréano, S., Primot, A., Khan, T., Borber, L., Dorso, L., Galès, J.P., Galibert, F., Hitte, C., Lagadic, M., André, C. and Hert, J. (2014) 'Naturally occurring melanomas in dogs as models for non-UV pathways of human melanomas', </w:t>
      </w:r>
      <w:r>
        <w:rPr>
          <w:rFonts w:ascii="Calibri" w:cs="Calibri" w:eastAsia="Calibri" w:hAnsi="Calibri"/>
          <w:i/>
          <w:iCs/>
          <w:color w:val="2C3E50"/>
          <w:sz w:val="20"/>
          <w:szCs w:val="20"/>
        </w:rPr>
        <w:t xml:space="preserve">Pigment Cell &amp; Melanoma Research</w:t>
      </w:r>
      <w:r>
        <w:rPr>
          <w:rFonts w:ascii="Calibri" w:cs="Calibri" w:eastAsia="Calibri" w:hAnsi="Calibri"/>
          <w:color w:val="2C3E50"/>
          <w:sz w:val="20"/>
          <w:szCs w:val="20"/>
        </w:rPr>
        <w:t xml:space="preserve">, 27(1), pp. 90–102.</w:t>
      </w:r>
    </w:p>
    <w:p>
      <w:pPr>
        <w:spacing w:after="120"/>
        <w:ind w:left="500" w:hanging="500"/>
      </w:pPr>
      <w:r>
        <w:rPr>
          <w:rFonts w:ascii="Calibri" w:cs="Calibri" w:eastAsia="Calibri" w:hAnsi="Calibri"/>
          <w:color w:val="2C3E50"/>
          <w:sz w:val="20"/>
          <w:szCs w:val="20"/>
        </w:rPr>
        <w:t xml:space="preserve">He, K., Zhang, X., Ren, S. and Sun, J. (2016) 'Deep residual learning for image recognition', </w:t>
      </w:r>
      <w:r>
        <w:rPr>
          <w:rFonts w:ascii="Calibri" w:cs="Calibri" w:eastAsia="Calibri" w:hAnsi="Calibri"/>
          <w:i/>
          <w:iCs/>
          <w:color w:val="2C3E50"/>
          <w:sz w:val="20"/>
          <w:szCs w:val="20"/>
        </w:rPr>
        <w:t xml:space="preserve">Proceedings of the IEEE Conference on Computer Vision and Pattern Recognition (CVPR)</w:t>
      </w:r>
      <w:r>
        <w:rPr>
          <w:rFonts w:ascii="Calibri" w:cs="Calibri" w:eastAsia="Calibri" w:hAnsi="Calibri"/>
          <w:color w:val="2C3E50"/>
          <w:sz w:val="20"/>
          <w:szCs w:val="20"/>
        </w:rPr>
        <w:t xml:space="preserve">, pp. 770–778.</w:t>
      </w:r>
    </w:p>
    <w:p>
      <w:pPr>
        <w:spacing w:after="120"/>
        <w:ind w:left="500" w:hanging="500"/>
      </w:pPr>
      <w:r>
        <w:rPr>
          <w:rFonts w:ascii="Calibri" w:cs="Calibri" w:eastAsia="Calibri" w:hAnsi="Calibri"/>
          <w:color w:val="2C3E50"/>
          <w:sz w:val="20"/>
          <w:szCs w:val="20"/>
        </w:rPr>
        <w:t xml:space="preserve">Hekler, A., Utikal, J.S., Enk, A.H., Berking, C., Klode, J., Schadendorf, D., Jansen, P., Franklin, C., Holland-Letz, T., Krahl, D., von Kalle, C., Fröhling, S. and Brinker, T.J. (2019) 'Pathologist-level classification of histopathological melanoma images with deep neural networks', </w:t>
      </w:r>
      <w:r>
        <w:rPr>
          <w:rFonts w:ascii="Calibri" w:cs="Calibri" w:eastAsia="Calibri" w:hAnsi="Calibri"/>
          <w:i/>
          <w:iCs/>
          <w:color w:val="2C3E50"/>
          <w:sz w:val="20"/>
          <w:szCs w:val="20"/>
        </w:rPr>
        <w:t xml:space="preserve">European Journal of Cancer</w:t>
      </w:r>
      <w:r>
        <w:rPr>
          <w:rFonts w:ascii="Calibri" w:cs="Calibri" w:eastAsia="Calibri" w:hAnsi="Calibri"/>
          <w:color w:val="2C3E50"/>
          <w:sz w:val="20"/>
          <w:szCs w:val="20"/>
        </w:rPr>
        <w:t xml:space="preserve">, 115, pp. 79–83.</w:t>
      </w:r>
    </w:p>
    <w:p>
      <w:pPr>
        <w:spacing w:after="120"/>
        <w:ind w:left="500" w:hanging="500"/>
      </w:pPr>
      <w:r>
        <w:rPr>
          <w:rFonts w:ascii="Calibri" w:cs="Calibri" w:eastAsia="Calibri" w:hAnsi="Calibri"/>
          <w:color w:val="2C3E50"/>
          <w:sz w:val="20"/>
          <w:szCs w:val="20"/>
        </w:rPr>
        <w:t xml:space="preserve">Macenko, M., Niethammer, M., Marron, J.S., Borland, D., Woosley, J.T., Guan, X., Schmitt, C. and Thomas, N.E. (2009) 'A method for normalizing histology slides for quantitative analysis', </w:t>
      </w:r>
      <w:r>
        <w:rPr>
          <w:rFonts w:ascii="Calibri" w:cs="Calibri" w:eastAsia="Calibri" w:hAnsi="Calibri"/>
          <w:i/>
          <w:iCs/>
          <w:color w:val="2C3E50"/>
          <w:sz w:val="20"/>
          <w:szCs w:val="20"/>
        </w:rPr>
        <w:t xml:space="preserve">IEEE International Symposium on Biomedical Imaging</w:t>
      </w:r>
      <w:r>
        <w:rPr>
          <w:rFonts w:ascii="Calibri" w:cs="Calibri" w:eastAsia="Calibri" w:hAnsi="Calibri"/>
          <w:color w:val="2C3E50"/>
          <w:sz w:val="20"/>
          <w:szCs w:val="20"/>
        </w:rPr>
        <w:t xml:space="preserve">, pp. 1107–1110.</w:t>
      </w:r>
    </w:p>
    <w:p>
      <w:pPr>
        <w:spacing w:after="120"/>
        <w:ind w:left="500" w:hanging="500"/>
      </w:pPr>
      <w:r>
        <w:rPr>
          <w:rFonts w:ascii="Calibri" w:cs="Calibri" w:eastAsia="Calibri" w:hAnsi="Calibri"/>
          <w:color w:val="2C3E50"/>
          <w:sz w:val="20"/>
          <w:szCs w:val="20"/>
        </w:rPr>
        <w:t xml:space="preserve">Nishiya, A.T., Massoco, C.O., Felizzola, C.R., Perlmann, E., Batschinski, K., Tedardi, M.V., Garcia, J.S., Mendonça, P.P., Teixeira, T.F. and Zaidan Dagli, M.L. (2016) 'Comparative aspects of canine melanoma', </w:t>
      </w:r>
      <w:r>
        <w:rPr>
          <w:rFonts w:ascii="Calibri" w:cs="Calibri" w:eastAsia="Calibri" w:hAnsi="Calibri"/>
          <w:i/>
          <w:iCs/>
          <w:color w:val="2C3E50"/>
          <w:sz w:val="20"/>
          <w:szCs w:val="20"/>
        </w:rPr>
        <w:t xml:space="preserve">Veterinary Sciences</w:t>
      </w:r>
      <w:r>
        <w:rPr>
          <w:rFonts w:ascii="Calibri" w:cs="Calibri" w:eastAsia="Calibri" w:hAnsi="Calibri"/>
          <w:color w:val="2C3E50"/>
          <w:sz w:val="20"/>
          <w:szCs w:val="20"/>
        </w:rPr>
        <w:t xml:space="preserve">, 3(1), p. 7.</w:t>
      </w:r>
    </w:p>
    <w:p>
      <w:pPr>
        <w:spacing w:after="120"/>
        <w:ind w:left="500" w:hanging="500"/>
      </w:pPr>
      <w:r>
        <w:rPr>
          <w:rFonts w:ascii="Calibri" w:cs="Calibri" w:eastAsia="Calibri" w:hAnsi="Calibri"/>
          <w:color w:val="2C3E50"/>
          <w:sz w:val="20"/>
          <w:szCs w:val="20"/>
        </w:rPr>
        <w:t xml:space="preserve">Oktay, O., Schlemper, J., Folgoc, L.L., Lee, M., Heinrich, M., Misawa, K., Mori, K., McDonagh, S., Hammerla, N.Y., Kainz, B., Glocker, B. and Rueckert, D. (2018) 'Attention U-Net: Learning where to look for the pancreas', </w:t>
      </w:r>
      <w:r>
        <w:rPr>
          <w:rFonts w:ascii="Calibri" w:cs="Calibri" w:eastAsia="Calibri" w:hAnsi="Calibri"/>
          <w:i/>
          <w:iCs/>
          <w:color w:val="2C3E50"/>
          <w:sz w:val="20"/>
          <w:szCs w:val="20"/>
        </w:rPr>
        <w:t xml:space="preserve">arXiv preprint</w:t>
      </w:r>
      <w:r>
        <w:rPr>
          <w:rFonts w:ascii="Calibri" w:cs="Calibri" w:eastAsia="Calibri" w:hAnsi="Calibri"/>
          <w:color w:val="2C3E50"/>
          <w:sz w:val="20"/>
          <w:szCs w:val="20"/>
        </w:rPr>
        <w:t xml:space="preserve">, arXiv:1804.03999.</w:t>
      </w:r>
    </w:p>
    <w:p>
      <w:pPr>
        <w:spacing w:after="120"/>
        <w:ind w:left="500" w:hanging="500"/>
      </w:pPr>
      <w:r>
        <w:rPr>
          <w:rFonts w:ascii="Calibri" w:cs="Calibri" w:eastAsia="Calibri" w:hAnsi="Calibri"/>
          <w:color w:val="2C3E50"/>
          <w:sz w:val="20"/>
          <w:szCs w:val="20"/>
        </w:rPr>
        <w:t xml:space="preserve">Prouteau, A. and André, C. (2019) 'Canine melanomas as models for human melanomas: Clinical, histological, and genetic comparison', </w:t>
      </w:r>
      <w:r>
        <w:rPr>
          <w:rFonts w:ascii="Calibri" w:cs="Calibri" w:eastAsia="Calibri" w:hAnsi="Calibri"/>
          <w:i/>
          <w:iCs/>
          <w:color w:val="2C3E50"/>
          <w:sz w:val="20"/>
          <w:szCs w:val="20"/>
        </w:rPr>
        <w:t xml:space="preserve">Genes</w:t>
      </w:r>
      <w:r>
        <w:rPr>
          <w:rFonts w:ascii="Calibri" w:cs="Calibri" w:eastAsia="Calibri" w:hAnsi="Calibri"/>
          <w:color w:val="2C3E50"/>
          <w:sz w:val="20"/>
          <w:szCs w:val="20"/>
        </w:rPr>
        <w:t xml:space="preserve">, 10(7), p. 501.</w:t>
      </w:r>
    </w:p>
    <w:p>
      <w:pPr>
        <w:spacing w:after="120"/>
        <w:ind w:left="500" w:hanging="500"/>
      </w:pPr>
      <w:r>
        <w:rPr>
          <w:rFonts w:ascii="Calibri" w:cs="Calibri" w:eastAsia="Calibri" w:hAnsi="Calibri"/>
          <w:color w:val="2C3E50"/>
          <w:sz w:val="20"/>
          <w:szCs w:val="20"/>
        </w:rPr>
        <w:t xml:space="preserve">Ronneberger, O., Fischer, P. and Brox, T. (2015) 'U-Net: Convolutional networks for biomedical image segmentation', </w:t>
      </w:r>
      <w:r>
        <w:rPr>
          <w:rFonts w:ascii="Calibri" w:cs="Calibri" w:eastAsia="Calibri" w:hAnsi="Calibri"/>
          <w:i/>
          <w:iCs/>
          <w:color w:val="2C3E50"/>
          <w:sz w:val="20"/>
          <w:szCs w:val="20"/>
        </w:rPr>
        <w:t xml:space="preserve">International Conference on Medical Image Computing and Computer-Assisted Intervention (MICCAI)</w:t>
      </w:r>
      <w:r>
        <w:rPr>
          <w:rFonts w:ascii="Calibri" w:cs="Calibri" w:eastAsia="Calibri" w:hAnsi="Calibri"/>
          <w:color w:val="2C3E50"/>
          <w:sz w:val="20"/>
          <w:szCs w:val="20"/>
        </w:rPr>
        <w:t xml:space="preserve">, pp. 234–241.</w:t>
      </w:r>
    </w:p>
    <w:p>
      <w:pPr>
        <w:spacing w:after="120"/>
        <w:ind w:left="500" w:hanging="500"/>
      </w:pPr>
      <w:r>
        <w:rPr>
          <w:rFonts w:ascii="Calibri" w:cs="Calibri" w:eastAsia="Calibri" w:hAnsi="Calibri"/>
          <w:color w:val="2C3E50"/>
          <w:sz w:val="20"/>
          <w:szCs w:val="20"/>
        </w:rPr>
        <w:t xml:space="preserve">Schadendorf, D., van Akkooi, A.C., Berking, C., Griewank, K.G., Gutzmer, R., Hauschild, A., Stang, A., Roesch, A. and Ugurel, S. (2018) 'Melanoma', </w:t>
      </w:r>
      <w:r>
        <w:rPr>
          <w:rFonts w:ascii="Calibri" w:cs="Calibri" w:eastAsia="Calibri" w:hAnsi="Calibri"/>
          <w:i/>
          <w:iCs/>
          <w:color w:val="2C3E50"/>
          <w:sz w:val="20"/>
          <w:szCs w:val="20"/>
        </w:rPr>
        <w:t xml:space="preserve">The Lancet</w:t>
      </w:r>
      <w:r>
        <w:rPr>
          <w:rFonts w:ascii="Calibri" w:cs="Calibri" w:eastAsia="Calibri" w:hAnsi="Calibri"/>
          <w:color w:val="2C3E50"/>
          <w:sz w:val="20"/>
          <w:szCs w:val="20"/>
        </w:rPr>
        <w:t xml:space="preserve">, 392(10151), pp. 971–984.</w:t>
      </w:r>
    </w:p>
    <w:p>
      <w:pPr>
        <w:spacing w:after="120"/>
        <w:ind w:left="500" w:hanging="500"/>
      </w:pPr>
      <w:r>
        <w:rPr>
          <w:rFonts w:ascii="Calibri" w:cs="Calibri" w:eastAsia="Calibri" w:hAnsi="Calibri"/>
          <w:color w:val="2C3E50"/>
          <w:sz w:val="20"/>
          <w:szCs w:val="20"/>
        </w:rPr>
        <w:t xml:space="preserve">Selvaraju, R.R., Cogswell, M., Das, A., Vedantam, R., Parikh, D. and Batra, D. (2017) 'Grad-CAM: Visual explanations from deep networks via gradient-based localization', </w:t>
      </w:r>
      <w:r>
        <w:rPr>
          <w:rFonts w:ascii="Calibri" w:cs="Calibri" w:eastAsia="Calibri" w:hAnsi="Calibri"/>
          <w:i/>
          <w:iCs/>
          <w:color w:val="2C3E50"/>
          <w:sz w:val="20"/>
          <w:szCs w:val="20"/>
        </w:rPr>
        <w:t xml:space="preserve">Proceedings of the IEEE International Conference on Computer Vision (ICCV)</w:t>
      </w:r>
      <w:r>
        <w:rPr>
          <w:rFonts w:ascii="Calibri" w:cs="Calibri" w:eastAsia="Calibri" w:hAnsi="Calibri"/>
          <w:color w:val="2C3E50"/>
          <w:sz w:val="20"/>
          <w:szCs w:val="20"/>
        </w:rPr>
        <w:t xml:space="preserve">, pp. 618–626.</w:t>
      </w:r>
    </w:p>
    <w:p>
      <w:pPr>
        <w:spacing w:after="120"/>
        <w:ind w:left="500" w:hanging="500"/>
      </w:pPr>
      <w:r>
        <w:rPr>
          <w:rFonts w:ascii="Calibri" w:cs="Calibri" w:eastAsia="Calibri" w:hAnsi="Calibri"/>
          <w:color w:val="2C3E50"/>
          <w:sz w:val="20"/>
          <w:szCs w:val="20"/>
        </w:rPr>
        <w:t xml:space="preserve">Shain, A.H. and Bastian, B.C. (2016) 'From melanocytes to melanomas', </w:t>
      </w:r>
      <w:r>
        <w:rPr>
          <w:rFonts w:ascii="Calibri" w:cs="Calibri" w:eastAsia="Calibri" w:hAnsi="Calibri"/>
          <w:i/>
          <w:iCs/>
          <w:color w:val="2C3E50"/>
          <w:sz w:val="20"/>
          <w:szCs w:val="20"/>
        </w:rPr>
        <w:t xml:space="preserve">Nature Reviews Cancer</w:t>
      </w:r>
      <w:r>
        <w:rPr>
          <w:rFonts w:ascii="Calibri" w:cs="Calibri" w:eastAsia="Calibri" w:hAnsi="Calibri"/>
          <w:color w:val="2C3E50"/>
          <w:sz w:val="20"/>
          <w:szCs w:val="20"/>
        </w:rPr>
        <w:t xml:space="preserve">, 16(6), pp. 345–358.</w:t>
      </w:r>
    </w:p>
    <w:p>
      <w:pPr>
        <w:spacing w:after="120"/>
        <w:ind w:left="500" w:hanging="500"/>
      </w:pPr>
      <w:r>
        <w:rPr>
          <w:rFonts w:ascii="Calibri" w:cs="Calibri" w:eastAsia="Calibri" w:hAnsi="Calibri"/>
          <w:color w:val="2C3E50"/>
          <w:sz w:val="20"/>
          <w:szCs w:val="20"/>
        </w:rPr>
        <w:t xml:space="preserve">Simonyan, K. and Zisserman, A. (2015) 'Very deep convolutional networks for large-scale image recognition', </w:t>
      </w:r>
      <w:r>
        <w:rPr>
          <w:rFonts w:ascii="Calibri" w:cs="Calibri" w:eastAsia="Calibri" w:hAnsi="Calibri"/>
          <w:i/>
          <w:iCs/>
          <w:color w:val="2C3E50"/>
          <w:sz w:val="20"/>
          <w:szCs w:val="20"/>
        </w:rPr>
        <w:t xml:space="preserve">Proceedings of the International Conference on Learning Representations (ICLR)</w:t>
      </w:r>
      <w:r>
        <w:rPr>
          <w:rFonts w:ascii="Calibri" w:cs="Calibri" w:eastAsia="Calibri" w:hAnsi="Calibri"/>
          <w:color w:val="2C3E50"/>
          <w:sz w:val="20"/>
          <w:szCs w:val="20"/>
        </w:rPr>
        <w:t xml:space="preserve">.</w:t>
      </w:r>
    </w:p>
    <w:p>
      <w:pPr>
        <w:spacing w:after="120"/>
        <w:ind w:left="500" w:hanging="500"/>
      </w:pPr>
      <w:r>
        <w:rPr>
          <w:rFonts w:ascii="Calibri" w:cs="Calibri" w:eastAsia="Calibri" w:hAnsi="Calibri"/>
          <w:color w:val="2C3E50"/>
          <w:sz w:val="20"/>
          <w:szCs w:val="20"/>
        </w:rPr>
        <w:t xml:space="preserve">Tan, M. and Le, Q.V. (2019) 'EfficientNet: Rethinking model scaling for convolutional neural networks', </w:t>
      </w:r>
      <w:r>
        <w:rPr>
          <w:rFonts w:ascii="Calibri" w:cs="Calibri" w:eastAsia="Calibri" w:hAnsi="Calibri"/>
          <w:i/>
          <w:iCs/>
          <w:color w:val="2C3E50"/>
          <w:sz w:val="20"/>
          <w:szCs w:val="20"/>
        </w:rPr>
        <w:t xml:space="preserve">Proceedings of the International Conference on Machine Learning (ICML)</w:t>
      </w:r>
      <w:r>
        <w:rPr>
          <w:rFonts w:ascii="Calibri" w:cs="Calibri" w:eastAsia="Calibri" w:hAnsi="Calibri"/>
          <w:color w:val="2C3E50"/>
          <w:sz w:val="20"/>
          <w:szCs w:val="20"/>
        </w:rPr>
        <w:t xml:space="preserve">, pp. 6105–6114.</w:t>
      </w:r>
    </w:p>
    <w:p>
      <w:pPr>
        <w:spacing w:after="300"/>
      </w:pPr>
    </w:p>
    <w:p>
      <w:pPr>
        <w:spacing w:after="100"/>
        <w:jc w:val="center"/>
      </w:pPr>
      <w:r>
        <w:rPr>
          <w:color w:val="8E44AD"/>
          <w:sz w:val="18"/>
          <w:szCs w:val="18"/>
        </w:rPr>
        <w:t xml:space="preserve">━━━━━━━━━━━━━━━━━━━━━━━━━━━━━━━━━━━━━━━━━━━━━━━</w:t>
      </w:r>
    </w:p>
    <w:p>
      <w:pPr>
        <w:spacing w:after="20"/>
        <w:jc w:val="center"/>
      </w:pPr>
      <w:r>
        <w:rPr>
          <w:rFonts w:ascii="Calibri" w:cs="Calibri" w:eastAsia="Calibri" w:hAnsi="Calibri"/>
          <w:i/>
          <w:iCs/>
          <w:color w:val="999999"/>
          <w:sz w:val="18"/>
          <w:szCs w:val="18"/>
        </w:rPr>
        <w:t xml:space="preserve">Classification of Malignant Melanoma in Canines — Research Proposal</w:t>
      </w:r>
    </w:p>
    <w:p>
      <w:pPr>
        <w:jc w:val="center"/>
      </w:pPr>
      <w:r>
        <w:rPr>
          <w:rFonts w:ascii="Calibri" w:cs="Calibri" w:eastAsia="Calibri" w:hAnsi="Calibri"/>
          <w:color w:val="999999"/>
          <w:sz w:val="18"/>
          <w:szCs w:val="18"/>
        </w:rPr>
        <w:t xml:space="preserve">Muhammad Tayyab Abbas  •  University of Hull  •  April 2026</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1"/>
      </w:pBdr>
      <w:spacing w:before="100"/>
      <w:jc w:val="center"/>
    </w:pPr>
    <w:r>
      <w:rPr>
        <w:rFonts w:ascii="Calibri" w:cs="Calibri" w:eastAsia="Calibri" w:hAnsi="Calibri"/>
        <w:color w:val="999999"/>
        <w:sz w:val="16"/>
        <w:szCs w:val="16"/>
      </w:rPr>
      <w:t xml:space="preserve">Muhammad Tayyab Abbas  |  University of Hull  |  </w:t>
    </w:r>
    <w:r>
      <w:rPr>
        <w:rFonts w:ascii="Calibri" w:cs="Calibri" w:eastAsia="Calibri" w:hAnsi="Calibri"/>
        <w:color w:val="999999"/>
        <w:sz w:val="16"/>
        <w:szCs w:val="16"/>
      </w:rPr>
      <w:t xml:space="preserve">Page </w:t>
    </w:r>
    <w:r>
      <w:rPr>
        <w:rFonts w:ascii="Calibri" w:cs="Calibri" w:eastAsia="Calibri" w:hAnsi="Calibri"/>
        <w:b/>
        <w:bCs/>
        <w:color w:val="8E44AD"/>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1"/>
      </w:pBdr>
      <w:spacing w:before="100"/>
      <w:jc w:val="center"/>
    </w:pPr>
    <w:r>
      <w:rPr>
        <w:rFonts w:ascii="Calibri" w:cs="Calibri" w:eastAsia="Calibri" w:hAnsi="Calibri"/>
        <w:color w:val="999999"/>
        <w:sz w:val="16"/>
        <w:szCs w:val="16"/>
      </w:rPr>
      <w:t xml:space="preserve">Muhammad Tayyab Abbas  |  University of Hull  |  </w:t>
    </w:r>
    <w:r>
      <w:rPr>
        <w:rFonts w:ascii="Calibri" w:cs="Calibri" w:eastAsia="Calibri" w:hAnsi="Calibri"/>
        <w:color w:val="999999"/>
        <w:sz w:val="16"/>
        <w:szCs w:val="16"/>
      </w:rPr>
      <w:t xml:space="preserve">Page </w:t>
    </w:r>
    <w:r>
      <w:rPr>
        <w:rFonts w:ascii="Calibri" w:cs="Calibri" w:eastAsia="Calibri" w:hAnsi="Calibri"/>
        <w:b/>
        <w:bCs/>
        <w:color w:val="8E44A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Classification of Malignant Melanoma in Canines — Research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Classification of Malignant Melanoma in Canines — Research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3"/>
        <w:szCs w:val="23"/>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Heading">
    <w:name w:val="TOC Heading"/>
    <w:basedOn w:val="Normal"/>
    <w:next w:val="Normal"/>
    <w:pPr>
      <w:spacing w:after="120" w:before="240"/>
    </w:pPr>
    <w:rPr>
      <w:rFonts w:ascii="Calibri Light" w:cs="Calibri Light" w:eastAsia="Calibri Light" w:hAnsi="Calibri Light"/>
      <w:b/>
      <w:bCs/>
      <w:color w:val="2C3E50"/>
      <w:sz w:val="32"/>
      <w:szCs w:val="32"/>
    </w:rPr>
  </w:style>
  <w:style w:type="paragraph" w:styleId="TOC1">
    <w:name w:val="toc 1"/>
    <w:basedOn w:val="Normal"/>
    <w:pPr>
      <w:spacing w:after="60" w:before="100"/>
    </w:pPr>
    <w:rPr>
      <w:rFonts w:ascii="Calibri" w:cs="Calibri" w:eastAsia="Calibri" w:hAnsi="Calibri"/>
      <w:b/>
      <w:bCs/>
      <w:color w:val="8E44AD"/>
      <w:sz w:val="24"/>
      <w:szCs w:val="24"/>
    </w:rPr>
  </w:style>
  <w:style w:type="paragraph" w:styleId="TOC2">
    <w:name w:val="toc 2"/>
    <w:basedOn w:val="Normal"/>
    <w:pPr>
      <w:spacing w:after="40" w:before="40"/>
      <w:ind w:left="400"/>
    </w:pPr>
    <w:rPr>
      <w:rFonts w:ascii="Calibri" w:cs="Calibri" w:eastAsia="Calibri" w:hAnsi="Calibri"/>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Proposal - Classification of Malignant Melanoma in Canines</dc:title>
  <dc:creator>Muhammad Tayyab Abbas</dc:creator>
  <dc:description>MSc Research Proposal for DAIM2025A_088</dc:description>
  <cp:lastModifiedBy>Un-named</cp:lastModifiedBy>
  <cp:revision>1</cp:revision>
  <dcterms:created xsi:type="dcterms:W3CDTF">2026-04-28T04:12:58.183Z</dcterms:created>
  <dcterms:modified xsi:type="dcterms:W3CDTF">2026-04-28T04:12:58.184Z</dcterms:modified>
</cp:coreProperties>
</file>

<file path=docProps/custom.xml><?xml version="1.0" encoding="utf-8"?>
<Properties xmlns="http://schemas.openxmlformats.org/officeDocument/2006/custom-properties" xmlns:vt="http://schemas.openxmlformats.org/officeDocument/2006/docPropsVTypes"/>
</file>