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Study 1: Mean participant-level accuracy by Condition</w:t>
      </w:r>
    </w:p>
    <w:p>
      <w:pPr>
        <w:pStyle w:val="Normal"/>
      </w:pPr>
      <w:r>
        <w:t xml:space="preserve">N = 50 (primary population; SAP §3.4).</w:t>
      </w:r>
    </w:p>
    <w:p>
      <w:pPr>
        <w:pStyle w:val="Normal"/>
      </w:pPr>
      <w:r>
        <w:t xml:space="preserve">SAP §3.1: accuracy is the mean of 3 configuration instances within each Condition × K cell.</w:t>
      </w:r>
    </w:p>
    <w:p>
      <w:pPr>
        <w:pStyle w:val="Normal"/>
      </w:pPr>
      <w:r>
        <w:t xml:space="preserve">H1 = Condition main effect. H2 = Condition × K interaction. Q11: Type III SS, sum-to-zero contrasts.</w:t>
      </w:r>
    </w:p>
    <w:p>
      <w:pPr>
        <w:pStyle w:val="Normal"/>
      </w:pPr>
      <w:r>
        <w:t xml:space="preserve">Sphericity: Mauchly; Greenhouse–Geisser if p &lt; alpha. Holm only on H2 follow-ups (if run).</w:t>
      </w:r>
    </w:p>
    <w:p>
      <w:pPr>
        <w:pStyle w:val="Normal"/>
      </w:pPr>
      <w:r>
        <w:t xml:space="preserve">Q7: fallback tests were not applied.</w:t>
      </w:r>
    </w:p>
    <w:p>
      <w:pPr>
        <w:pStyle w:val="Normal"/>
      </w:pPr>
      <w:r>
        <w:t xml:space="preserve">SAP §3.4: K = 30 is retained; palette-capacity limits are a reporting caveat, not an exclusion.</w:t>
      </w:r>
    </w:p>
    <w:p>
      <w:pPr>
        <w:pStyle w:val="Normal"/>
      </w:pPr>
      <w:r>
        <w:t xml:space="preserve">SYNTHETIC DATA: pipeline test only. Not a finding.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37"/>
        <w:gridCol w:w="691"/>
        <w:gridCol w:w="2137"/>
        <w:gridCol w:w="1768"/>
        <w:gridCol w:w="1600"/>
        <w:gridCol w:w="1600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mean_accuracy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sd_accuracy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0.8016667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0.1189166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0.7678709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0.8354624</w:t>
            </w:r>
          </w:p>
        </w:tc>
      </w:tr>
      <w:tr>
        <w:trPr>
          <w:trHeight w:val="624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Optimized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0.8333333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0.1091089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0.8023249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0.8643418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2026-09-22T12:20:43Z</dcterms:modified>
  <cp:category/>
</cp:coreProperties>
</file>