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Paired t-test of mean absolute error (Optimized − Original)</w:t>
      </w:r>
    </w:p>
    <w:p>
      <w:pPr>
        <w:pStyle w:val="Normal"/>
      </w:pPr>
      <w:r>
        <w:t xml:space="preserve">N = 50. SAP §3.3.2. Q7: Wilcoxon fallback not applied.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80"/>
        <w:gridCol w:w="1680"/>
        <w:gridCol w:w="1740"/>
        <w:gridCol w:w="1540"/>
        <w:gridCol w:w="691"/>
        <w:gridCol w:w="1600"/>
        <w:gridCol w:w="1680"/>
        <w:gridCol w:w="1680"/>
        <w:gridCol w:w="160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d_ci_high</w:t>
            </w:r>
          </w:p>
        </w:tc>
      </w:tr>
      <w:tr>
        <w:trPr>
          <w:trHeight w:val="57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-0.1583333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-0.3583345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0.04166782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-1.590905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0.1180629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-0.2249879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-0.5045895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0.0568485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2026-09-22T12:20:46Z</dcterms:modified>
  <cp:category/>
</cp:coreProperties>
</file>