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H3 one-sample t-test of Optimized-choice proportion vs 0.50</w:t>
      </w:r>
    </w:p>
    <w:p>
      <w:pPr>
        <w:pStyle w:val="Normal"/>
      </w:pPr>
      <w:r>
        <w:t xml:space="preserve">N = 50. SAP §3.2; two-sided test; 12 pairwise trials per participant.</w:t>
      </w:r>
    </w:p>
    <w:p>
      <w:pPr>
        <w:pStyle w:val="Normal"/>
      </w:pPr>
      <w:r>
        <w:t xml:space="preserve">SAP §3.4: pairwise trial order was fixed; reported as a limitation only.</w:t>
      </w:r>
    </w:p>
    <w:p>
      <w:pPr>
        <w:pStyle w:val="Normal"/>
      </w:pPr>
      <w:r>
        <w:t xml:space="preserve">Q7: Wilcoxon fallback not applied.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1"/>
        <w:gridCol w:w="1649"/>
        <w:gridCol w:w="1600"/>
        <w:gridCol w:w="1600"/>
        <w:gridCol w:w="1600"/>
        <w:gridCol w:w="1320"/>
        <w:gridCol w:w="691"/>
        <w:gridCol w:w="2160"/>
        <w:gridCol w:w="2399"/>
        <w:gridCol w:w="1460"/>
        <w:gridCol w:w="1460"/>
        <w:gridCol w:w="812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cohens_d_vs_0.50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null</w:t>
            </w:r>
          </w:p>
        </w:tc>
      </w:tr>
      <w:tr>
        <w:trPr>
          <w:trHeight w:val="57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0.5933333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0.1343077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0.5551635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0.6315031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4.91384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0.00001038921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0.6949219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0.382764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1.001344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2026-09-22T12:20:44Z</dcterms:modified>
  <cp:category/>
</cp:coreProperties>
</file>