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Paired t-test of mean RT (Optimized − Original) on the analysis scale</w:t>
      </w:r>
    </w:p>
    <w:p>
      <w:pPr>
        <w:pStyle w:val="Normal"/>
      </w:pPr>
      <w:r>
        <w:t xml:space="preserve">N = 50. SAP §3.3.1. Analysis scale = log (Q12).</w:t>
      </w:r>
    </w:p>
    <w:p>
      <w:pPr>
        <w:pStyle w:val="Normal"/>
      </w:pPr>
      <w:r>
        <w:t xml:space="preserve">Q7: Wilcoxon fallback not applied.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1"/>
        <w:gridCol w:w="1820"/>
        <w:gridCol w:w="1740"/>
        <w:gridCol w:w="1680"/>
        <w:gridCol w:w="691"/>
        <w:gridCol w:w="1600"/>
        <w:gridCol w:w="1820"/>
        <w:gridCol w:w="1680"/>
        <w:gridCol w:w="1600"/>
        <w:gridCol w:w="1978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mean_diff_analysis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d_z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d_ci_low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d_ci_high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analysis_scale</w:t>
            </w:r>
          </w:p>
        </w:tc>
      </w:tr>
      <w:tr>
        <w:trPr>
          <w:trHeight w:val="62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-0.007344279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-0.04863791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0.03394935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-0.3574131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0.7223175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-0.05054584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-0.3276494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0.2270715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2026-09-22T12:20:45Z</dcterms:modified>
  <cp:category/>
</cp:coreProperties>
</file>