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Vision-screen sensitivity (N = 48; not the primary analysis)</w:t>
      </w:r>
    </w:p>
    <w:p>
      <w:pPr>
        <w:pStyle w:val="Normal"/>
      </w:pPr>
      <w:r>
        <w:t xml:space="preserve">SAP §3.4; Q1. Primary N remains 50. This table repeats H1–H3 on score = 4 only.</w:t>
      </w:r>
    </w:p>
    <w:p>
      <w:pPr>
        <w:pStyle w:val="Normal"/>
      </w:pPr>
      <w:r>
        <w:t xml:space="preserve">Not merged with primary results. Q7: fallback not applied.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0"/>
        <w:gridCol w:w="691"/>
        <w:gridCol w:w="1600"/>
        <w:gridCol w:w="1460"/>
        <w:gridCol w:w="1460"/>
        <w:gridCol w:w="2160"/>
        <w:gridCol w:w="1740"/>
        <w:gridCol w:w="2399"/>
        <w:gridCol w:w="2160"/>
        <w:gridCol w:w="3134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df_num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df_den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effect_size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sig_agrees_with_primary</w:t>
            </w:r>
          </w:p>
        </w:tc>
      </w:tr>
      <w:tr>
        <w:trPr>
          <w:trHeight w:val="63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H1_Condition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1.4772290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0.23027870947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0.03047264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partial_eta_sq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0.11806285704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H2_Condition_x_K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0.4769589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2.481919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116.6502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0.66299444461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0.01004611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partial_eta_sq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0.83673486508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H3_onesample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4.7745583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0.00001795012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0.68914813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cohens_d_vs_0.50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0.00001038921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2026-09-22T12:20:47Z</dcterms:modified>
  <cp:category/>
</cp:coreProperties>
</file>