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Day 13 – LLM Provider Comparison Note</w:t>
      </w:r>
    </w:p>
    <w:p>
      <w:r>
        <w:rPr>
          <w:b/>
        </w:rPr>
        <w:t>Gemini vs Groq</w:t>
        <w:br/>
      </w:r>
      <w:r>
        <w:t xml:space="preserve">Google Gemini and Groq are two useful options for applications that use large language models. Gemini is Google's family of generative AI models, while Groq provides an API platform designed for fast LLM inference. Groq's API supports chat-completion requests and is designed to be compatible with the OpenAI API style. </w:t>
      </w:r>
    </w:p>
    <w:p>
      <w:r>
        <w:rPr>
          <w:b/>
        </w:rPr>
        <w:t>Choice for Classification</w:t>
        <w:br/>
      </w:r>
      <w:r>
        <w:t>For classification, I would choose Groq when fast inference is the main requirement. Classification usually requires an input to be analyzed and assigned to a category, label, or decision. Groq's current model documentation lists high token-generation speeds for several supported models, so it can be a good choice for latency-sensitive automation workflows.</w:t>
      </w:r>
    </w:p>
    <w:p>
      <w:r>
        <w:rPr>
          <w:b/>
        </w:rPr>
        <w:t>Choice for Long-Context Work</w:t>
        <w:br/>
      </w:r>
      <w:r>
        <w:t>For long-context work, I would choose Gemini when the selected Gemini model provides the context capacity required by the project. Google's documentation states that many Gemini models have context windows of 1 million tokens or more. This can be useful for applications that need to work with large documents, large codebases, or substantial amounts of text in a single interaction.</w:t>
      </w:r>
    </w:p>
    <w:p>
      <w:r>
        <w:rPr>
          <w:b/>
        </w:rPr>
        <w:t>Conclusion</w:t>
        <w:br/>
      </w:r>
      <w:r>
        <w:t>My choice depends on the task. I would use Groq for classification when speed and low latency are important. I would use Gemini for long-context tasks when the selected model offers the required context window and capabilities. Before deploying either provider, I would check the exact model, context limit, rate limits, and current pricing because these can differ between models and plans.</w:t>
      </w:r>
    </w:p>
    <w:p>
      <w:r>
        <w:rPr>
          <w:b/>
        </w:rPr>
        <w:t>Sources</w:t>
        <w:br/>
      </w:r>
      <w:r>
        <w:t>Google AI for Developers – Long Context: https://ai.google.dev/gemini-api/docs/long-context</w:t>
        <w:br/>
        <w:t>GroqDocs – API Reference: https://console.groq.com/docs/api-reference</w:t>
        <w:br/>
        <w:t>GroqDocs – Supported Models: https://console.groq.com/docs/models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