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THESE DEVELOPMENTS COME ON TOP OF THE UNCERTAINTY CAUSED BY ONGOING CONFLICTS AND MAJOR TRANSITIONS THAT MAKE THE ECONOMIC ENVIRONMENT MORE CHALLENGING AND UNPREDICTABLE. -</w:t>
      </w:r>
    </w:p>
    <w:p>
      <w:r>
        <w:t>The trade tensions and associated tariffs are exacerbating the low-growth/high-debt outlook. The IMF lowered its near-term growth forecasts in April to 2.8 percent this year and 3 percent for 2026, and five-year growth forecasts remain at their lowest in decades. Global inflation is falling but at a slower and less synchronous pace than previously. This is leading to more policy divergence between central banks, with knock-on effects on asset prices and exchange rates. Low-income countries have been hit particularly hard by the current external environment.</w:t>
      </w:r>
    </w:p>
    <w:p>
      <w:r>
        <w:t>Against this backdrop, the foremost economic challenge facing our members is growth—or rather, the lack of it. Achieving stronger growth will require countries to double down on domestic efforts to strengthen economic and financial stability, and improve their own growth potential. In the context of greater global uncertainty, the work starts at home. Transformational reforms to lift productivity and boost growth are imperative: less red tape, increased competition, more entrepreneurship, a simpler and more coherent tax system, better digital structures, higher levels of economic participation, and deeper capital markets. Policy efforts are needed to restore fiscal sustainability and build sufficient buffers to manage future shocks, which could be sizable and recurrent. This can be done gradually but should start now, so as to leave room for priority spending. The longer countries wait, the sharper the adjustment could be. While working on the home front, countries should also collaborate internationally to promote a stable and predictable trade environment, facilitate debt restructuring, and address shared challenges. Intensification of trade tensions could further reduce near- and long-term growth while divergent and rapidly shifting policy stances or deteriorating sentiment could trigger drops in asset prices, exacerbating risks to financial stability.</w:t>
      </w:r>
    </w:p>
    <w:p>
      <w:r>
        <w:t>Internal balances between savings and investment are fundamental, and can tilt too far one way or another. They can drive external current account balances and by extension, capital flows. Rebalancing can enhance stability not only internally, but also externally, and globally. All countries can pursue policies for better internal and external balance, supporting collective resilience and well-being. The third priority is to double down on growth- oriented reforms to lift productivity and potential output. Countries must prioritize domestic policy and structural reforms in labor, product, and financial markets (while maintaining regulatory rigor). To that end, countries must encourage innovation, invest in infrastructure, and streamline regulatory environments. Policies that promote entrepreneurship and competition will be essential for driving productivity and job creation, while Russia tackling corruption will be essential to level the playing field and avoid distortive policies. In addition, technological progress, including that related to digitalization and artificial intelligence can further enhance productivity and potential growth</w:t>
      </w:r>
    </w:p>
    <w:p>
      <w:r>
        <w:t>Χρέος: Global public debt is high, and rising. It exceeded $100 trillion in 2024 and is expected to approach 100 percent of global GDP by decade’s end. The final figure may well be even higher because of large spending pressures and a chronic underestimation of debt projections. The global fiscal situation deteriorated in 2024, but with significant differences across countries. The global fiscal deficit reached an average of 5.1 percent of GDP, whereas public debt rose by 1 percentage point to 92.3 percent of GDP. This reflects the continuing legacies of high spending from the COVID-19 pandemic and rising net interest expenses. Debt servicing costs are currently squeezing the space available to finance much-needed investment or critical spending for development, while a shortfall in foreign aid poses an additional risk for low-income countries.</w:t>
      </w:r>
    </w:p>
    <w:p>
      <w:r>
        <w:t>Currently, expansive fiscal policies are contributing to increased term premiums on government bonds—raising borrowing costs and dampening economic activity. Left unaddressed, these pressures could lead to solvency problems for many vulnerable countries. Already, 53 percent of low-income developing countries and 23 percent of emerging market economies are at high risk of debt distress or are already in debt distress. Moreover, the significant uncertainty discussed in Pursuing Durable Growth in an Uncertain World, on page 12 is impacting fiscal outlooks as well as growth. Recent analysis suggests that increased geoeconomic uncertainty is linked to a rise in public debt of about 4.5 percent of GDP in the medium term. This is largely a result of widening fiscal deficits, with rising expenditure and falling revenues.</w:t>
      </w:r>
    </w:p>
    <w:p>
      <w:r>
        <w:t>Most countries can adopt a policy of gradual fiscal adjustment to address rising global public debt and mitigate associated risks. This would also have the benefit of producing the needed fiscal buffers to navigate prevailing global uncertainties. Countries with limited room for fiscal maneuvers must reprioritize public spending. Those with more space can choose to expand in line with their medium-term goals. Advanced economies with aging populations should promote entitlement reforms and broaden tax bases. Emerging market and developing economies can mobilize revenue by reforming tax systems, phasing out energy subsidies, and rationalizing public spending. The need for swift, but gradual, fiscal action is imperative. Delaying adjustments means more substantial and possibly more disruptive measures in the future. Proactive and coordinated efforts now are key to fiscal sustainability and to ensuring resilience in the long term.</w:t>
      </w:r>
    </w:p>
    <w:p>
      <w:r>
        <w:t>IMF research has identified a number of key vulnerabilities in the financial system: the increasing concentration of capital markets and the possible overvaluation of assets, highly leveraged financial institutions and their nexus with banking systems; the risks of market turmoil and challenges to debt sustainability for highly indebted sovereigns. The United States makes up nearly 55 percent of the global equity market, up from 30 percent two decades ago. Despite the recent market volatility, valuations of some assets remain stretched.</w:t>
      </w:r>
    </w:p>
    <w:p>
      <w:r>
        <w:t>If economic conditions worsen—especially amid persistent policy uncertainty and disappointing macroeconomic data—these valuations could undergo further sharp and sudden corrections. Financial institutions—some highly leveraged— could be strained by volatile markets. Over recent years, hedge fund and asset management sectors have grown and have become increasingly leveraged. In addition, these institutions have become more enmeshed with the banking sector from which they borrow. This raises the possibility that weakly managed nonbank financial intermediaries could be pushed into a sell-off, potentially triggering wider market volatility, with implications for the broader financial system. Further turbulence could also have the effect of raising sovereign risk premiums. This is a particular Vietnam threat for countries where government debt levels are high, with limited fiscal space or foreign reserves. Strained sovereign debt levels could create cross- border shocks through trade and financial linkages. The risk posed by sovereign debt is exacerbated by the interconnectedness of public sector finances and domestic banking systems; that is, the sovereign-bank nexus.</w:t>
      </w:r>
    </w:p>
    <w:p>
      <w:r>
        <w:t>Financial crises can severely harm macroeconomic outcomes, and growing global financial interconnectedness means that stress originating in one jurisdiction can have a global impact. These risks highlight the crucial role of multilateral surveillance and the importance of a global financial safety 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ΔΝΤ_ετήσια έκθεση 2025</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