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63E" w:rsidRPr="0030298A" w:rsidRDefault="009A363E" w:rsidP="00B07E7C">
      <w:pPr>
        <w:spacing w:after="0" w:line="360" w:lineRule="auto"/>
        <w:jc w:val="center"/>
        <w:rPr>
          <w:rFonts w:asciiTheme="majorHAnsi" w:hAnsiTheme="majorHAnsi" w:cs="Times New Roman"/>
          <w:b/>
          <w:sz w:val="30"/>
          <w:szCs w:val="30"/>
        </w:rPr>
      </w:pPr>
      <w:r>
        <w:rPr>
          <w:rFonts w:asciiTheme="majorHAnsi" w:hAnsiTheme="majorHAnsi" w:cs="Times New Roman"/>
          <w:b/>
          <w:sz w:val="30"/>
          <w:szCs w:val="30"/>
        </w:rPr>
        <w:t>A Personal Narrative of 6 Pre-University Research Projects Over</w:t>
      </w:r>
      <w:r w:rsidR="00617417">
        <w:rPr>
          <w:rFonts w:asciiTheme="majorHAnsi" w:hAnsiTheme="majorHAnsi" w:cs="Times New Roman"/>
          <w:b/>
          <w:sz w:val="30"/>
          <w:szCs w:val="30"/>
        </w:rPr>
        <w:t xml:space="preserve"> 7 Years (2009-2015) Yielding 19</w:t>
      </w:r>
      <w:r>
        <w:rPr>
          <w:rFonts w:asciiTheme="majorHAnsi" w:hAnsiTheme="majorHAnsi" w:cs="Times New Roman"/>
          <w:b/>
          <w:sz w:val="30"/>
          <w:szCs w:val="30"/>
        </w:rPr>
        <w:t xml:space="preserve"> Manuscripts</w:t>
      </w:r>
    </w:p>
    <w:p w:rsidR="0030298A" w:rsidRPr="00C31CCF" w:rsidRDefault="0030298A" w:rsidP="00B07E7C">
      <w:pPr>
        <w:spacing w:after="0" w:line="360" w:lineRule="auto"/>
        <w:jc w:val="center"/>
        <w:rPr>
          <w:rFonts w:asciiTheme="majorHAnsi" w:hAnsiTheme="majorHAnsi" w:cs="Times New Roman"/>
          <w:b/>
          <w:sz w:val="30"/>
          <w:szCs w:val="30"/>
        </w:rPr>
      </w:pPr>
    </w:p>
    <w:p w:rsidR="0030298A" w:rsidRPr="00195AC3" w:rsidRDefault="0030298A" w:rsidP="00B07E7C">
      <w:pPr>
        <w:pStyle w:val="BodyText"/>
        <w:spacing w:line="360" w:lineRule="auto"/>
        <w:ind w:firstLine="0"/>
        <w:rPr>
          <w:rFonts w:asciiTheme="majorHAnsi" w:hAnsiTheme="majorHAnsi"/>
        </w:rPr>
      </w:pPr>
      <w:r w:rsidRPr="00195AC3">
        <w:rPr>
          <w:rFonts w:asciiTheme="majorHAnsi" w:hAnsiTheme="majorHAnsi"/>
          <w:b/>
          <w:color w:val="E36C0A" w:themeColor="accent6" w:themeShade="BF"/>
          <w:sz w:val="28"/>
          <w:szCs w:val="28"/>
        </w:rPr>
        <w:t>Type of Article</w:t>
      </w:r>
      <w:r w:rsidRPr="00195AC3">
        <w:rPr>
          <w:rFonts w:asciiTheme="majorHAnsi" w:hAnsiTheme="majorHAnsi"/>
          <w:b/>
          <w:color w:val="E36C0A" w:themeColor="accent6" w:themeShade="BF"/>
          <w:sz w:val="28"/>
          <w:szCs w:val="28"/>
        </w:rPr>
        <w:br/>
      </w:r>
      <w:r w:rsidR="00E015BC">
        <w:rPr>
          <w:rFonts w:asciiTheme="majorHAnsi" w:hAnsiTheme="majorHAnsi"/>
        </w:rPr>
        <w:t>Case Series</w:t>
      </w:r>
    </w:p>
    <w:p w:rsidR="0030298A" w:rsidRDefault="0030298A" w:rsidP="00B07E7C">
      <w:pPr>
        <w:spacing w:after="0" w:line="360" w:lineRule="auto"/>
        <w:rPr>
          <w:rFonts w:asciiTheme="majorHAnsi" w:hAnsiTheme="majorHAnsi"/>
          <w:b/>
          <w:color w:val="E36C0A" w:themeColor="accent6" w:themeShade="BF"/>
          <w:sz w:val="28"/>
          <w:szCs w:val="28"/>
        </w:rPr>
      </w:pPr>
    </w:p>
    <w:p w:rsidR="0030298A" w:rsidRPr="0030298A" w:rsidRDefault="0030298A" w:rsidP="00B07E7C">
      <w:pPr>
        <w:spacing w:after="0" w:line="360" w:lineRule="auto"/>
        <w:rPr>
          <w:rFonts w:ascii="Cambria" w:hAnsi="Cambria" w:cs="Times New Roman"/>
        </w:rPr>
      </w:pPr>
      <w:r w:rsidRPr="00195AC3">
        <w:rPr>
          <w:rFonts w:asciiTheme="majorHAnsi" w:hAnsiTheme="majorHAnsi"/>
          <w:b/>
          <w:color w:val="E36C0A" w:themeColor="accent6" w:themeShade="BF"/>
          <w:sz w:val="28"/>
          <w:szCs w:val="28"/>
        </w:rPr>
        <w:t>Authors</w:t>
      </w:r>
      <w:r w:rsidRPr="00195AC3">
        <w:rPr>
          <w:rFonts w:asciiTheme="majorHAnsi" w:hAnsiTheme="majorHAnsi"/>
          <w:b/>
          <w:color w:val="E36C0A" w:themeColor="accent6" w:themeShade="BF"/>
          <w:sz w:val="28"/>
          <w:szCs w:val="28"/>
        </w:rPr>
        <w:br/>
      </w:r>
      <w:r w:rsidRPr="0030298A">
        <w:rPr>
          <w:rFonts w:ascii="Cambria" w:hAnsi="Cambria" w:cs="Times New Roman"/>
        </w:rPr>
        <w:t>Maurice HT Ling</w:t>
      </w:r>
    </w:p>
    <w:p w:rsidR="0030298A" w:rsidRPr="0030298A" w:rsidRDefault="00750F1E" w:rsidP="00B07E7C">
      <w:pPr>
        <w:spacing w:after="0" w:line="360" w:lineRule="auto"/>
        <w:rPr>
          <w:rFonts w:ascii="Cambria" w:hAnsi="Cambria" w:cs="Times New Roman"/>
        </w:rPr>
      </w:pPr>
      <w:r>
        <w:rPr>
          <w:rFonts w:ascii="Cambria" w:hAnsi="Cambria" w:cs="Times New Roman"/>
        </w:rPr>
        <w:t>Colossus Technologies LLP</w:t>
      </w:r>
      <w:r w:rsidR="0030298A" w:rsidRPr="0030298A">
        <w:rPr>
          <w:rFonts w:ascii="Cambria" w:hAnsi="Cambria" w:cs="Times New Roman"/>
        </w:rPr>
        <w:t>, Singapore</w:t>
      </w:r>
    </w:p>
    <w:p w:rsidR="0030298A" w:rsidRDefault="0030298A" w:rsidP="00B07E7C">
      <w:pPr>
        <w:spacing w:after="0" w:line="360" w:lineRule="auto"/>
        <w:rPr>
          <w:rFonts w:ascii="Cambria" w:hAnsi="Cambria" w:cs="Times New Roman"/>
        </w:rPr>
      </w:pPr>
      <w:r w:rsidRPr="0030298A">
        <w:rPr>
          <w:rFonts w:ascii="Cambria" w:hAnsi="Cambria" w:cs="Times New Roman"/>
        </w:rPr>
        <w:t xml:space="preserve">School of </w:t>
      </w:r>
      <w:proofErr w:type="spellStart"/>
      <w:r w:rsidRPr="0030298A">
        <w:rPr>
          <w:rFonts w:ascii="Cambria" w:hAnsi="Cambria" w:cs="Times New Roman"/>
        </w:rPr>
        <w:t>BioSciences</w:t>
      </w:r>
      <w:proofErr w:type="spellEnd"/>
      <w:r w:rsidRPr="0030298A">
        <w:rPr>
          <w:rFonts w:ascii="Cambria" w:hAnsi="Cambria" w:cs="Times New Roman"/>
        </w:rPr>
        <w:t>, The University of Melbourne, Australia</w:t>
      </w:r>
    </w:p>
    <w:p w:rsidR="0030298A" w:rsidRPr="0030298A" w:rsidRDefault="0030298A" w:rsidP="00B07E7C">
      <w:pPr>
        <w:spacing w:after="0" w:line="360" w:lineRule="auto"/>
        <w:rPr>
          <w:rFonts w:asciiTheme="majorHAnsi" w:hAnsiTheme="majorHAnsi"/>
          <w:color w:val="E36C0A" w:themeColor="accent6" w:themeShade="BF"/>
        </w:rPr>
      </w:pPr>
    </w:p>
    <w:p w:rsidR="0030298A" w:rsidRPr="00195AC3" w:rsidRDefault="0030298A" w:rsidP="00B07E7C">
      <w:pPr>
        <w:spacing w:after="0" w:line="360" w:lineRule="auto"/>
        <w:rPr>
          <w:rFonts w:asciiTheme="majorHAnsi" w:hAnsiTheme="majorHAnsi"/>
        </w:rPr>
      </w:pPr>
      <w:r w:rsidRPr="00195AC3">
        <w:rPr>
          <w:rFonts w:asciiTheme="majorHAnsi" w:hAnsiTheme="majorHAnsi"/>
          <w:color w:val="E36C0A" w:themeColor="accent6" w:themeShade="BF"/>
        </w:rPr>
        <w:t>*</w:t>
      </w:r>
      <w:r w:rsidRPr="00195AC3">
        <w:rPr>
          <w:rFonts w:asciiTheme="majorHAnsi" w:hAnsiTheme="majorHAnsi"/>
          <w:b/>
          <w:color w:val="E36C0A" w:themeColor="accent6" w:themeShade="BF"/>
          <w:sz w:val="28"/>
          <w:szCs w:val="28"/>
        </w:rPr>
        <w:t>Corresponding</w:t>
      </w:r>
      <w:r w:rsidR="00FF362F">
        <w:rPr>
          <w:rFonts w:asciiTheme="majorHAnsi" w:hAnsiTheme="majorHAnsi"/>
          <w:b/>
          <w:color w:val="E36C0A" w:themeColor="accent6" w:themeShade="BF"/>
          <w:sz w:val="28"/>
          <w:szCs w:val="28"/>
        </w:rPr>
        <w:t xml:space="preserve"> </w:t>
      </w:r>
      <w:r w:rsidRPr="00195AC3">
        <w:rPr>
          <w:rFonts w:asciiTheme="majorHAnsi" w:hAnsiTheme="majorHAnsi"/>
          <w:b/>
          <w:color w:val="E36C0A" w:themeColor="accent6" w:themeShade="BF"/>
          <w:sz w:val="28"/>
          <w:szCs w:val="28"/>
        </w:rPr>
        <w:t>author</w:t>
      </w:r>
      <w:r w:rsidRPr="00195AC3">
        <w:rPr>
          <w:rFonts w:asciiTheme="majorHAnsi" w:hAnsiTheme="majorHAnsi"/>
          <w:b/>
          <w:color w:val="E36C0A" w:themeColor="accent6" w:themeShade="BF"/>
          <w:sz w:val="28"/>
          <w:szCs w:val="28"/>
        </w:rPr>
        <w:br/>
      </w:r>
      <w:r>
        <w:rPr>
          <w:rFonts w:asciiTheme="majorHAnsi" w:hAnsiTheme="majorHAnsi"/>
        </w:rPr>
        <w:t xml:space="preserve">Maurice HT Ling, </w:t>
      </w:r>
      <w:r w:rsidR="00750F1E">
        <w:rPr>
          <w:rFonts w:ascii="Cambria" w:hAnsi="Cambria" w:cs="Times New Roman"/>
        </w:rPr>
        <w:t>Colossus Technologies LLP, Singapore</w:t>
      </w:r>
      <w:r>
        <w:rPr>
          <w:rFonts w:asciiTheme="majorHAnsi" w:hAnsiTheme="majorHAnsi"/>
        </w:rPr>
        <w:t xml:space="preserve">; </w:t>
      </w:r>
      <w:r w:rsidRPr="00195AC3">
        <w:rPr>
          <w:rFonts w:asciiTheme="majorHAnsi" w:hAnsiTheme="majorHAnsi"/>
        </w:rPr>
        <w:t xml:space="preserve">E-mail:  </w:t>
      </w:r>
      <w:r>
        <w:rPr>
          <w:rFonts w:asciiTheme="majorHAnsi" w:hAnsiTheme="majorHAnsi"/>
        </w:rPr>
        <w:t>mauriceling@acm.org</w:t>
      </w:r>
    </w:p>
    <w:p w:rsidR="0030298A" w:rsidRDefault="0030298A" w:rsidP="00B07E7C">
      <w:pPr>
        <w:spacing w:after="0" w:line="360" w:lineRule="auto"/>
        <w:rPr>
          <w:rFonts w:asciiTheme="majorHAnsi" w:hAnsiTheme="majorHAnsi" w:cs="Times New Roman"/>
          <w:sz w:val="20"/>
          <w:szCs w:val="20"/>
        </w:rPr>
      </w:pPr>
      <w:r w:rsidRPr="00195AC3">
        <w:rPr>
          <w:rFonts w:asciiTheme="majorHAnsi" w:hAnsiTheme="majorHAnsi"/>
          <w:b/>
          <w:sz w:val="24"/>
        </w:rPr>
        <w:br/>
      </w:r>
    </w:p>
    <w:p w:rsidR="0030298A" w:rsidRDefault="0030298A" w:rsidP="00B07E7C">
      <w:pPr>
        <w:spacing w:after="0" w:line="360" w:lineRule="auto"/>
        <w:rPr>
          <w:rFonts w:asciiTheme="majorHAnsi" w:hAnsiTheme="majorHAnsi" w:cs="Times New Roman"/>
          <w:sz w:val="20"/>
          <w:szCs w:val="20"/>
        </w:rPr>
      </w:pPr>
      <w:r>
        <w:rPr>
          <w:rFonts w:asciiTheme="majorHAnsi" w:hAnsiTheme="majorHAnsi" w:cs="Times New Roman"/>
          <w:sz w:val="20"/>
          <w:szCs w:val="20"/>
        </w:rPr>
        <w:br w:type="page"/>
      </w:r>
    </w:p>
    <w:p w:rsidR="007B7431" w:rsidRPr="0030298A" w:rsidRDefault="006F6C05" w:rsidP="00B07E7C">
      <w:pPr>
        <w:spacing w:after="0" w:line="360" w:lineRule="auto"/>
        <w:jc w:val="center"/>
        <w:rPr>
          <w:rFonts w:asciiTheme="majorHAnsi" w:hAnsiTheme="majorHAnsi" w:cs="Times New Roman"/>
          <w:b/>
          <w:sz w:val="30"/>
          <w:szCs w:val="30"/>
        </w:rPr>
      </w:pPr>
      <w:r>
        <w:rPr>
          <w:rFonts w:asciiTheme="majorHAnsi" w:hAnsiTheme="majorHAnsi" w:cs="Times New Roman"/>
          <w:b/>
          <w:sz w:val="30"/>
          <w:szCs w:val="30"/>
        </w:rPr>
        <w:lastRenderedPageBreak/>
        <w:t xml:space="preserve">A Personal Narrative </w:t>
      </w:r>
      <w:r w:rsidR="00F941B9">
        <w:rPr>
          <w:rFonts w:asciiTheme="majorHAnsi" w:hAnsiTheme="majorHAnsi" w:cs="Times New Roman"/>
          <w:b/>
          <w:sz w:val="30"/>
          <w:szCs w:val="30"/>
        </w:rPr>
        <w:t xml:space="preserve">of </w:t>
      </w:r>
      <w:r w:rsidR="00CD2D7E">
        <w:rPr>
          <w:rFonts w:asciiTheme="majorHAnsi" w:hAnsiTheme="majorHAnsi" w:cs="Times New Roman"/>
          <w:b/>
          <w:sz w:val="30"/>
          <w:szCs w:val="30"/>
        </w:rPr>
        <w:t>6</w:t>
      </w:r>
      <w:r w:rsidR="009F7590">
        <w:rPr>
          <w:rFonts w:asciiTheme="majorHAnsi" w:hAnsiTheme="majorHAnsi" w:cs="Times New Roman"/>
          <w:b/>
          <w:sz w:val="30"/>
          <w:szCs w:val="30"/>
        </w:rPr>
        <w:t xml:space="preserve"> </w:t>
      </w:r>
      <w:r w:rsidR="009A363E">
        <w:rPr>
          <w:rFonts w:asciiTheme="majorHAnsi" w:hAnsiTheme="majorHAnsi" w:cs="Times New Roman"/>
          <w:b/>
          <w:sz w:val="30"/>
          <w:szCs w:val="30"/>
        </w:rPr>
        <w:t>Pre-University</w:t>
      </w:r>
      <w:r w:rsidR="00C06BD0">
        <w:rPr>
          <w:rFonts w:asciiTheme="majorHAnsi" w:hAnsiTheme="majorHAnsi" w:cs="Times New Roman"/>
          <w:b/>
          <w:sz w:val="30"/>
          <w:szCs w:val="30"/>
        </w:rPr>
        <w:t xml:space="preserve"> Research Projects </w:t>
      </w:r>
      <w:r w:rsidR="009A363E">
        <w:rPr>
          <w:rFonts w:asciiTheme="majorHAnsi" w:hAnsiTheme="majorHAnsi" w:cs="Times New Roman"/>
          <w:b/>
          <w:sz w:val="30"/>
          <w:szCs w:val="30"/>
        </w:rPr>
        <w:t xml:space="preserve">Over 7 Years (2009-2015) </w:t>
      </w:r>
      <w:r w:rsidR="00C06BD0">
        <w:rPr>
          <w:rFonts w:asciiTheme="majorHAnsi" w:hAnsiTheme="majorHAnsi" w:cs="Times New Roman"/>
          <w:b/>
          <w:sz w:val="30"/>
          <w:szCs w:val="30"/>
        </w:rPr>
        <w:t>Yielding</w:t>
      </w:r>
      <w:r w:rsidR="00617417">
        <w:rPr>
          <w:rFonts w:asciiTheme="majorHAnsi" w:hAnsiTheme="majorHAnsi" w:cs="Times New Roman"/>
          <w:b/>
          <w:sz w:val="30"/>
          <w:szCs w:val="30"/>
        </w:rPr>
        <w:t xml:space="preserve"> 19</w:t>
      </w:r>
      <w:r w:rsidR="00CD2D7E">
        <w:rPr>
          <w:rFonts w:asciiTheme="majorHAnsi" w:hAnsiTheme="majorHAnsi" w:cs="Times New Roman"/>
          <w:b/>
          <w:sz w:val="30"/>
          <w:szCs w:val="30"/>
        </w:rPr>
        <w:t xml:space="preserve"> Manuscripts</w:t>
      </w:r>
    </w:p>
    <w:p w:rsidR="0060799C" w:rsidRDefault="0060799C" w:rsidP="00B07E7C">
      <w:pPr>
        <w:spacing w:after="0" w:line="360" w:lineRule="auto"/>
        <w:rPr>
          <w:rFonts w:ascii="Cambria" w:hAnsi="Cambria" w:cs="Times New Roman"/>
          <w:sz w:val="20"/>
          <w:szCs w:val="20"/>
        </w:rPr>
      </w:pPr>
    </w:p>
    <w:p w:rsidR="0030298A" w:rsidRPr="0030298A" w:rsidRDefault="0030298A" w:rsidP="00B07E7C">
      <w:pPr>
        <w:pStyle w:val="ListParagraph"/>
        <w:numPr>
          <w:ilvl w:val="0"/>
          <w:numId w:val="1"/>
        </w:numPr>
        <w:spacing w:after="0" w:line="360" w:lineRule="auto"/>
        <w:rPr>
          <w:rFonts w:asciiTheme="majorHAnsi" w:hAnsiTheme="majorHAnsi"/>
          <w:b/>
        </w:rPr>
      </w:pPr>
      <w:r>
        <w:rPr>
          <w:rFonts w:asciiTheme="majorHAnsi" w:hAnsiTheme="majorHAnsi"/>
          <w:b/>
          <w:color w:val="E36C0A" w:themeColor="accent6" w:themeShade="BF"/>
          <w:sz w:val="28"/>
          <w:szCs w:val="28"/>
        </w:rPr>
        <w:t>Abstract</w:t>
      </w:r>
    </w:p>
    <w:p w:rsidR="0030298A" w:rsidRPr="0078375F" w:rsidRDefault="009756A7" w:rsidP="00B07E7C">
      <w:pPr>
        <w:spacing w:after="0" w:line="360" w:lineRule="auto"/>
        <w:jc w:val="both"/>
        <w:rPr>
          <w:rFonts w:ascii="Times New Roman" w:hAnsi="Times New Roman" w:cs="Times New Roman"/>
          <w:sz w:val="24"/>
          <w:szCs w:val="24"/>
        </w:rPr>
      </w:pPr>
      <w:r>
        <w:rPr>
          <w:rFonts w:ascii="Cambria" w:hAnsi="Cambria" w:cs="Times New Roman"/>
          <w:sz w:val="20"/>
          <w:szCs w:val="20"/>
        </w:rPr>
        <w:t>Acquisition of research skills, including scientific enquiry, is an important requirement in scientific education, after the acquisition of a body of fundamental knowledge. Working on research projects is a direct means to gain research skills</w:t>
      </w:r>
      <w:r w:rsidR="009B4243">
        <w:rPr>
          <w:rFonts w:ascii="Cambria" w:hAnsi="Cambria" w:cs="Times New Roman"/>
          <w:sz w:val="20"/>
          <w:szCs w:val="20"/>
        </w:rPr>
        <w:t xml:space="preserve">, as well as gaining a firsthand experience of the research environment. Here, I </w:t>
      </w:r>
      <w:r w:rsidR="007209E2">
        <w:rPr>
          <w:rFonts w:ascii="Cambria" w:hAnsi="Cambria" w:cs="Times New Roman"/>
          <w:sz w:val="20"/>
          <w:szCs w:val="20"/>
        </w:rPr>
        <w:t xml:space="preserve">shall </w:t>
      </w:r>
      <w:r w:rsidR="009B4243">
        <w:rPr>
          <w:rFonts w:ascii="Cambria" w:hAnsi="Cambria" w:cs="Times New Roman"/>
          <w:sz w:val="20"/>
          <w:szCs w:val="20"/>
        </w:rPr>
        <w:t>narrate my experience and learnings as a research mentor involving 22 pre-university students in 6 research and development projects over a period of 7 years, yielding a total of 19 peer-r</w:t>
      </w:r>
      <w:r w:rsidR="007209E2">
        <w:rPr>
          <w:rFonts w:ascii="Cambria" w:hAnsi="Cambria" w:cs="Times New Roman"/>
          <w:sz w:val="20"/>
          <w:szCs w:val="20"/>
        </w:rPr>
        <w:t xml:space="preserve">eviewed manuscripts. I have 3 intentions to this narration - (a) to demonstrate that pre-university students can carry out useful research, (b) summarize my learning experience in this journey, and (c) providing some pointers and encouragement to my fellow mentors and intended mentors. </w:t>
      </w:r>
      <w:r w:rsidR="007B5CC9">
        <w:rPr>
          <w:rFonts w:ascii="Cambria" w:hAnsi="Cambria" w:cs="Times New Roman"/>
          <w:sz w:val="20"/>
          <w:szCs w:val="20"/>
        </w:rPr>
        <w:t xml:space="preserve">I learnt that (1) </w:t>
      </w:r>
      <w:r w:rsidR="008243BC">
        <w:rPr>
          <w:rFonts w:ascii="Cambria" w:hAnsi="Cambria" w:cs="Times New Roman"/>
          <w:sz w:val="20"/>
          <w:szCs w:val="20"/>
        </w:rPr>
        <w:t>pre-university students can produce publishable work but (2) the scope of the projects mu</w:t>
      </w:r>
      <w:r w:rsidR="007209E2">
        <w:rPr>
          <w:rFonts w:ascii="Cambria" w:hAnsi="Cambria" w:cs="Times New Roman"/>
          <w:sz w:val="20"/>
          <w:szCs w:val="20"/>
        </w:rPr>
        <w:t>st be well-defined with specific and measurable</w:t>
      </w:r>
      <w:r w:rsidR="008243BC">
        <w:rPr>
          <w:rFonts w:ascii="Cambria" w:hAnsi="Cambria" w:cs="Times New Roman"/>
          <w:sz w:val="20"/>
          <w:szCs w:val="20"/>
        </w:rPr>
        <w:t xml:space="preserve"> end-points</w:t>
      </w:r>
      <w:r w:rsidR="000511C0">
        <w:rPr>
          <w:rFonts w:ascii="Cambria" w:hAnsi="Cambria" w:cs="Times New Roman"/>
          <w:sz w:val="20"/>
          <w:szCs w:val="20"/>
        </w:rPr>
        <w:t>, (3)</w:t>
      </w:r>
      <w:r w:rsidR="008243BC">
        <w:rPr>
          <w:rFonts w:ascii="Cambria" w:hAnsi="Cambria" w:cs="Times New Roman"/>
          <w:sz w:val="20"/>
          <w:szCs w:val="20"/>
        </w:rPr>
        <w:t xml:space="preserve"> the involvement of the mentor </w:t>
      </w:r>
      <w:r w:rsidR="000511C0">
        <w:rPr>
          <w:rFonts w:ascii="Cambria" w:hAnsi="Cambria" w:cs="Times New Roman"/>
          <w:sz w:val="20"/>
          <w:szCs w:val="20"/>
        </w:rPr>
        <w:t>is substantial both in project formation and project</w:t>
      </w:r>
      <w:r w:rsidR="007209E2">
        <w:rPr>
          <w:rFonts w:ascii="Cambria" w:hAnsi="Cambria" w:cs="Times New Roman"/>
          <w:sz w:val="20"/>
          <w:szCs w:val="20"/>
        </w:rPr>
        <w:t xml:space="preserve"> management</w:t>
      </w:r>
      <w:r w:rsidR="000511C0">
        <w:rPr>
          <w:rFonts w:ascii="Cambria" w:hAnsi="Cambria" w:cs="Times New Roman"/>
          <w:sz w:val="20"/>
          <w:szCs w:val="20"/>
        </w:rPr>
        <w:t xml:space="preserve">, (4) quality work can be </w:t>
      </w:r>
      <w:r w:rsidR="007209E2">
        <w:rPr>
          <w:rFonts w:ascii="Cambria" w:hAnsi="Cambria" w:cs="Times New Roman"/>
          <w:sz w:val="20"/>
          <w:szCs w:val="20"/>
        </w:rPr>
        <w:t>achieved</w:t>
      </w:r>
      <w:r w:rsidR="000511C0">
        <w:rPr>
          <w:rFonts w:ascii="Cambria" w:hAnsi="Cambria" w:cs="Times New Roman"/>
          <w:sz w:val="20"/>
          <w:szCs w:val="20"/>
        </w:rPr>
        <w:t xml:space="preserve"> when students understand the background and context of their work, </w:t>
      </w:r>
      <w:r w:rsidR="001E2997">
        <w:rPr>
          <w:rFonts w:ascii="Cambria" w:hAnsi="Cambria" w:cs="Times New Roman"/>
          <w:sz w:val="20"/>
          <w:szCs w:val="20"/>
        </w:rPr>
        <w:t xml:space="preserve">(5) enduring working relationship between students and mentors requires time and efforts to build, </w:t>
      </w:r>
      <w:r w:rsidR="00EB40F8">
        <w:rPr>
          <w:rFonts w:ascii="Cambria" w:hAnsi="Cambria" w:cs="Times New Roman"/>
          <w:sz w:val="20"/>
          <w:szCs w:val="20"/>
        </w:rPr>
        <w:t>and (6</w:t>
      </w:r>
      <w:r w:rsidR="000511C0">
        <w:rPr>
          <w:rFonts w:ascii="Cambria" w:hAnsi="Cambria" w:cs="Times New Roman"/>
          <w:sz w:val="20"/>
          <w:szCs w:val="20"/>
        </w:rPr>
        <w:t>) the students can pleasantly surprise the mentor with their quality of writing and reasoning.</w:t>
      </w:r>
      <w:r w:rsidR="0042072F">
        <w:rPr>
          <w:rFonts w:ascii="Cambria" w:hAnsi="Cambria" w:cs="Times New Roman"/>
          <w:sz w:val="20"/>
          <w:szCs w:val="20"/>
        </w:rPr>
        <w:t xml:space="preserve"> </w:t>
      </w:r>
      <w:r w:rsidR="00CF0B29">
        <w:rPr>
          <w:rFonts w:ascii="Cambria" w:hAnsi="Cambria" w:cs="Times New Roman"/>
          <w:sz w:val="20"/>
          <w:szCs w:val="20"/>
        </w:rPr>
        <w:t>Upon reflection, I feel that I gained</w:t>
      </w:r>
      <w:r w:rsidR="0042072F">
        <w:rPr>
          <w:rFonts w:ascii="Cambria" w:hAnsi="Cambria" w:cs="Times New Roman"/>
          <w:sz w:val="20"/>
          <w:szCs w:val="20"/>
        </w:rPr>
        <w:t xml:space="preserve"> as much as the mentees</w:t>
      </w:r>
      <w:r w:rsidR="00CF0B29">
        <w:rPr>
          <w:rFonts w:ascii="Cambria" w:hAnsi="Cambria" w:cs="Times New Roman"/>
          <w:sz w:val="20"/>
          <w:szCs w:val="20"/>
        </w:rPr>
        <w:t xml:space="preserve"> / protégés</w:t>
      </w:r>
      <w:r w:rsidR="0042072F">
        <w:rPr>
          <w:rFonts w:ascii="Cambria" w:hAnsi="Cambria" w:cs="Times New Roman"/>
          <w:sz w:val="20"/>
          <w:szCs w:val="20"/>
        </w:rPr>
        <w:t>, if not more, and this encouraged me.</w:t>
      </w:r>
    </w:p>
    <w:p w:rsidR="0030298A" w:rsidRPr="0030298A" w:rsidRDefault="0030298A" w:rsidP="00B07E7C">
      <w:pPr>
        <w:pStyle w:val="ListParagraph"/>
        <w:tabs>
          <w:tab w:val="left" w:pos="3080"/>
        </w:tabs>
        <w:spacing w:after="0" w:line="360" w:lineRule="auto"/>
        <w:jc w:val="both"/>
        <w:rPr>
          <w:rFonts w:ascii="Cambria" w:hAnsi="Cambria" w:cs="Times New Roman"/>
          <w:sz w:val="20"/>
          <w:szCs w:val="20"/>
        </w:rPr>
      </w:pPr>
    </w:p>
    <w:p w:rsidR="00C31CCF" w:rsidRPr="00C31CCF" w:rsidRDefault="0030298A" w:rsidP="00B07E7C">
      <w:pPr>
        <w:pStyle w:val="ListParagraph"/>
        <w:numPr>
          <w:ilvl w:val="0"/>
          <w:numId w:val="1"/>
        </w:numPr>
        <w:spacing w:after="0" w:line="360" w:lineRule="auto"/>
        <w:rPr>
          <w:rFonts w:asciiTheme="majorHAnsi" w:hAnsiTheme="majorHAnsi"/>
          <w:b/>
          <w:color w:val="E36C0A" w:themeColor="accent6" w:themeShade="BF"/>
          <w:sz w:val="28"/>
          <w:szCs w:val="28"/>
        </w:rPr>
      </w:pPr>
      <w:r w:rsidRPr="00244842">
        <w:rPr>
          <w:rFonts w:asciiTheme="majorHAnsi" w:hAnsiTheme="majorHAnsi"/>
          <w:b/>
          <w:color w:val="E36C0A" w:themeColor="accent6" w:themeShade="BF"/>
          <w:sz w:val="28"/>
          <w:szCs w:val="28"/>
        </w:rPr>
        <w:t>Keywords</w:t>
      </w:r>
    </w:p>
    <w:p w:rsidR="0030298A" w:rsidRPr="00C31CCF" w:rsidRDefault="00C2332D" w:rsidP="00B07E7C">
      <w:pPr>
        <w:pStyle w:val="ListParagraph"/>
        <w:spacing w:after="0" w:line="360" w:lineRule="auto"/>
        <w:ind w:left="0"/>
        <w:rPr>
          <w:rFonts w:ascii="Cambria" w:hAnsi="Cambria"/>
          <w:b/>
          <w:color w:val="E36C0A" w:themeColor="accent6" w:themeShade="BF"/>
          <w:sz w:val="20"/>
          <w:szCs w:val="20"/>
        </w:rPr>
      </w:pPr>
      <w:r>
        <w:rPr>
          <w:rFonts w:ascii="Cambria" w:eastAsia="Times New Roman" w:hAnsi="Cambria" w:cs="Times New Roman"/>
          <w:sz w:val="20"/>
          <w:szCs w:val="20"/>
        </w:rPr>
        <w:t>P</w:t>
      </w:r>
      <w:r w:rsidR="00B173DD">
        <w:rPr>
          <w:rFonts w:ascii="Cambria" w:eastAsia="Times New Roman" w:hAnsi="Cambria" w:cs="Times New Roman"/>
          <w:sz w:val="20"/>
          <w:szCs w:val="20"/>
        </w:rPr>
        <w:t>re-university, high school, research projects, publications</w:t>
      </w:r>
      <w:r>
        <w:rPr>
          <w:rFonts w:ascii="Cambria" w:eastAsia="Times New Roman" w:hAnsi="Cambria" w:cs="Times New Roman"/>
          <w:sz w:val="20"/>
          <w:szCs w:val="20"/>
        </w:rPr>
        <w:t>, critical success factors</w:t>
      </w:r>
      <w:r w:rsidR="0030298A" w:rsidRPr="00C31CCF">
        <w:rPr>
          <w:rFonts w:ascii="Cambria" w:hAnsi="Cambria"/>
          <w:sz w:val="20"/>
          <w:szCs w:val="20"/>
        </w:rPr>
        <w:br/>
      </w:r>
    </w:p>
    <w:p w:rsidR="0030298A" w:rsidRDefault="0030298A" w:rsidP="00B07E7C">
      <w:pPr>
        <w:pStyle w:val="ListParagraph"/>
        <w:numPr>
          <w:ilvl w:val="0"/>
          <w:numId w:val="1"/>
        </w:numPr>
        <w:spacing w:after="0" w:line="360" w:lineRule="auto"/>
        <w:ind w:left="0" w:firstLine="0"/>
        <w:rPr>
          <w:rFonts w:asciiTheme="majorHAnsi" w:hAnsiTheme="majorHAnsi"/>
        </w:rPr>
      </w:pPr>
      <w:r w:rsidRPr="00244842">
        <w:rPr>
          <w:rFonts w:asciiTheme="majorHAnsi" w:hAnsiTheme="majorHAnsi"/>
          <w:b/>
          <w:color w:val="E36C0A" w:themeColor="accent6" w:themeShade="BF"/>
          <w:sz w:val="28"/>
          <w:szCs w:val="28"/>
        </w:rPr>
        <w:t>Introduction</w:t>
      </w:r>
    </w:p>
    <w:p w:rsidR="002F17E0" w:rsidRDefault="00DB3687" w:rsidP="00B07E7C">
      <w:pPr>
        <w:spacing w:after="0" w:line="360" w:lineRule="auto"/>
        <w:jc w:val="both"/>
        <w:rPr>
          <w:rFonts w:ascii="Cambria" w:hAnsi="Cambria" w:cs="Times New Roman"/>
          <w:sz w:val="20"/>
          <w:szCs w:val="20"/>
        </w:rPr>
      </w:pPr>
      <w:r>
        <w:rPr>
          <w:rFonts w:ascii="Cambria" w:hAnsi="Cambria" w:cs="Times New Roman"/>
          <w:sz w:val="20"/>
          <w:szCs w:val="20"/>
        </w:rPr>
        <w:t>Scientific enquiry is important</w:t>
      </w:r>
      <w:r w:rsidR="00860FCB">
        <w:rPr>
          <w:rFonts w:ascii="Cambria" w:hAnsi="Cambria" w:cs="Times New Roman"/>
          <w:sz w:val="20"/>
          <w:szCs w:val="20"/>
        </w:rPr>
        <w:t xml:space="preserve"> in scientific education</w:t>
      </w:r>
      <w:r w:rsidR="005C7C49">
        <w:rPr>
          <w:rFonts w:ascii="Cambria" w:hAnsi="Cambria" w:cs="Times New Roman"/>
          <w:sz w:val="20"/>
          <w:szCs w:val="20"/>
        </w:rPr>
        <w:t xml:space="preserve"> </w:t>
      </w:r>
      <w:r w:rsidR="00860FCB">
        <w:rPr>
          <w:rFonts w:ascii="Cambria" w:hAnsi="Cambria" w:cs="Times New Roman"/>
          <w:sz w:val="20"/>
          <w:szCs w:val="20"/>
        </w:rPr>
        <w:t xml:space="preserve">[1], in addition to acquiring a body of knowledge. </w:t>
      </w:r>
      <w:r w:rsidR="006B31D3">
        <w:rPr>
          <w:rFonts w:ascii="Cambria" w:hAnsi="Cambria" w:cs="Times New Roman"/>
          <w:sz w:val="20"/>
          <w:szCs w:val="20"/>
        </w:rPr>
        <w:t xml:space="preserve">Upon acquiring a body of knowledge, the student is expected to be able to apply the knowledge in new settings. A </w:t>
      </w:r>
      <w:r>
        <w:rPr>
          <w:rFonts w:ascii="Cambria" w:hAnsi="Cambria" w:cs="Times New Roman"/>
          <w:sz w:val="20"/>
          <w:szCs w:val="20"/>
        </w:rPr>
        <w:t>common tool for teaching scientific enquiry is to engage students in pro</w:t>
      </w:r>
      <w:r w:rsidR="006B31D3">
        <w:rPr>
          <w:rFonts w:ascii="Cambria" w:hAnsi="Cambria" w:cs="Times New Roman"/>
          <w:sz w:val="20"/>
          <w:szCs w:val="20"/>
        </w:rPr>
        <w:t xml:space="preserve">ject work or problem-based learning [2]; which had been carried out at all levels of scientific education, from high school [3-6] to undergraduate studies [7-13]. Such research skills are exceptionally crucial in bioinformatics as bioinformatics is primarily a hands-on, minds-on </w:t>
      </w:r>
      <w:proofErr w:type="spellStart"/>
      <w:r w:rsidR="006B31D3">
        <w:rPr>
          <w:rFonts w:ascii="Cambria" w:hAnsi="Cambria" w:cs="Times New Roman"/>
          <w:sz w:val="20"/>
          <w:szCs w:val="20"/>
        </w:rPr>
        <w:t>endeavo</w:t>
      </w:r>
      <w:r w:rsidR="007209E2">
        <w:rPr>
          <w:rFonts w:ascii="Cambria" w:hAnsi="Cambria" w:cs="Times New Roman"/>
          <w:sz w:val="20"/>
          <w:szCs w:val="20"/>
        </w:rPr>
        <w:t>u</w:t>
      </w:r>
      <w:r w:rsidR="006B31D3">
        <w:rPr>
          <w:rFonts w:ascii="Cambria" w:hAnsi="Cambria" w:cs="Times New Roman"/>
          <w:sz w:val="20"/>
          <w:szCs w:val="20"/>
        </w:rPr>
        <w:t>r</w:t>
      </w:r>
      <w:proofErr w:type="spellEnd"/>
      <w:r w:rsidR="006B31D3">
        <w:rPr>
          <w:rFonts w:ascii="Cambria" w:hAnsi="Cambria" w:cs="Times New Roman"/>
          <w:sz w:val="20"/>
          <w:szCs w:val="20"/>
        </w:rPr>
        <w:t xml:space="preserve"> [1]. This emphasis on bioinformatics research and problem-solving skills are supported by significant number of </w:t>
      </w:r>
      <w:proofErr w:type="spellStart"/>
      <w:r w:rsidR="006B31D3">
        <w:rPr>
          <w:rFonts w:ascii="Cambria" w:hAnsi="Cambria" w:cs="Times New Roman"/>
          <w:sz w:val="20"/>
          <w:szCs w:val="20"/>
        </w:rPr>
        <w:t>bioinformaticists</w:t>
      </w:r>
      <w:proofErr w:type="spellEnd"/>
      <w:r w:rsidR="006B31D3">
        <w:rPr>
          <w:rFonts w:ascii="Cambria" w:hAnsi="Cambria" w:cs="Times New Roman"/>
          <w:sz w:val="20"/>
          <w:szCs w:val="20"/>
        </w:rPr>
        <w:t xml:space="preserve"> [14-16].</w:t>
      </w:r>
      <w:r w:rsidR="005A71BE">
        <w:rPr>
          <w:rFonts w:ascii="Cambria" w:hAnsi="Cambria" w:cs="Times New Roman"/>
          <w:sz w:val="20"/>
          <w:szCs w:val="20"/>
        </w:rPr>
        <w:t xml:space="preserve"> </w:t>
      </w:r>
    </w:p>
    <w:p w:rsidR="002F17E0" w:rsidRDefault="002F17E0" w:rsidP="00B07E7C">
      <w:pPr>
        <w:spacing w:after="0" w:line="360" w:lineRule="auto"/>
        <w:jc w:val="both"/>
        <w:rPr>
          <w:rFonts w:ascii="Cambria" w:hAnsi="Cambria" w:cs="Times New Roman"/>
          <w:sz w:val="20"/>
          <w:szCs w:val="20"/>
        </w:rPr>
      </w:pPr>
    </w:p>
    <w:p w:rsidR="0030298A" w:rsidRDefault="002F17E0" w:rsidP="00B07E7C">
      <w:pPr>
        <w:spacing w:after="0" w:line="360" w:lineRule="auto"/>
        <w:jc w:val="both"/>
        <w:rPr>
          <w:rFonts w:ascii="Cambria" w:hAnsi="Cambria" w:cs="Times New Roman"/>
          <w:sz w:val="20"/>
          <w:szCs w:val="20"/>
        </w:rPr>
      </w:pPr>
      <w:r>
        <w:rPr>
          <w:rFonts w:ascii="Cambria" w:hAnsi="Cambria" w:cs="Times New Roman"/>
          <w:sz w:val="20"/>
          <w:szCs w:val="20"/>
        </w:rPr>
        <w:t>Several studies have enumerated various benefits of incorporating research experience into scientific education</w:t>
      </w:r>
      <w:r w:rsidR="00F419CA">
        <w:rPr>
          <w:rFonts w:ascii="Cambria" w:hAnsi="Cambria" w:cs="Times New Roman"/>
          <w:sz w:val="20"/>
          <w:szCs w:val="20"/>
        </w:rPr>
        <w:t xml:space="preserve"> [3, 6, 8, 9, 11, 13, 14</w:t>
      </w:r>
      <w:r w:rsidR="00BD50C7">
        <w:rPr>
          <w:rFonts w:ascii="Cambria" w:hAnsi="Cambria" w:cs="Times New Roman"/>
          <w:sz w:val="20"/>
          <w:szCs w:val="20"/>
        </w:rPr>
        <w:t>, 15</w:t>
      </w:r>
      <w:r w:rsidR="00F419CA">
        <w:rPr>
          <w:rFonts w:ascii="Cambria" w:hAnsi="Cambria" w:cs="Times New Roman"/>
          <w:sz w:val="20"/>
          <w:szCs w:val="20"/>
        </w:rPr>
        <w:t>]</w:t>
      </w:r>
      <w:r>
        <w:rPr>
          <w:rFonts w:ascii="Cambria" w:hAnsi="Cambria" w:cs="Times New Roman"/>
          <w:sz w:val="20"/>
          <w:szCs w:val="20"/>
        </w:rPr>
        <w:t xml:space="preserve">. </w:t>
      </w:r>
      <w:proofErr w:type="spellStart"/>
      <w:r>
        <w:rPr>
          <w:rFonts w:ascii="Cambria" w:hAnsi="Cambria" w:cs="Times New Roman"/>
          <w:sz w:val="20"/>
          <w:szCs w:val="20"/>
        </w:rPr>
        <w:t>Krasny</w:t>
      </w:r>
      <w:proofErr w:type="spellEnd"/>
      <w:r>
        <w:rPr>
          <w:rFonts w:ascii="Cambria" w:hAnsi="Cambria" w:cs="Times New Roman"/>
          <w:sz w:val="20"/>
          <w:szCs w:val="20"/>
        </w:rPr>
        <w:t xml:space="preserve"> [3] studied high-ability students and found that students gained a better understanding of the research process while graduate students acting as mentors gained their first </w:t>
      </w:r>
      <w:r>
        <w:rPr>
          <w:rFonts w:ascii="Cambria" w:hAnsi="Cambria" w:cs="Times New Roman"/>
          <w:sz w:val="20"/>
          <w:szCs w:val="20"/>
        </w:rPr>
        <w:lastRenderedPageBreak/>
        <w:t xml:space="preserve">mentoring experience. </w:t>
      </w:r>
      <w:r w:rsidR="00F419CA">
        <w:rPr>
          <w:rFonts w:ascii="Cambria" w:hAnsi="Cambria" w:cs="Times New Roman"/>
          <w:sz w:val="20"/>
          <w:szCs w:val="20"/>
        </w:rPr>
        <w:t>Moreover, students with research experience are more likely to enter [6, 8</w:t>
      </w:r>
      <w:r w:rsidR="00BD50C7">
        <w:rPr>
          <w:rFonts w:ascii="Cambria" w:hAnsi="Cambria" w:cs="Times New Roman"/>
          <w:sz w:val="20"/>
          <w:szCs w:val="20"/>
        </w:rPr>
        <w:t>, 13</w:t>
      </w:r>
      <w:r w:rsidR="00F419CA">
        <w:rPr>
          <w:rFonts w:ascii="Cambria" w:hAnsi="Cambria" w:cs="Times New Roman"/>
          <w:sz w:val="20"/>
          <w:szCs w:val="20"/>
        </w:rPr>
        <w:t>] and maintain a career in science [6]. This may be due to increased motivation, independence, and active learning [12], which may be the result of increased confidence</w:t>
      </w:r>
      <w:r w:rsidR="00BD50C7">
        <w:rPr>
          <w:rFonts w:ascii="Cambria" w:hAnsi="Cambria" w:cs="Times New Roman"/>
          <w:sz w:val="20"/>
          <w:szCs w:val="20"/>
        </w:rPr>
        <w:t xml:space="preserve"> and role-modeling of the research mentor [11]. Research experience is crucial in providing a platform to develop data handling and analytical skills, and gaining a deeper understanding of the theoretical principles [15]. </w:t>
      </w:r>
    </w:p>
    <w:p w:rsidR="00BD50C7" w:rsidRDefault="00BD50C7" w:rsidP="00B07E7C">
      <w:pPr>
        <w:spacing w:after="0" w:line="360" w:lineRule="auto"/>
        <w:jc w:val="both"/>
        <w:rPr>
          <w:rFonts w:ascii="Cambria" w:hAnsi="Cambria" w:cs="Times New Roman"/>
          <w:sz w:val="20"/>
          <w:szCs w:val="20"/>
        </w:rPr>
      </w:pPr>
    </w:p>
    <w:p w:rsidR="005A71BE" w:rsidRPr="0030298A" w:rsidRDefault="0014192D" w:rsidP="00B07E7C">
      <w:pPr>
        <w:spacing w:after="0" w:line="360" w:lineRule="auto"/>
        <w:jc w:val="both"/>
        <w:rPr>
          <w:rFonts w:ascii="Cambria" w:hAnsi="Cambria" w:cs="Times New Roman"/>
          <w:sz w:val="20"/>
          <w:szCs w:val="20"/>
        </w:rPr>
      </w:pPr>
      <w:r>
        <w:rPr>
          <w:rFonts w:ascii="Cambria" w:hAnsi="Cambria" w:cs="Times New Roman"/>
          <w:sz w:val="20"/>
          <w:szCs w:val="20"/>
        </w:rPr>
        <w:t xml:space="preserve">In this article, I </w:t>
      </w:r>
      <w:r w:rsidR="00FC2D9D">
        <w:rPr>
          <w:rFonts w:ascii="Cambria" w:hAnsi="Cambria" w:cs="Times New Roman"/>
          <w:sz w:val="20"/>
          <w:szCs w:val="20"/>
        </w:rPr>
        <w:t xml:space="preserve">account my experience as a research mentor over </w:t>
      </w:r>
      <w:r w:rsidR="009A363E">
        <w:rPr>
          <w:rFonts w:ascii="Cambria" w:hAnsi="Cambria" w:cs="Times New Roman"/>
          <w:sz w:val="20"/>
          <w:szCs w:val="20"/>
        </w:rPr>
        <w:t>7 years (2009-2015)</w:t>
      </w:r>
      <w:r w:rsidR="00FC2D9D">
        <w:rPr>
          <w:rFonts w:ascii="Cambria" w:hAnsi="Cambria" w:cs="Times New Roman"/>
          <w:sz w:val="20"/>
          <w:szCs w:val="20"/>
        </w:rPr>
        <w:t xml:space="preserve"> using a multi-case</w:t>
      </w:r>
      <w:r w:rsidR="00CE62B0">
        <w:rPr>
          <w:rFonts w:ascii="Cambria" w:hAnsi="Cambria" w:cs="Times New Roman"/>
          <w:sz w:val="20"/>
          <w:szCs w:val="20"/>
        </w:rPr>
        <w:t xml:space="preserve"> [17-20]</w:t>
      </w:r>
      <w:r w:rsidR="00FC2D9D">
        <w:rPr>
          <w:rFonts w:ascii="Cambria" w:hAnsi="Cambria" w:cs="Times New Roman"/>
          <w:sz w:val="20"/>
          <w:szCs w:val="20"/>
        </w:rPr>
        <w:t xml:space="preserve"> personal narration </w:t>
      </w:r>
      <w:r w:rsidR="00CE62B0">
        <w:rPr>
          <w:rFonts w:ascii="Cambria" w:hAnsi="Cambria" w:cs="Times New Roman"/>
          <w:sz w:val="20"/>
          <w:szCs w:val="20"/>
        </w:rPr>
        <w:t xml:space="preserve">[21-25] </w:t>
      </w:r>
      <w:r w:rsidR="00FC2D9D">
        <w:rPr>
          <w:rFonts w:ascii="Cambria" w:hAnsi="Cambria" w:cs="Times New Roman"/>
          <w:sz w:val="20"/>
          <w:szCs w:val="20"/>
        </w:rPr>
        <w:t>approach</w:t>
      </w:r>
      <w:r>
        <w:rPr>
          <w:rFonts w:ascii="Cambria" w:hAnsi="Cambria" w:cs="Times New Roman"/>
          <w:sz w:val="20"/>
          <w:szCs w:val="20"/>
        </w:rPr>
        <w:t xml:space="preserve"> involving</w:t>
      </w:r>
      <w:r w:rsidR="00B30CBE">
        <w:rPr>
          <w:rFonts w:ascii="Cambria" w:hAnsi="Cambria" w:cs="Times New Roman"/>
          <w:sz w:val="20"/>
          <w:szCs w:val="20"/>
        </w:rPr>
        <w:t xml:space="preserve"> 22</w:t>
      </w:r>
      <w:r>
        <w:rPr>
          <w:rFonts w:ascii="Cambria" w:hAnsi="Cambria" w:cs="Times New Roman"/>
          <w:sz w:val="20"/>
          <w:szCs w:val="20"/>
        </w:rPr>
        <w:t xml:space="preserve"> pre-university students in 6 research </w:t>
      </w:r>
      <w:r w:rsidR="000A6383">
        <w:rPr>
          <w:rFonts w:ascii="Cambria" w:hAnsi="Cambria" w:cs="Times New Roman"/>
          <w:sz w:val="20"/>
          <w:szCs w:val="20"/>
        </w:rPr>
        <w:t xml:space="preserve">and development </w:t>
      </w:r>
      <w:r>
        <w:rPr>
          <w:rFonts w:ascii="Cambria" w:hAnsi="Cambria" w:cs="Times New Roman"/>
          <w:sz w:val="20"/>
          <w:szCs w:val="20"/>
        </w:rPr>
        <w:t>projects</w:t>
      </w:r>
      <w:r w:rsidR="007209E2">
        <w:rPr>
          <w:rFonts w:ascii="Cambria" w:hAnsi="Cambria" w:cs="Times New Roman"/>
          <w:sz w:val="20"/>
          <w:szCs w:val="20"/>
        </w:rPr>
        <w:t xml:space="preserve"> with several intentions - (a) to demonstrate that pre-university students can carry out useful research, (b) summarize my learning experience in this journey, and (c) providing some pointers and encouragement to my fellow mentors and intended mentors.</w:t>
      </w:r>
      <w:r w:rsidR="00FC2D9D">
        <w:rPr>
          <w:rFonts w:ascii="Cambria" w:hAnsi="Cambria" w:cs="Times New Roman"/>
          <w:sz w:val="20"/>
          <w:szCs w:val="20"/>
        </w:rPr>
        <w:t xml:space="preserve"> Personal narration</w:t>
      </w:r>
      <w:r w:rsidR="00CE62B0">
        <w:rPr>
          <w:rFonts w:ascii="Cambria" w:hAnsi="Cambria" w:cs="Times New Roman"/>
          <w:sz w:val="20"/>
          <w:szCs w:val="20"/>
        </w:rPr>
        <w:t>, sometimes also known as storytelling</w:t>
      </w:r>
      <w:r w:rsidR="001545EF">
        <w:rPr>
          <w:rFonts w:ascii="Cambria" w:hAnsi="Cambria" w:cs="Times New Roman"/>
          <w:sz w:val="20"/>
          <w:szCs w:val="20"/>
        </w:rPr>
        <w:t xml:space="preserve"> [21]</w:t>
      </w:r>
      <w:r w:rsidR="00CE62B0">
        <w:rPr>
          <w:rFonts w:ascii="Cambria" w:hAnsi="Cambria" w:cs="Times New Roman"/>
          <w:sz w:val="20"/>
          <w:szCs w:val="20"/>
        </w:rPr>
        <w:t xml:space="preserve">, is autobiographic in nature </w:t>
      </w:r>
      <w:r w:rsidR="001545EF">
        <w:rPr>
          <w:rFonts w:ascii="Cambria" w:hAnsi="Cambria" w:cs="Times New Roman"/>
          <w:sz w:val="20"/>
          <w:szCs w:val="20"/>
        </w:rPr>
        <w:t>with rich emotional and contextual cues [22]</w:t>
      </w:r>
      <w:r w:rsidR="00FD523C">
        <w:rPr>
          <w:rFonts w:ascii="Cambria" w:hAnsi="Cambria" w:cs="Times New Roman"/>
          <w:sz w:val="20"/>
          <w:szCs w:val="20"/>
        </w:rPr>
        <w:t xml:space="preserve"> that are required to describe the human experience [25]. Thus, personal narration puts the human into the story [26, 27]. </w:t>
      </w:r>
      <w:r w:rsidR="00261DAF">
        <w:rPr>
          <w:rFonts w:ascii="Cambria" w:hAnsi="Cambria" w:cs="Times New Roman"/>
          <w:sz w:val="20"/>
          <w:szCs w:val="20"/>
        </w:rPr>
        <w:t>Personal narration also overlaps with participatory action research where reflective self-inquiry is carried out with the intention to improve subsequent actions [28</w:t>
      </w:r>
      <w:r w:rsidR="002430DE">
        <w:rPr>
          <w:rFonts w:ascii="Cambria" w:hAnsi="Cambria" w:cs="Times New Roman"/>
          <w:sz w:val="20"/>
          <w:szCs w:val="20"/>
        </w:rPr>
        <w:t>-30</w:t>
      </w:r>
      <w:r w:rsidR="00261DAF">
        <w:rPr>
          <w:rFonts w:ascii="Cambria" w:hAnsi="Cambria" w:cs="Times New Roman"/>
          <w:sz w:val="20"/>
          <w:szCs w:val="20"/>
        </w:rPr>
        <w:t>].</w:t>
      </w:r>
      <w:r w:rsidR="002430DE">
        <w:rPr>
          <w:rFonts w:ascii="Cambria" w:hAnsi="Cambria" w:cs="Times New Roman"/>
          <w:sz w:val="20"/>
          <w:szCs w:val="20"/>
        </w:rPr>
        <w:t xml:space="preserve"> In a series of cases over a </w:t>
      </w:r>
      <w:r>
        <w:rPr>
          <w:rFonts w:ascii="Cambria" w:hAnsi="Cambria" w:cs="Times New Roman"/>
          <w:sz w:val="20"/>
          <w:szCs w:val="20"/>
        </w:rPr>
        <w:t>period</w:t>
      </w:r>
      <w:r w:rsidR="002430DE">
        <w:rPr>
          <w:rFonts w:ascii="Cambria" w:hAnsi="Cambria" w:cs="Times New Roman"/>
          <w:sz w:val="20"/>
          <w:szCs w:val="20"/>
        </w:rPr>
        <w:t>, it is highly unlikely that learning from preceding cases does not impact on succeeding cases even though this is not intentional.</w:t>
      </w:r>
      <w:r>
        <w:rPr>
          <w:rFonts w:ascii="Cambria" w:hAnsi="Cambria" w:cs="Times New Roman"/>
          <w:sz w:val="20"/>
          <w:szCs w:val="20"/>
        </w:rPr>
        <w:t xml:space="preserve"> Despite so, there are elements of participatory action research spanning across my narration. </w:t>
      </w:r>
      <w:r w:rsidR="00EA0293">
        <w:rPr>
          <w:rFonts w:ascii="Cambria" w:hAnsi="Cambria" w:cs="Times New Roman"/>
          <w:sz w:val="20"/>
          <w:szCs w:val="20"/>
        </w:rPr>
        <w:t>Multi-case study is an ex</w:t>
      </w:r>
      <w:r w:rsidR="002430DE">
        <w:rPr>
          <w:rFonts w:ascii="Cambria" w:hAnsi="Cambria" w:cs="Times New Roman"/>
          <w:sz w:val="20"/>
          <w:szCs w:val="20"/>
        </w:rPr>
        <w:t>tension of single case study [31, 32</w:t>
      </w:r>
      <w:r w:rsidR="00EA0293">
        <w:rPr>
          <w:rFonts w:ascii="Cambria" w:hAnsi="Cambria" w:cs="Times New Roman"/>
          <w:sz w:val="20"/>
          <w:szCs w:val="20"/>
        </w:rPr>
        <w:t xml:space="preserve">] where more than one cases are presented. </w:t>
      </w:r>
      <w:r w:rsidR="00261DAF">
        <w:rPr>
          <w:rFonts w:ascii="Cambria" w:hAnsi="Cambria" w:cs="Times New Roman"/>
          <w:sz w:val="20"/>
          <w:szCs w:val="20"/>
        </w:rPr>
        <w:t xml:space="preserve">Thus, multi-case study offers the ability to </w:t>
      </w:r>
      <w:r>
        <w:rPr>
          <w:rFonts w:ascii="Cambria" w:hAnsi="Cambria" w:cs="Times New Roman"/>
          <w:sz w:val="20"/>
          <w:szCs w:val="20"/>
        </w:rPr>
        <w:t>compare</w:t>
      </w:r>
      <w:r w:rsidR="00261DAF">
        <w:rPr>
          <w:rFonts w:ascii="Cambria" w:hAnsi="Cambria" w:cs="Times New Roman"/>
          <w:sz w:val="20"/>
          <w:szCs w:val="20"/>
        </w:rPr>
        <w:t xml:space="preserve"> between different cases</w:t>
      </w:r>
      <w:r w:rsidR="002430DE">
        <w:rPr>
          <w:rFonts w:ascii="Cambria" w:hAnsi="Cambria" w:cs="Times New Roman"/>
          <w:sz w:val="20"/>
          <w:szCs w:val="20"/>
        </w:rPr>
        <w:t xml:space="preserve"> [32-37</w:t>
      </w:r>
      <w:r w:rsidR="00261DAF">
        <w:rPr>
          <w:rFonts w:ascii="Cambria" w:hAnsi="Cambria" w:cs="Times New Roman"/>
          <w:sz w:val="20"/>
          <w:szCs w:val="20"/>
        </w:rPr>
        <w:t>] to unravel underlying patterns while providing the rich and in-depth contextual analysis in single case studies</w:t>
      </w:r>
      <w:r w:rsidR="002430DE">
        <w:rPr>
          <w:rFonts w:ascii="Cambria" w:hAnsi="Cambria" w:cs="Times New Roman"/>
          <w:sz w:val="20"/>
          <w:szCs w:val="20"/>
        </w:rPr>
        <w:t xml:space="preserve"> [31, 32</w:t>
      </w:r>
      <w:r w:rsidR="00261DAF">
        <w:rPr>
          <w:rFonts w:ascii="Cambria" w:hAnsi="Cambria" w:cs="Times New Roman"/>
          <w:sz w:val="20"/>
          <w:szCs w:val="20"/>
        </w:rPr>
        <w:t xml:space="preserve">]. </w:t>
      </w:r>
    </w:p>
    <w:p w:rsidR="0030298A" w:rsidRPr="0030298A" w:rsidRDefault="0030298A" w:rsidP="00B07E7C">
      <w:pPr>
        <w:pStyle w:val="ListParagraph"/>
        <w:spacing w:after="0" w:line="360" w:lineRule="auto"/>
        <w:jc w:val="both"/>
        <w:rPr>
          <w:rFonts w:ascii="Cambria" w:hAnsi="Cambria" w:cs="Times New Roman"/>
          <w:sz w:val="20"/>
          <w:szCs w:val="20"/>
        </w:rPr>
      </w:pPr>
    </w:p>
    <w:p w:rsidR="0030298A" w:rsidRPr="00A56A12" w:rsidRDefault="00C06BD0" w:rsidP="00B07E7C">
      <w:pPr>
        <w:pStyle w:val="ListParagraph"/>
        <w:numPr>
          <w:ilvl w:val="0"/>
          <w:numId w:val="1"/>
        </w:numPr>
        <w:spacing w:after="0" w:line="360" w:lineRule="auto"/>
        <w:rPr>
          <w:rFonts w:asciiTheme="majorHAnsi" w:hAnsiTheme="majorHAnsi"/>
        </w:rPr>
      </w:pPr>
      <w:r>
        <w:rPr>
          <w:rFonts w:asciiTheme="majorHAnsi" w:hAnsiTheme="majorHAnsi"/>
          <w:b/>
          <w:color w:val="E36C0A" w:themeColor="accent6" w:themeShade="BF"/>
          <w:sz w:val="28"/>
          <w:szCs w:val="28"/>
        </w:rPr>
        <w:t>Personal Narration</w:t>
      </w:r>
    </w:p>
    <w:p w:rsidR="00A56A12" w:rsidRDefault="000A6383" w:rsidP="00D02D39">
      <w:pPr>
        <w:spacing w:after="0" w:line="360" w:lineRule="auto"/>
        <w:jc w:val="both"/>
        <w:rPr>
          <w:rFonts w:ascii="Cambria" w:hAnsi="Cambria"/>
          <w:sz w:val="20"/>
          <w:szCs w:val="20"/>
        </w:rPr>
      </w:pPr>
      <w:r>
        <w:rPr>
          <w:rFonts w:ascii="Cambria" w:hAnsi="Cambria"/>
          <w:sz w:val="20"/>
          <w:szCs w:val="20"/>
        </w:rPr>
        <w:t xml:space="preserve">In this section, I will narrate the 6 research and development projects and within each project, the narrative will be in chronological order </w:t>
      </w:r>
      <w:r w:rsidR="00617417">
        <w:rPr>
          <w:rFonts w:ascii="Cambria" w:hAnsi="Cambria"/>
          <w:sz w:val="20"/>
          <w:szCs w:val="20"/>
        </w:rPr>
        <w:t>to</w:t>
      </w:r>
      <w:r>
        <w:rPr>
          <w:rFonts w:ascii="Cambria" w:hAnsi="Cambria"/>
          <w:sz w:val="20"/>
          <w:szCs w:val="20"/>
        </w:rPr>
        <w:t xml:space="preserve"> illustrate the learning process and progression within each project. </w:t>
      </w:r>
      <w:r w:rsidR="00D02D39">
        <w:rPr>
          <w:rFonts w:ascii="Cambria" w:hAnsi="Cambria"/>
          <w:sz w:val="20"/>
          <w:szCs w:val="20"/>
        </w:rPr>
        <w:t xml:space="preserve">A timeline </w:t>
      </w:r>
      <w:r w:rsidR="00546E81">
        <w:rPr>
          <w:rFonts w:ascii="Cambria" w:hAnsi="Cambria"/>
          <w:sz w:val="20"/>
          <w:szCs w:val="20"/>
        </w:rPr>
        <w:t xml:space="preserve">and publication achievements </w:t>
      </w:r>
      <w:r w:rsidR="00D02D39">
        <w:rPr>
          <w:rFonts w:ascii="Cambria" w:hAnsi="Cambria"/>
          <w:sz w:val="20"/>
          <w:szCs w:val="20"/>
        </w:rPr>
        <w:t xml:space="preserve">of the 6 projects </w:t>
      </w:r>
      <w:r w:rsidR="00B30CBE">
        <w:rPr>
          <w:rFonts w:ascii="Cambria" w:hAnsi="Cambria"/>
          <w:sz w:val="20"/>
          <w:szCs w:val="20"/>
        </w:rPr>
        <w:t>and 22</w:t>
      </w:r>
      <w:r w:rsidR="00D02D39">
        <w:rPr>
          <w:rFonts w:ascii="Cambria" w:hAnsi="Cambria"/>
          <w:sz w:val="20"/>
          <w:szCs w:val="20"/>
        </w:rPr>
        <w:t xml:space="preserve"> students in question is given in Figure 1 below. </w:t>
      </w:r>
    </w:p>
    <w:p w:rsidR="000A6383" w:rsidRPr="00D02D39" w:rsidRDefault="000A6383" w:rsidP="00D02D39">
      <w:pPr>
        <w:spacing w:after="0" w:line="360" w:lineRule="auto"/>
        <w:jc w:val="both"/>
        <w:rPr>
          <w:rFonts w:ascii="Cambria" w:hAnsi="Cambria"/>
          <w:sz w:val="20"/>
          <w:szCs w:val="20"/>
        </w:rPr>
      </w:pPr>
    </w:p>
    <w:tbl>
      <w:tblPr>
        <w:tblStyle w:val="TableGrid"/>
        <w:tblW w:w="0" w:type="auto"/>
        <w:tblLayout w:type="fixed"/>
        <w:tblLook w:val="04A0" w:firstRow="1" w:lastRow="0" w:firstColumn="1" w:lastColumn="0" w:noHBand="0" w:noVBand="1"/>
      </w:tblPr>
      <w:tblGrid>
        <w:gridCol w:w="2972"/>
        <w:gridCol w:w="1418"/>
        <w:gridCol w:w="354"/>
        <w:gridCol w:w="354"/>
        <w:gridCol w:w="354"/>
        <w:gridCol w:w="355"/>
        <w:gridCol w:w="354"/>
        <w:gridCol w:w="354"/>
        <w:gridCol w:w="355"/>
        <w:gridCol w:w="354"/>
        <w:gridCol w:w="354"/>
        <w:gridCol w:w="354"/>
        <w:gridCol w:w="355"/>
        <w:gridCol w:w="354"/>
        <w:gridCol w:w="354"/>
        <w:gridCol w:w="355"/>
      </w:tblGrid>
      <w:tr w:rsidR="00A56A12" w:rsidRPr="00D02D39" w:rsidTr="00B07E7C">
        <w:tc>
          <w:tcPr>
            <w:tcW w:w="2972" w:type="dxa"/>
            <w:vMerge w:val="restart"/>
            <w:vAlign w:val="center"/>
          </w:tcPr>
          <w:p w:rsidR="00A56A12" w:rsidRPr="00D02D39" w:rsidRDefault="00A56A12" w:rsidP="00B07E7C">
            <w:pPr>
              <w:jc w:val="center"/>
              <w:rPr>
                <w:rFonts w:ascii="Cambria" w:hAnsi="Cambria"/>
                <w:b/>
                <w:sz w:val="20"/>
                <w:szCs w:val="20"/>
              </w:rPr>
            </w:pPr>
            <w:r w:rsidRPr="00D02D39">
              <w:rPr>
                <w:rFonts w:ascii="Cambria" w:hAnsi="Cambria"/>
                <w:b/>
                <w:sz w:val="20"/>
                <w:szCs w:val="20"/>
              </w:rPr>
              <w:t>Project</w:t>
            </w:r>
          </w:p>
        </w:tc>
        <w:tc>
          <w:tcPr>
            <w:tcW w:w="1418" w:type="dxa"/>
            <w:vMerge w:val="restart"/>
            <w:vAlign w:val="center"/>
          </w:tcPr>
          <w:p w:rsidR="00A56A12" w:rsidRPr="00D02D39" w:rsidRDefault="00A56A12" w:rsidP="00B07E7C">
            <w:pPr>
              <w:jc w:val="center"/>
              <w:rPr>
                <w:rFonts w:ascii="Cambria" w:hAnsi="Cambria"/>
                <w:b/>
                <w:sz w:val="20"/>
                <w:szCs w:val="20"/>
              </w:rPr>
            </w:pPr>
            <w:r w:rsidRPr="00D02D39">
              <w:rPr>
                <w:rFonts w:ascii="Cambria" w:hAnsi="Cambria"/>
                <w:b/>
                <w:sz w:val="20"/>
                <w:szCs w:val="20"/>
              </w:rPr>
              <w:t>Student</w:t>
            </w:r>
          </w:p>
        </w:tc>
        <w:tc>
          <w:tcPr>
            <w:tcW w:w="4960" w:type="dxa"/>
            <w:gridSpan w:val="14"/>
          </w:tcPr>
          <w:p w:rsidR="00A56A12" w:rsidRPr="00D02D39" w:rsidRDefault="00A56A12" w:rsidP="00B07E7C">
            <w:pPr>
              <w:jc w:val="center"/>
              <w:rPr>
                <w:rFonts w:ascii="Cambria" w:hAnsi="Cambria"/>
                <w:b/>
                <w:sz w:val="20"/>
                <w:szCs w:val="20"/>
              </w:rPr>
            </w:pPr>
            <w:r w:rsidRPr="00D02D39">
              <w:rPr>
                <w:rFonts w:ascii="Cambria" w:hAnsi="Cambria"/>
                <w:b/>
                <w:sz w:val="20"/>
                <w:szCs w:val="20"/>
              </w:rPr>
              <w:t>Year</w:t>
            </w:r>
          </w:p>
        </w:tc>
      </w:tr>
      <w:tr w:rsidR="00A56A12" w:rsidRPr="00D02D39" w:rsidTr="00B07E7C">
        <w:tc>
          <w:tcPr>
            <w:tcW w:w="2972" w:type="dxa"/>
            <w:vMerge/>
          </w:tcPr>
          <w:p w:rsidR="00A56A12" w:rsidRPr="00D02D39" w:rsidRDefault="00A56A12" w:rsidP="00B07E7C">
            <w:pPr>
              <w:rPr>
                <w:rFonts w:ascii="Cambria" w:hAnsi="Cambria"/>
                <w:b/>
                <w:sz w:val="20"/>
                <w:szCs w:val="20"/>
              </w:rPr>
            </w:pPr>
          </w:p>
        </w:tc>
        <w:tc>
          <w:tcPr>
            <w:tcW w:w="1418" w:type="dxa"/>
            <w:vMerge/>
          </w:tcPr>
          <w:p w:rsidR="00A56A12" w:rsidRPr="00D02D39" w:rsidRDefault="00A56A12" w:rsidP="00B07E7C">
            <w:pPr>
              <w:rPr>
                <w:rFonts w:ascii="Cambria" w:hAnsi="Cambria"/>
                <w:b/>
                <w:sz w:val="20"/>
                <w:szCs w:val="20"/>
              </w:rPr>
            </w:pPr>
          </w:p>
        </w:tc>
        <w:tc>
          <w:tcPr>
            <w:tcW w:w="708" w:type="dxa"/>
            <w:gridSpan w:val="2"/>
            <w:tcBorders>
              <w:bottom w:val="single" w:sz="4" w:space="0" w:color="auto"/>
            </w:tcBorders>
          </w:tcPr>
          <w:p w:rsidR="00A56A12" w:rsidRPr="00D02D39" w:rsidRDefault="00A56A12" w:rsidP="00B07E7C">
            <w:pPr>
              <w:rPr>
                <w:rFonts w:ascii="Cambria" w:hAnsi="Cambria"/>
                <w:b/>
                <w:sz w:val="20"/>
                <w:szCs w:val="20"/>
              </w:rPr>
            </w:pPr>
            <w:r w:rsidRPr="00D02D39">
              <w:rPr>
                <w:rFonts w:ascii="Cambria" w:hAnsi="Cambria"/>
                <w:b/>
                <w:sz w:val="20"/>
                <w:szCs w:val="20"/>
              </w:rPr>
              <w:t>2009</w:t>
            </w:r>
          </w:p>
        </w:tc>
        <w:tc>
          <w:tcPr>
            <w:tcW w:w="709" w:type="dxa"/>
            <w:gridSpan w:val="2"/>
            <w:tcBorders>
              <w:bottom w:val="single" w:sz="4" w:space="0" w:color="auto"/>
            </w:tcBorders>
          </w:tcPr>
          <w:p w:rsidR="00A56A12" w:rsidRPr="00D02D39" w:rsidRDefault="00A56A12" w:rsidP="00B07E7C">
            <w:pPr>
              <w:rPr>
                <w:rFonts w:ascii="Cambria" w:hAnsi="Cambria"/>
                <w:b/>
                <w:sz w:val="20"/>
                <w:szCs w:val="20"/>
              </w:rPr>
            </w:pPr>
            <w:r w:rsidRPr="00D02D39">
              <w:rPr>
                <w:rFonts w:ascii="Cambria" w:hAnsi="Cambria"/>
                <w:b/>
                <w:sz w:val="20"/>
                <w:szCs w:val="20"/>
              </w:rPr>
              <w:t>2010</w:t>
            </w:r>
          </w:p>
        </w:tc>
        <w:tc>
          <w:tcPr>
            <w:tcW w:w="708" w:type="dxa"/>
            <w:gridSpan w:val="2"/>
            <w:tcBorders>
              <w:bottom w:val="single" w:sz="4" w:space="0" w:color="auto"/>
            </w:tcBorders>
          </w:tcPr>
          <w:p w:rsidR="00A56A12" w:rsidRPr="00D02D39" w:rsidRDefault="00A56A12" w:rsidP="00B07E7C">
            <w:pPr>
              <w:rPr>
                <w:rFonts w:ascii="Cambria" w:hAnsi="Cambria"/>
                <w:b/>
                <w:sz w:val="20"/>
                <w:szCs w:val="20"/>
              </w:rPr>
            </w:pPr>
            <w:r w:rsidRPr="00D02D39">
              <w:rPr>
                <w:rFonts w:ascii="Cambria" w:hAnsi="Cambria"/>
                <w:b/>
                <w:sz w:val="20"/>
                <w:szCs w:val="20"/>
              </w:rPr>
              <w:t>2011</w:t>
            </w:r>
          </w:p>
        </w:tc>
        <w:tc>
          <w:tcPr>
            <w:tcW w:w="709" w:type="dxa"/>
            <w:gridSpan w:val="2"/>
            <w:tcBorders>
              <w:bottom w:val="single" w:sz="4" w:space="0" w:color="auto"/>
            </w:tcBorders>
          </w:tcPr>
          <w:p w:rsidR="00A56A12" w:rsidRPr="00D02D39" w:rsidRDefault="00A56A12" w:rsidP="00B07E7C">
            <w:pPr>
              <w:rPr>
                <w:rFonts w:ascii="Cambria" w:hAnsi="Cambria"/>
                <w:b/>
                <w:sz w:val="20"/>
                <w:szCs w:val="20"/>
              </w:rPr>
            </w:pPr>
            <w:r w:rsidRPr="00D02D39">
              <w:rPr>
                <w:rFonts w:ascii="Cambria" w:hAnsi="Cambria"/>
                <w:b/>
                <w:sz w:val="20"/>
                <w:szCs w:val="20"/>
              </w:rPr>
              <w:t>2012</w:t>
            </w:r>
          </w:p>
        </w:tc>
        <w:tc>
          <w:tcPr>
            <w:tcW w:w="708" w:type="dxa"/>
            <w:gridSpan w:val="2"/>
            <w:tcBorders>
              <w:bottom w:val="single" w:sz="4" w:space="0" w:color="auto"/>
            </w:tcBorders>
          </w:tcPr>
          <w:p w:rsidR="00A56A12" w:rsidRPr="00D02D39" w:rsidRDefault="00A56A12" w:rsidP="00B07E7C">
            <w:pPr>
              <w:rPr>
                <w:rFonts w:ascii="Cambria" w:hAnsi="Cambria"/>
                <w:b/>
                <w:sz w:val="20"/>
                <w:szCs w:val="20"/>
              </w:rPr>
            </w:pPr>
            <w:r w:rsidRPr="00D02D39">
              <w:rPr>
                <w:rFonts w:ascii="Cambria" w:hAnsi="Cambria"/>
                <w:b/>
                <w:sz w:val="20"/>
                <w:szCs w:val="20"/>
              </w:rPr>
              <w:t>2013</w:t>
            </w:r>
          </w:p>
        </w:tc>
        <w:tc>
          <w:tcPr>
            <w:tcW w:w="709" w:type="dxa"/>
            <w:gridSpan w:val="2"/>
            <w:tcBorders>
              <w:bottom w:val="single" w:sz="4" w:space="0" w:color="auto"/>
            </w:tcBorders>
          </w:tcPr>
          <w:p w:rsidR="00A56A12" w:rsidRPr="00D02D39" w:rsidRDefault="00A56A12" w:rsidP="00B07E7C">
            <w:pPr>
              <w:rPr>
                <w:rFonts w:ascii="Cambria" w:hAnsi="Cambria"/>
                <w:b/>
                <w:sz w:val="20"/>
                <w:szCs w:val="20"/>
              </w:rPr>
            </w:pPr>
            <w:r w:rsidRPr="00D02D39">
              <w:rPr>
                <w:rFonts w:ascii="Cambria" w:hAnsi="Cambria"/>
                <w:b/>
                <w:sz w:val="20"/>
                <w:szCs w:val="20"/>
              </w:rPr>
              <w:t>2014</w:t>
            </w:r>
          </w:p>
        </w:tc>
        <w:tc>
          <w:tcPr>
            <w:tcW w:w="709" w:type="dxa"/>
            <w:gridSpan w:val="2"/>
            <w:tcBorders>
              <w:bottom w:val="single" w:sz="4" w:space="0" w:color="auto"/>
            </w:tcBorders>
          </w:tcPr>
          <w:p w:rsidR="00A56A12" w:rsidRPr="00D02D39" w:rsidRDefault="00A56A12" w:rsidP="00B07E7C">
            <w:pPr>
              <w:rPr>
                <w:rFonts w:ascii="Cambria" w:hAnsi="Cambria"/>
                <w:b/>
                <w:sz w:val="20"/>
                <w:szCs w:val="20"/>
              </w:rPr>
            </w:pPr>
            <w:r w:rsidRPr="00D02D39">
              <w:rPr>
                <w:rFonts w:ascii="Cambria" w:hAnsi="Cambria"/>
                <w:b/>
                <w:sz w:val="20"/>
                <w:szCs w:val="20"/>
              </w:rPr>
              <w:t>2015</w:t>
            </w:r>
          </w:p>
        </w:tc>
      </w:tr>
      <w:tr w:rsidR="00A56A12" w:rsidRPr="00D02D39" w:rsidTr="00B07E7C">
        <w:tc>
          <w:tcPr>
            <w:tcW w:w="2972" w:type="dxa"/>
          </w:tcPr>
          <w:p w:rsidR="00A56A12" w:rsidRPr="00D02D39" w:rsidRDefault="00A56A12" w:rsidP="00B07E7C">
            <w:pPr>
              <w:rPr>
                <w:rFonts w:ascii="Cambria" w:hAnsi="Cambria"/>
                <w:sz w:val="20"/>
                <w:szCs w:val="20"/>
              </w:rPr>
            </w:pPr>
            <w:r w:rsidRPr="00D02D39">
              <w:rPr>
                <w:rFonts w:ascii="Cambria" w:hAnsi="Cambria"/>
                <w:sz w:val="20"/>
                <w:szCs w:val="20"/>
              </w:rPr>
              <w:t xml:space="preserve">Development of </w:t>
            </w:r>
            <w:proofErr w:type="spellStart"/>
            <w:r w:rsidRPr="00D02D39">
              <w:rPr>
                <w:rFonts w:ascii="Cambria" w:hAnsi="Cambria"/>
                <w:sz w:val="20"/>
                <w:szCs w:val="20"/>
              </w:rPr>
              <w:t>CyNote</w:t>
            </w:r>
            <w:proofErr w:type="spellEnd"/>
            <w:r w:rsidR="00B07E7C" w:rsidRPr="00D02D39">
              <w:rPr>
                <w:rFonts w:ascii="Cambria" w:hAnsi="Cambria"/>
                <w:sz w:val="20"/>
                <w:szCs w:val="20"/>
              </w:rPr>
              <w:t xml:space="preserve"> [38]</w:t>
            </w:r>
          </w:p>
        </w:tc>
        <w:tc>
          <w:tcPr>
            <w:tcW w:w="1418" w:type="dxa"/>
          </w:tcPr>
          <w:p w:rsidR="00A56A12" w:rsidRPr="00D02D39" w:rsidRDefault="00A56A12" w:rsidP="00B07E7C">
            <w:pPr>
              <w:rPr>
                <w:rFonts w:ascii="Cambria" w:hAnsi="Cambria"/>
                <w:sz w:val="20"/>
                <w:szCs w:val="20"/>
              </w:rPr>
            </w:pPr>
            <w:r w:rsidRPr="00D02D39">
              <w:rPr>
                <w:rFonts w:ascii="Cambria" w:hAnsi="Cambria"/>
                <w:sz w:val="20"/>
                <w:szCs w:val="20"/>
              </w:rPr>
              <w:t>YY</w:t>
            </w:r>
            <w:r w:rsidR="00F05F83" w:rsidRPr="00D02D39">
              <w:rPr>
                <w:rFonts w:ascii="Cambria" w:hAnsi="Cambria"/>
                <w:sz w:val="20"/>
                <w:szCs w:val="20"/>
              </w:rPr>
              <w:t xml:space="preserve"> Ng</w:t>
            </w:r>
          </w:p>
        </w:tc>
        <w:tc>
          <w:tcPr>
            <w:tcW w:w="354" w:type="dxa"/>
            <w:tcBorders>
              <w:bottom w:val="single" w:sz="4" w:space="0" w:color="auto"/>
              <w:right w:val="nil"/>
            </w:tcBorders>
            <w:shd w:val="clear" w:color="auto" w:fill="E36C0A" w:themeFill="accent6" w:themeFillShade="BF"/>
          </w:tcPr>
          <w:p w:rsidR="00A56A12" w:rsidRPr="00D02D39" w:rsidRDefault="00A56A12" w:rsidP="00B07E7C">
            <w:pPr>
              <w:rPr>
                <w:rFonts w:ascii="Cambria" w:hAnsi="Cambria"/>
                <w:sz w:val="20"/>
                <w:szCs w:val="20"/>
                <w:highlight w:val="cyan"/>
              </w:rPr>
            </w:pPr>
          </w:p>
        </w:tc>
        <w:tc>
          <w:tcPr>
            <w:tcW w:w="354" w:type="dxa"/>
            <w:tcBorders>
              <w:left w:val="nil"/>
              <w:bottom w:val="single" w:sz="4" w:space="0" w:color="auto"/>
              <w:right w:val="nil"/>
            </w:tcBorders>
            <w:shd w:val="clear" w:color="auto" w:fill="E36C0A" w:themeFill="accent6" w:themeFillShade="BF"/>
          </w:tcPr>
          <w:p w:rsidR="00A56A12" w:rsidRPr="00D02D39" w:rsidRDefault="00A56A12" w:rsidP="00B07E7C">
            <w:pPr>
              <w:rPr>
                <w:rFonts w:ascii="Cambria" w:hAnsi="Cambria"/>
                <w:sz w:val="20"/>
                <w:szCs w:val="20"/>
                <w:highlight w:val="cyan"/>
              </w:rPr>
            </w:pPr>
          </w:p>
        </w:tc>
        <w:tc>
          <w:tcPr>
            <w:tcW w:w="354" w:type="dxa"/>
            <w:tcBorders>
              <w:left w:val="nil"/>
              <w:right w:val="nil"/>
            </w:tcBorders>
          </w:tcPr>
          <w:p w:rsidR="00A56A12" w:rsidRPr="00D02D39" w:rsidRDefault="00A56A12" w:rsidP="00B07E7C">
            <w:pPr>
              <w:rPr>
                <w:rFonts w:ascii="Cambria" w:hAnsi="Cambria"/>
                <w:sz w:val="20"/>
                <w:szCs w:val="20"/>
              </w:rPr>
            </w:pPr>
          </w:p>
        </w:tc>
        <w:tc>
          <w:tcPr>
            <w:tcW w:w="355" w:type="dxa"/>
            <w:tcBorders>
              <w:left w:val="nil"/>
              <w:right w:val="nil"/>
            </w:tcBorders>
          </w:tcPr>
          <w:p w:rsidR="00A56A12" w:rsidRPr="00D02D39" w:rsidRDefault="00A56A12" w:rsidP="00B07E7C">
            <w:pPr>
              <w:rPr>
                <w:rFonts w:ascii="Cambria" w:hAnsi="Cambria"/>
                <w:sz w:val="20"/>
                <w:szCs w:val="20"/>
              </w:rPr>
            </w:pPr>
          </w:p>
        </w:tc>
        <w:tc>
          <w:tcPr>
            <w:tcW w:w="354" w:type="dxa"/>
            <w:tcBorders>
              <w:left w:val="nil"/>
              <w:right w:val="nil"/>
            </w:tcBorders>
          </w:tcPr>
          <w:p w:rsidR="00A56A12" w:rsidRPr="00D02D39" w:rsidRDefault="00A56A12" w:rsidP="00B07E7C">
            <w:pPr>
              <w:rPr>
                <w:rFonts w:ascii="Cambria" w:hAnsi="Cambria"/>
                <w:sz w:val="20"/>
                <w:szCs w:val="20"/>
              </w:rPr>
            </w:pPr>
          </w:p>
        </w:tc>
        <w:tc>
          <w:tcPr>
            <w:tcW w:w="354" w:type="dxa"/>
            <w:tcBorders>
              <w:left w:val="nil"/>
              <w:right w:val="nil"/>
            </w:tcBorders>
          </w:tcPr>
          <w:p w:rsidR="00A56A12" w:rsidRPr="00D02D39" w:rsidRDefault="00A56A12" w:rsidP="00B07E7C">
            <w:pPr>
              <w:rPr>
                <w:rFonts w:ascii="Cambria" w:hAnsi="Cambria"/>
                <w:sz w:val="20"/>
                <w:szCs w:val="20"/>
              </w:rPr>
            </w:pPr>
          </w:p>
        </w:tc>
        <w:tc>
          <w:tcPr>
            <w:tcW w:w="355" w:type="dxa"/>
            <w:tcBorders>
              <w:left w:val="nil"/>
              <w:right w:val="nil"/>
            </w:tcBorders>
          </w:tcPr>
          <w:p w:rsidR="00A56A12" w:rsidRPr="00D02D39" w:rsidRDefault="00A56A12" w:rsidP="00B07E7C">
            <w:pPr>
              <w:rPr>
                <w:rFonts w:ascii="Cambria" w:hAnsi="Cambria"/>
                <w:sz w:val="20"/>
                <w:szCs w:val="20"/>
              </w:rPr>
            </w:pPr>
          </w:p>
        </w:tc>
        <w:tc>
          <w:tcPr>
            <w:tcW w:w="354" w:type="dxa"/>
            <w:tcBorders>
              <w:left w:val="nil"/>
              <w:right w:val="nil"/>
            </w:tcBorders>
          </w:tcPr>
          <w:p w:rsidR="00A56A12" w:rsidRPr="00D02D39" w:rsidRDefault="00A56A12" w:rsidP="00B07E7C">
            <w:pPr>
              <w:rPr>
                <w:rFonts w:ascii="Cambria" w:hAnsi="Cambria"/>
                <w:sz w:val="20"/>
                <w:szCs w:val="20"/>
              </w:rPr>
            </w:pPr>
          </w:p>
        </w:tc>
        <w:tc>
          <w:tcPr>
            <w:tcW w:w="354" w:type="dxa"/>
            <w:tcBorders>
              <w:left w:val="nil"/>
              <w:right w:val="nil"/>
            </w:tcBorders>
          </w:tcPr>
          <w:p w:rsidR="00A56A12" w:rsidRPr="00D02D39" w:rsidRDefault="00A56A12" w:rsidP="00B07E7C">
            <w:pPr>
              <w:rPr>
                <w:rFonts w:ascii="Cambria" w:hAnsi="Cambria"/>
                <w:sz w:val="20"/>
                <w:szCs w:val="20"/>
              </w:rPr>
            </w:pPr>
          </w:p>
        </w:tc>
        <w:tc>
          <w:tcPr>
            <w:tcW w:w="354" w:type="dxa"/>
            <w:tcBorders>
              <w:left w:val="nil"/>
              <w:right w:val="nil"/>
            </w:tcBorders>
          </w:tcPr>
          <w:p w:rsidR="00A56A12" w:rsidRPr="00D02D39" w:rsidRDefault="00A56A12" w:rsidP="00B07E7C">
            <w:pPr>
              <w:rPr>
                <w:rFonts w:ascii="Cambria" w:hAnsi="Cambria"/>
                <w:sz w:val="20"/>
                <w:szCs w:val="20"/>
              </w:rPr>
            </w:pPr>
          </w:p>
        </w:tc>
        <w:tc>
          <w:tcPr>
            <w:tcW w:w="355" w:type="dxa"/>
            <w:tcBorders>
              <w:left w:val="nil"/>
              <w:right w:val="nil"/>
            </w:tcBorders>
          </w:tcPr>
          <w:p w:rsidR="00A56A12" w:rsidRPr="00D02D39" w:rsidRDefault="00A56A12" w:rsidP="00B07E7C">
            <w:pPr>
              <w:rPr>
                <w:rFonts w:ascii="Cambria" w:hAnsi="Cambria"/>
                <w:sz w:val="20"/>
                <w:szCs w:val="20"/>
              </w:rPr>
            </w:pPr>
          </w:p>
        </w:tc>
        <w:tc>
          <w:tcPr>
            <w:tcW w:w="354" w:type="dxa"/>
            <w:tcBorders>
              <w:left w:val="nil"/>
              <w:right w:val="nil"/>
            </w:tcBorders>
          </w:tcPr>
          <w:p w:rsidR="00A56A12" w:rsidRPr="00D02D39" w:rsidRDefault="00A56A12" w:rsidP="00B07E7C">
            <w:pPr>
              <w:rPr>
                <w:rFonts w:ascii="Cambria" w:hAnsi="Cambria"/>
                <w:sz w:val="20"/>
                <w:szCs w:val="20"/>
              </w:rPr>
            </w:pPr>
          </w:p>
        </w:tc>
        <w:tc>
          <w:tcPr>
            <w:tcW w:w="354" w:type="dxa"/>
            <w:tcBorders>
              <w:left w:val="nil"/>
              <w:right w:val="nil"/>
            </w:tcBorders>
          </w:tcPr>
          <w:p w:rsidR="00A56A12" w:rsidRPr="00D02D39" w:rsidRDefault="00A56A12" w:rsidP="00B07E7C">
            <w:pPr>
              <w:rPr>
                <w:rFonts w:ascii="Cambria" w:hAnsi="Cambria"/>
                <w:sz w:val="20"/>
                <w:szCs w:val="20"/>
              </w:rPr>
            </w:pPr>
          </w:p>
        </w:tc>
        <w:tc>
          <w:tcPr>
            <w:tcW w:w="355" w:type="dxa"/>
            <w:tcBorders>
              <w:left w:val="nil"/>
            </w:tcBorders>
          </w:tcPr>
          <w:p w:rsidR="00A56A12" w:rsidRPr="00D02D39" w:rsidRDefault="00A56A12" w:rsidP="00B07E7C">
            <w:pPr>
              <w:rPr>
                <w:rFonts w:ascii="Cambria" w:hAnsi="Cambria"/>
                <w:sz w:val="20"/>
                <w:szCs w:val="20"/>
              </w:rPr>
            </w:pPr>
          </w:p>
        </w:tc>
      </w:tr>
      <w:tr w:rsidR="009F33B8" w:rsidRPr="00D02D39" w:rsidTr="00B07E7C">
        <w:tc>
          <w:tcPr>
            <w:tcW w:w="2972" w:type="dxa"/>
            <w:vMerge w:val="restart"/>
          </w:tcPr>
          <w:p w:rsidR="009F33B8" w:rsidRPr="00D02D39" w:rsidRDefault="009F33B8" w:rsidP="00B07E7C">
            <w:pPr>
              <w:rPr>
                <w:rFonts w:ascii="Cambria" w:hAnsi="Cambria"/>
                <w:sz w:val="20"/>
                <w:szCs w:val="20"/>
              </w:rPr>
            </w:pPr>
            <w:r w:rsidRPr="00D02D39">
              <w:rPr>
                <w:rFonts w:ascii="Cambria" w:hAnsi="Cambria"/>
                <w:sz w:val="20"/>
                <w:szCs w:val="20"/>
              </w:rPr>
              <w:t>Finding Reference Genes</w:t>
            </w:r>
            <w:r w:rsidR="00617417">
              <w:rPr>
                <w:rFonts w:ascii="Cambria" w:hAnsi="Cambria"/>
                <w:sz w:val="20"/>
                <w:szCs w:val="20"/>
              </w:rPr>
              <w:t xml:space="preserve"> [39-44</w:t>
            </w:r>
            <w:r w:rsidR="00B07E7C" w:rsidRPr="00D02D39">
              <w:rPr>
                <w:rFonts w:ascii="Cambria" w:hAnsi="Cambria"/>
                <w:sz w:val="20"/>
                <w:szCs w:val="20"/>
              </w:rPr>
              <w:t>]</w:t>
            </w: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CY Chia</w:t>
            </w:r>
          </w:p>
        </w:tc>
        <w:tc>
          <w:tcPr>
            <w:tcW w:w="354" w:type="dxa"/>
            <w:tcBorders>
              <w:right w:val="nil"/>
            </w:tcBorders>
            <w:shd w:val="clear" w:color="auto" w:fill="0066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0066FF"/>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WT Leong</w:t>
            </w:r>
          </w:p>
        </w:tc>
        <w:tc>
          <w:tcPr>
            <w:tcW w:w="354" w:type="dxa"/>
            <w:tcBorders>
              <w:right w:val="nil"/>
            </w:tcBorders>
            <w:shd w:val="clear" w:color="auto" w:fill="0066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0066FF"/>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CWX Lim</w:t>
            </w:r>
          </w:p>
        </w:tc>
        <w:tc>
          <w:tcPr>
            <w:tcW w:w="354" w:type="dxa"/>
            <w:tcBorders>
              <w:right w:val="nil"/>
            </w:tcBorders>
            <w:shd w:val="clear" w:color="auto" w:fill="0066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0066FF"/>
          </w:tcPr>
          <w:p w:rsidR="009F33B8" w:rsidRPr="00D02D39" w:rsidRDefault="009F33B8" w:rsidP="00B07E7C">
            <w:pPr>
              <w:rPr>
                <w:rFonts w:ascii="Cambria" w:hAnsi="Cambria"/>
                <w:sz w:val="20"/>
                <w:szCs w:val="20"/>
              </w:rPr>
            </w:pPr>
          </w:p>
        </w:tc>
        <w:tc>
          <w:tcPr>
            <w:tcW w:w="354"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5"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EJG Ang</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9966FF"/>
          </w:tcPr>
          <w:p w:rsidR="009F33B8" w:rsidRPr="00D02D39" w:rsidRDefault="009F33B8" w:rsidP="00B07E7C">
            <w:pPr>
              <w:rPr>
                <w:rFonts w:ascii="Cambria" w:hAnsi="Cambria"/>
                <w:sz w:val="20"/>
                <w:szCs w:val="20"/>
              </w:rPr>
            </w:pPr>
          </w:p>
        </w:tc>
        <w:tc>
          <w:tcPr>
            <w:tcW w:w="355" w:type="dxa"/>
            <w:tcBorders>
              <w:left w:val="nil"/>
              <w:right w:val="nil"/>
            </w:tcBorders>
            <w:shd w:val="clear" w:color="auto" w:fill="9966FF"/>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QH Chu</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9966FF"/>
          </w:tcPr>
          <w:p w:rsidR="009F33B8" w:rsidRPr="00D02D39" w:rsidRDefault="009F33B8" w:rsidP="00B07E7C">
            <w:pPr>
              <w:rPr>
                <w:rFonts w:ascii="Cambria" w:hAnsi="Cambria"/>
                <w:sz w:val="20"/>
                <w:szCs w:val="20"/>
              </w:rPr>
            </w:pPr>
          </w:p>
        </w:tc>
        <w:tc>
          <w:tcPr>
            <w:tcW w:w="355" w:type="dxa"/>
            <w:tcBorders>
              <w:left w:val="nil"/>
              <w:right w:val="nil"/>
            </w:tcBorders>
            <w:shd w:val="clear" w:color="auto" w:fill="9966FF"/>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YJ Lin</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9966FF"/>
          </w:tcPr>
          <w:p w:rsidR="009F33B8" w:rsidRPr="00D02D39" w:rsidRDefault="009F33B8" w:rsidP="00B07E7C">
            <w:pPr>
              <w:rPr>
                <w:rFonts w:ascii="Cambria" w:hAnsi="Cambria"/>
                <w:sz w:val="20"/>
                <w:szCs w:val="20"/>
              </w:rPr>
            </w:pPr>
          </w:p>
        </w:tc>
        <w:tc>
          <w:tcPr>
            <w:tcW w:w="355" w:type="dxa"/>
            <w:tcBorders>
              <w:left w:val="nil"/>
              <w:right w:val="nil"/>
            </w:tcBorders>
            <w:shd w:val="clear" w:color="auto" w:fill="9966FF"/>
          </w:tcPr>
          <w:p w:rsidR="009F33B8" w:rsidRPr="00D02D39" w:rsidRDefault="009F33B8" w:rsidP="00B07E7C">
            <w:pPr>
              <w:rPr>
                <w:rFonts w:ascii="Cambria" w:hAnsi="Cambria"/>
                <w:sz w:val="20"/>
                <w:szCs w:val="20"/>
              </w:rPr>
            </w:pPr>
          </w:p>
        </w:tc>
        <w:tc>
          <w:tcPr>
            <w:tcW w:w="354"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4"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5"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4"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4"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4"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5"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4" w:type="dxa"/>
            <w:tcBorders>
              <w:left w:val="nil"/>
              <w:bottom w:val="single" w:sz="4" w:space="0" w:color="auto"/>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OYW Chan</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5"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5" w:type="dxa"/>
            <w:tcBorders>
              <w:left w:val="nil"/>
              <w:bottom w:val="single" w:sz="4" w:space="0" w:color="auto"/>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bottom w:val="single" w:sz="4" w:space="0" w:color="auto"/>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SSJ </w:t>
            </w:r>
            <w:proofErr w:type="spellStart"/>
            <w:r w:rsidRPr="00D02D39">
              <w:rPr>
                <w:rFonts w:ascii="Cambria" w:hAnsi="Cambria"/>
                <w:sz w:val="20"/>
                <w:szCs w:val="20"/>
              </w:rPr>
              <w:t>Heng</w:t>
            </w:r>
            <w:proofErr w:type="spellEnd"/>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5"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5" w:type="dxa"/>
            <w:tcBorders>
              <w:left w:val="nil"/>
              <w:right w:val="nil"/>
            </w:tcBorders>
            <w:shd w:val="clear" w:color="auto" w:fill="auto"/>
          </w:tcPr>
          <w:p w:rsidR="009F33B8" w:rsidRPr="00D02D39" w:rsidRDefault="009F33B8" w:rsidP="00B07E7C">
            <w:pPr>
              <w:rPr>
                <w:rFonts w:ascii="Cambria" w:hAnsi="Cambria"/>
                <w:sz w:val="20"/>
                <w:szCs w:val="20"/>
              </w:rPr>
            </w:pPr>
          </w:p>
        </w:tc>
        <w:tc>
          <w:tcPr>
            <w:tcW w:w="354" w:type="dxa"/>
            <w:tcBorders>
              <w:left w:val="nil"/>
              <w:right w:val="nil"/>
            </w:tcBorders>
            <w:shd w:val="clear" w:color="auto" w:fill="auto"/>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BMH </w:t>
            </w:r>
            <w:proofErr w:type="spellStart"/>
            <w:r w:rsidRPr="00D02D39">
              <w:rPr>
                <w:rFonts w:ascii="Cambria" w:hAnsi="Cambria"/>
                <w:sz w:val="20"/>
                <w:szCs w:val="20"/>
              </w:rPr>
              <w:t>Keng</w:t>
            </w:r>
            <w:proofErr w:type="spellEnd"/>
            <w:r w:rsidRPr="00D02D39">
              <w:rPr>
                <w:rFonts w:ascii="Cambria" w:hAnsi="Cambria"/>
                <w:sz w:val="20"/>
                <w:szCs w:val="20"/>
              </w:rPr>
              <w:t xml:space="preserve">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5"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5"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shd w:val="clear" w:color="auto" w:fill="66CCFF"/>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val="restart"/>
          </w:tcPr>
          <w:p w:rsidR="009F33B8" w:rsidRPr="00D02D39" w:rsidRDefault="00B07E7C" w:rsidP="00B07E7C">
            <w:pPr>
              <w:rPr>
                <w:rFonts w:ascii="Cambria" w:hAnsi="Cambria"/>
                <w:sz w:val="20"/>
                <w:szCs w:val="20"/>
              </w:rPr>
            </w:pPr>
            <w:r w:rsidRPr="00D02D39">
              <w:rPr>
                <w:rFonts w:ascii="Cambria" w:hAnsi="Cambria"/>
                <w:sz w:val="20"/>
                <w:szCs w:val="20"/>
              </w:rPr>
              <w:t xml:space="preserve">Evolutionary Context of </w:t>
            </w:r>
            <w:r w:rsidR="009F33B8" w:rsidRPr="00D02D39">
              <w:rPr>
                <w:rFonts w:ascii="Cambria" w:hAnsi="Cambria"/>
                <w:sz w:val="20"/>
                <w:szCs w:val="20"/>
              </w:rPr>
              <w:t xml:space="preserve">Codon </w:t>
            </w:r>
            <w:r w:rsidR="009F33B8" w:rsidRPr="00D02D39">
              <w:rPr>
                <w:rFonts w:ascii="Cambria" w:hAnsi="Cambria"/>
                <w:sz w:val="20"/>
                <w:szCs w:val="20"/>
              </w:rPr>
              <w:lastRenderedPageBreak/>
              <w:t>Usage Bias</w:t>
            </w:r>
            <w:r w:rsidR="00617417">
              <w:rPr>
                <w:rFonts w:ascii="Cambria" w:hAnsi="Cambria"/>
                <w:sz w:val="20"/>
                <w:szCs w:val="20"/>
              </w:rPr>
              <w:t xml:space="preserve"> [45</w:t>
            </w:r>
            <w:r w:rsidRPr="00D02D39">
              <w:rPr>
                <w:rFonts w:ascii="Cambria" w:hAnsi="Cambria"/>
                <w:sz w:val="20"/>
                <w:szCs w:val="20"/>
              </w:rPr>
              <w:t>]</w:t>
            </w: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lastRenderedPageBreak/>
              <w:t xml:space="preserve">OYW Chan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FABF8F" w:themeFill="accent6" w:themeFillTint="99"/>
          </w:tcPr>
          <w:p w:rsidR="009F33B8" w:rsidRPr="00D02D39" w:rsidRDefault="009F33B8" w:rsidP="00B07E7C">
            <w:pPr>
              <w:rPr>
                <w:rFonts w:ascii="Cambria" w:hAnsi="Cambria"/>
                <w:sz w:val="20"/>
                <w:szCs w:val="20"/>
              </w:rPr>
            </w:pPr>
          </w:p>
        </w:tc>
        <w:tc>
          <w:tcPr>
            <w:tcW w:w="355" w:type="dxa"/>
            <w:tcBorders>
              <w:left w:val="nil"/>
            </w:tcBorders>
            <w:shd w:val="clear" w:color="auto" w:fill="FABF8F" w:themeFill="accent6" w:themeFillTint="99"/>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BMH </w:t>
            </w:r>
            <w:proofErr w:type="spellStart"/>
            <w:r w:rsidRPr="00D02D39">
              <w:rPr>
                <w:rFonts w:ascii="Cambria" w:hAnsi="Cambria"/>
                <w:sz w:val="20"/>
                <w:szCs w:val="20"/>
              </w:rPr>
              <w:t>Keng</w:t>
            </w:r>
            <w:proofErr w:type="spellEnd"/>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FABF8F" w:themeFill="accent6" w:themeFillTint="99"/>
          </w:tcPr>
          <w:p w:rsidR="009F33B8" w:rsidRPr="00D02D39" w:rsidRDefault="009F33B8" w:rsidP="00B07E7C">
            <w:pPr>
              <w:rPr>
                <w:rFonts w:ascii="Cambria" w:hAnsi="Cambria"/>
                <w:sz w:val="20"/>
                <w:szCs w:val="20"/>
              </w:rPr>
            </w:pPr>
          </w:p>
        </w:tc>
        <w:tc>
          <w:tcPr>
            <w:tcW w:w="355" w:type="dxa"/>
            <w:tcBorders>
              <w:left w:val="nil"/>
            </w:tcBorders>
            <w:shd w:val="clear" w:color="auto" w:fill="FABF8F" w:themeFill="accent6" w:themeFillTint="99"/>
          </w:tcPr>
          <w:p w:rsidR="009F33B8" w:rsidRPr="00D02D39" w:rsidRDefault="009F33B8" w:rsidP="00B07E7C">
            <w:pPr>
              <w:rPr>
                <w:rFonts w:ascii="Cambria" w:hAnsi="Cambria"/>
                <w:sz w:val="20"/>
                <w:szCs w:val="20"/>
              </w:rPr>
            </w:pPr>
          </w:p>
        </w:tc>
      </w:tr>
      <w:tr w:rsidR="009F33B8" w:rsidRPr="00D02D39" w:rsidTr="00B07E7C">
        <w:tc>
          <w:tcPr>
            <w:tcW w:w="2972" w:type="dxa"/>
            <w:vMerge w:val="restart"/>
          </w:tcPr>
          <w:p w:rsidR="009F33B8" w:rsidRPr="00D02D39" w:rsidRDefault="00B07E7C" w:rsidP="00B07E7C">
            <w:pPr>
              <w:rPr>
                <w:rFonts w:ascii="Cambria" w:hAnsi="Cambria"/>
                <w:sz w:val="20"/>
                <w:szCs w:val="20"/>
              </w:rPr>
            </w:pPr>
            <w:r w:rsidRPr="00D02D39">
              <w:rPr>
                <w:rFonts w:ascii="Cambria" w:hAnsi="Cambria"/>
                <w:sz w:val="20"/>
                <w:szCs w:val="20"/>
              </w:rPr>
              <w:t xml:space="preserve">Experimental Evolution: </w:t>
            </w:r>
            <w:r w:rsidR="009F33B8" w:rsidRPr="00D02D39">
              <w:rPr>
                <w:rFonts w:ascii="Cambria" w:hAnsi="Cambria"/>
                <w:sz w:val="20"/>
                <w:szCs w:val="20"/>
              </w:rPr>
              <w:t>Food Additives</w:t>
            </w:r>
            <w:r w:rsidR="00617417">
              <w:rPr>
                <w:rFonts w:ascii="Cambria" w:hAnsi="Cambria"/>
                <w:sz w:val="20"/>
                <w:szCs w:val="20"/>
              </w:rPr>
              <w:t xml:space="preserve"> [46-51</w:t>
            </w:r>
            <w:r w:rsidRPr="00D02D39">
              <w:rPr>
                <w:rFonts w:ascii="Cambria" w:hAnsi="Cambria"/>
                <w:sz w:val="20"/>
                <w:szCs w:val="20"/>
              </w:rPr>
              <w:t>]</w:t>
            </w: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CH Lee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0000"/>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0000"/>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KC Lee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0000"/>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0000"/>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JSH </w:t>
            </w:r>
            <w:proofErr w:type="spellStart"/>
            <w:r w:rsidRPr="00D02D39">
              <w:rPr>
                <w:rFonts w:ascii="Cambria" w:hAnsi="Cambria"/>
                <w:sz w:val="20"/>
                <w:szCs w:val="20"/>
              </w:rPr>
              <w:t>Oon</w:t>
            </w:r>
            <w:proofErr w:type="spellEnd"/>
            <w:r w:rsidRPr="00D02D39">
              <w:rPr>
                <w:rFonts w:ascii="Cambria" w:hAnsi="Cambria"/>
                <w:sz w:val="20"/>
                <w:szCs w:val="20"/>
              </w:rPr>
              <w:t xml:space="preserve">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0000"/>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0000"/>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WC Ng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D99594" w:themeFill="accent2" w:themeFillTint="99"/>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ZE </w:t>
            </w:r>
            <w:proofErr w:type="spellStart"/>
            <w:r w:rsidRPr="00D02D39">
              <w:rPr>
                <w:rFonts w:ascii="Cambria" w:hAnsi="Cambria"/>
                <w:sz w:val="20"/>
                <w:szCs w:val="20"/>
              </w:rPr>
              <w:t>Chay</w:t>
            </w:r>
            <w:proofErr w:type="spellEnd"/>
            <w:r w:rsidRPr="00D02D39">
              <w:rPr>
                <w:rFonts w:ascii="Cambria" w:hAnsi="Cambria"/>
                <w:sz w:val="20"/>
                <w:szCs w:val="20"/>
              </w:rPr>
              <w:t xml:space="preserve">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92D050"/>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ZQ Aw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shd w:val="clear" w:color="auto" w:fill="00B050"/>
          </w:tcPr>
          <w:p w:rsidR="009F33B8" w:rsidRPr="00D02D39" w:rsidRDefault="009F33B8" w:rsidP="00B07E7C">
            <w:pPr>
              <w:rPr>
                <w:rFonts w:ascii="Cambria" w:hAnsi="Cambria"/>
                <w:sz w:val="20"/>
                <w:szCs w:val="20"/>
              </w:rPr>
            </w:pPr>
          </w:p>
        </w:tc>
        <w:tc>
          <w:tcPr>
            <w:tcW w:w="354" w:type="dxa"/>
            <w:tcBorders>
              <w:left w:val="nil"/>
              <w:right w:val="nil"/>
            </w:tcBorders>
            <w:shd w:val="clear" w:color="auto" w:fill="00B050"/>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BZL Loo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shd w:val="clear" w:color="auto" w:fill="00B050"/>
          </w:tcPr>
          <w:p w:rsidR="009F33B8" w:rsidRPr="00D02D39" w:rsidRDefault="009F33B8" w:rsidP="00B07E7C">
            <w:pPr>
              <w:rPr>
                <w:rFonts w:ascii="Cambria" w:hAnsi="Cambria"/>
                <w:sz w:val="20"/>
                <w:szCs w:val="20"/>
              </w:rPr>
            </w:pPr>
          </w:p>
        </w:tc>
        <w:tc>
          <w:tcPr>
            <w:tcW w:w="354" w:type="dxa"/>
            <w:tcBorders>
              <w:left w:val="nil"/>
              <w:right w:val="nil"/>
            </w:tcBorders>
            <w:shd w:val="clear" w:color="auto" w:fill="00B050"/>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SXZ Low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shd w:val="clear" w:color="auto" w:fill="00B050"/>
          </w:tcPr>
          <w:p w:rsidR="009F33B8" w:rsidRPr="00D02D39" w:rsidRDefault="009F33B8" w:rsidP="00B07E7C">
            <w:pPr>
              <w:rPr>
                <w:rFonts w:ascii="Cambria" w:hAnsi="Cambria"/>
                <w:sz w:val="20"/>
                <w:szCs w:val="20"/>
              </w:rPr>
            </w:pPr>
          </w:p>
        </w:tc>
        <w:tc>
          <w:tcPr>
            <w:tcW w:w="354" w:type="dxa"/>
            <w:tcBorders>
              <w:left w:val="nil"/>
              <w:right w:val="nil"/>
            </w:tcBorders>
            <w:shd w:val="clear" w:color="auto" w:fill="00B050"/>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val="restart"/>
          </w:tcPr>
          <w:p w:rsidR="009F33B8" w:rsidRPr="00D02D39" w:rsidRDefault="00B07E7C" w:rsidP="00B07E7C">
            <w:pPr>
              <w:rPr>
                <w:rFonts w:ascii="Cambria" w:hAnsi="Cambria"/>
                <w:sz w:val="20"/>
                <w:szCs w:val="20"/>
              </w:rPr>
            </w:pPr>
            <w:r w:rsidRPr="00D02D39">
              <w:rPr>
                <w:rFonts w:ascii="Cambria" w:hAnsi="Cambria"/>
                <w:sz w:val="20"/>
                <w:szCs w:val="20"/>
              </w:rPr>
              <w:t xml:space="preserve">Experimental Evolution: </w:t>
            </w:r>
            <w:proofErr w:type="spellStart"/>
            <w:r w:rsidR="009F33B8" w:rsidRPr="00D02D39">
              <w:rPr>
                <w:rFonts w:ascii="Cambria" w:hAnsi="Cambria"/>
                <w:sz w:val="20"/>
                <w:szCs w:val="20"/>
              </w:rPr>
              <w:t>Halophilization</w:t>
            </w:r>
            <w:proofErr w:type="spellEnd"/>
            <w:r w:rsidR="00617417">
              <w:rPr>
                <w:rFonts w:ascii="Cambria" w:hAnsi="Cambria"/>
                <w:sz w:val="20"/>
                <w:szCs w:val="20"/>
              </w:rPr>
              <w:t xml:space="preserve"> [52, 53</w:t>
            </w:r>
            <w:r w:rsidRPr="00D02D39">
              <w:rPr>
                <w:rFonts w:ascii="Cambria" w:hAnsi="Cambria"/>
                <w:sz w:val="20"/>
                <w:szCs w:val="20"/>
              </w:rPr>
              <w:t>]</w:t>
            </w: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DJW Goh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shd w:val="clear" w:color="auto" w:fill="FFC000"/>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C000"/>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JA How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shd w:val="clear" w:color="auto" w:fill="FFC000"/>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C000"/>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JZR Lim </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shd w:val="clear" w:color="auto" w:fill="FFC000"/>
          </w:tcPr>
          <w:p w:rsidR="009F33B8" w:rsidRPr="00D02D39" w:rsidRDefault="009F33B8" w:rsidP="00B07E7C">
            <w:pPr>
              <w:rPr>
                <w:rFonts w:ascii="Cambria" w:hAnsi="Cambria"/>
                <w:sz w:val="20"/>
                <w:szCs w:val="20"/>
              </w:rPr>
            </w:pPr>
          </w:p>
        </w:tc>
        <w:tc>
          <w:tcPr>
            <w:tcW w:w="354" w:type="dxa"/>
            <w:tcBorders>
              <w:left w:val="nil"/>
              <w:right w:val="nil"/>
            </w:tcBorders>
            <w:shd w:val="clear" w:color="auto" w:fill="FFC000"/>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tcBorders>
          </w:tcPr>
          <w:p w:rsidR="009F33B8" w:rsidRPr="00D02D39" w:rsidRDefault="009F33B8" w:rsidP="00B07E7C">
            <w:pPr>
              <w:rPr>
                <w:rFonts w:ascii="Cambria" w:hAnsi="Cambria"/>
                <w:sz w:val="20"/>
                <w:szCs w:val="20"/>
              </w:rPr>
            </w:pPr>
          </w:p>
        </w:tc>
      </w:tr>
      <w:tr w:rsidR="009F33B8" w:rsidRPr="00D02D39" w:rsidTr="00B07E7C">
        <w:tc>
          <w:tcPr>
            <w:tcW w:w="2972" w:type="dxa"/>
            <w:vMerge w:val="restart"/>
          </w:tcPr>
          <w:p w:rsidR="009F33B8" w:rsidRPr="00D02D39" w:rsidRDefault="00B07E7C" w:rsidP="00B07E7C">
            <w:pPr>
              <w:rPr>
                <w:rFonts w:ascii="Cambria" w:hAnsi="Cambria"/>
                <w:sz w:val="20"/>
                <w:szCs w:val="20"/>
              </w:rPr>
            </w:pPr>
            <w:r w:rsidRPr="00D02D39">
              <w:rPr>
                <w:rFonts w:ascii="Cambria" w:hAnsi="Cambria"/>
                <w:sz w:val="20"/>
                <w:szCs w:val="20"/>
              </w:rPr>
              <w:t xml:space="preserve">Evolution by </w:t>
            </w:r>
            <w:r w:rsidR="009F33B8" w:rsidRPr="00D02D39">
              <w:rPr>
                <w:rFonts w:ascii="Cambria" w:hAnsi="Cambria"/>
                <w:sz w:val="20"/>
                <w:szCs w:val="20"/>
              </w:rPr>
              <w:t>Digital Organisms</w:t>
            </w:r>
            <w:r w:rsidR="00617417">
              <w:rPr>
                <w:rFonts w:ascii="Cambria" w:hAnsi="Cambria"/>
                <w:sz w:val="20"/>
                <w:szCs w:val="20"/>
              </w:rPr>
              <w:t xml:space="preserve"> [54-56</w:t>
            </w:r>
            <w:r w:rsidRPr="00D02D39">
              <w:rPr>
                <w:rFonts w:ascii="Cambria" w:hAnsi="Cambria"/>
                <w:sz w:val="20"/>
                <w:szCs w:val="20"/>
              </w:rPr>
              <w:t>]</w:t>
            </w: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CFG Castillo</w:t>
            </w:r>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shd w:val="clear" w:color="auto" w:fill="B2A1C7" w:themeFill="accent4" w:themeFillTint="99"/>
          </w:tcPr>
          <w:p w:rsidR="009F33B8" w:rsidRPr="00D02D39" w:rsidRDefault="009F33B8" w:rsidP="00B07E7C">
            <w:pPr>
              <w:rPr>
                <w:rFonts w:ascii="Cambria" w:hAnsi="Cambria"/>
                <w:sz w:val="20"/>
                <w:szCs w:val="20"/>
              </w:rPr>
            </w:pPr>
          </w:p>
        </w:tc>
        <w:tc>
          <w:tcPr>
            <w:tcW w:w="354" w:type="dxa"/>
            <w:tcBorders>
              <w:left w:val="nil"/>
              <w:right w:val="nil"/>
            </w:tcBorders>
            <w:shd w:val="clear" w:color="auto" w:fill="B2A1C7" w:themeFill="accent4" w:themeFillTint="99"/>
          </w:tcPr>
          <w:p w:rsidR="009F33B8" w:rsidRPr="00D02D39" w:rsidRDefault="009F33B8" w:rsidP="00B07E7C">
            <w:pPr>
              <w:rPr>
                <w:rFonts w:ascii="Cambria" w:hAnsi="Cambria"/>
                <w:sz w:val="20"/>
                <w:szCs w:val="20"/>
              </w:rPr>
            </w:pPr>
          </w:p>
        </w:tc>
        <w:tc>
          <w:tcPr>
            <w:tcW w:w="354" w:type="dxa"/>
            <w:tcBorders>
              <w:left w:val="nil"/>
              <w:right w:val="nil"/>
            </w:tcBorders>
            <w:shd w:val="clear" w:color="auto" w:fill="B2A1C7" w:themeFill="accent4" w:themeFillTint="99"/>
          </w:tcPr>
          <w:p w:rsidR="009F33B8" w:rsidRPr="00D02D39" w:rsidRDefault="009F33B8" w:rsidP="00B07E7C">
            <w:pPr>
              <w:rPr>
                <w:rFonts w:ascii="Cambria" w:hAnsi="Cambria"/>
                <w:sz w:val="20"/>
                <w:szCs w:val="20"/>
              </w:rPr>
            </w:pPr>
          </w:p>
        </w:tc>
        <w:tc>
          <w:tcPr>
            <w:tcW w:w="355" w:type="dxa"/>
            <w:tcBorders>
              <w:left w:val="nil"/>
            </w:tcBorders>
            <w:shd w:val="clear" w:color="auto" w:fill="B2A1C7" w:themeFill="accent4" w:themeFillTint="99"/>
          </w:tcPr>
          <w:p w:rsidR="009F33B8" w:rsidRPr="00D02D39" w:rsidRDefault="009F33B8" w:rsidP="00B07E7C">
            <w:pPr>
              <w:rPr>
                <w:rFonts w:ascii="Cambria" w:hAnsi="Cambria"/>
                <w:sz w:val="20"/>
                <w:szCs w:val="20"/>
              </w:rPr>
            </w:pPr>
          </w:p>
        </w:tc>
      </w:tr>
      <w:tr w:rsidR="009F33B8" w:rsidRPr="00D02D39" w:rsidTr="00B07E7C">
        <w:tc>
          <w:tcPr>
            <w:tcW w:w="2972" w:type="dxa"/>
            <w:vMerge/>
          </w:tcPr>
          <w:p w:rsidR="009F33B8" w:rsidRPr="00D02D39" w:rsidRDefault="009F33B8" w:rsidP="00B07E7C">
            <w:pPr>
              <w:rPr>
                <w:rFonts w:ascii="Cambria" w:hAnsi="Cambria"/>
                <w:sz w:val="20"/>
                <w:szCs w:val="20"/>
              </w:rPr>
            </w:pPr>
          </w:p>
        </w:tc>
        <w:tc>
          <w:tcPr>
            <w:tcW w:w="1418" w:type="dxa"/>
          </w:tcPr>
          <w:p w:rsidR="009F33B8" w:rsidRPr="00D02D39" w:rsidRDefault="009F33B8" w:rsidP="00B07E7C">
            <w:pPr>
              <w:rPr>
                <w:rFonts w:ascii="Cambria" w:hAnsi="Cambria"/>
                <w:sz w:val="20"/>
                <w:szCs w:val="20"/>
              </w:rPr>
            </w:pPr>
            <w:r w:rsidRPr="00D02D39">
              <w:rPr>
                <w:rFonts w:ascii="Cambria" w:hAnsi="Cambria"/>
                <w:sz w:val="20"/>
                <w:szCs w:val="20"/>
              </w:rPr>
              <w:t xml:space="preserve">ZE </w:t>
            </w:r>
            <w:proofErr w:type="spellStart"/>
            <w:r w:rsidRPr="00D02D39">
              <w:rPr>
                <w:rFonts w:ascii="Cambria" w:hAnsi="Cambria"/>
                <w:sz w:val="20"/>
                <w:szCs w:val="20"/>
              </w:rPr>
              <w:t>Chay</w:t>
            </w:r>
            <w:proofErr w:type="spellEnd"/>
          </w:p>
        </w:tc>
        <w:tc>
          <w:tcPr>
            <w:tcW w:w="354" w:type="dxa"/>
            <w:tcBorders>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5"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tcPr>
          <w:p w:rsidR="009F33B8" w:rsidRPr="00D02D39" w:rsidRDefault="009F33B8" w:rsidP="00B07E7C">
            <w:pPr>
              <w:rPr>
                <w:rFonts w:ascii="Cambria" w:hAnsi="Cambria"/>
                <w:sz w:val="20"/>
                <w:szCs w:val="20"/>
              </w:rPr>
            </w:pPr>
          </w:p>
        </w:tc>
        <w:tc>
          <w:tcPr>
            <w:tcW w:w="354" w:type="dxa"/>
            <w:tcBorders>
              <w:left w:val="nil"/>
              <w:right w:val="nil"/>
            </w:tcBorders>
            <w:shd w:val="clear" w:color="auto" w:fill="92CDDC" w:themeFill="accent5" w:themeFillTint="99"/>
          </w:tcPr>
          <w:p w:rsidR="009F33B8" w:rsidRPr="00D02D39" w:rsidRDefault="009F33B8" w:rsidP="00B07E7C">
            <w:pPr>
              <w:rPr>
                <w:rFonts w:ascii="Cambria" w:hAnsi="Cambria"/>
                <w:sz w:val="20"/>
                <w:szCs w:val="20"/>
              </w:rPr>
            </w:pPr>
          </w:p>
        </w:tc>
        <w:tc>
          <w:tcPr>
            <w:tcW w:w="355" w:type="dxa"/>
            <w:tcBorders>
              <w:left w:val="nil"/>
            </w:tcBorders>
            <w:shd w:val="clear" w:color="auto" w:fill="92CDDC" w:themeFill="accent5" w:themeFillTint="99"/>
          </w:tcPr>
          <w:p w:rsidR="009F33B8" w:rsidRPr="00D02D39" w:rsidRDefault="009F33B8" w:rsidP="00B07E7C">
            <w:pPr>
              <w:rPr>
                <w:rFonts w:ascii="Cambria" w:hAnsi="Cambria"/>
                <w:sz w:val="20"/>
                <w:szCs w:val="20"/>
              </w:rPr>
            </w:pPr>
          </w:p>
        </w:tc>
      </w:tr>
    </w:tbl>
    <w:p w:rsidR="00A56A12" w:rsidRPr="00D02D39" w:rsidRDefault="00B07E7C" w:rsidP="00B07E7C">
      <w:pPr>
        <w:spacing w:after="0" w:line="360" w:lineRule="auto"/>
        <w:rPr>
          <w:rFonts w:ascii="Cambria" w:hAnsi="Cambria"/>
          <w:sz w:val="20"/>
          <w:szCs w:val="20"/>
        </w:rPr>
      </w:pPr>
      <w:r w:rsidRPr="00D02D39">
        <w:rPr>
          <w:rFonts w:ascii="Cambria" w:hAnsi="Cambria"/>
          <w:sz w:val="20"/>
          <w:szCs w:val="20"/>
        </w:rPr>
        <w:t xml:space="preserve">Figure 1: </w:t>
      </w:r>
      <w:r w:rsidR="00E75058" w:rsidRPr="00D02D39">
        <w:rPr>
          <w:rFonts w:ascii="Cambria" w:hAnsi="Cambria"/>
          <w:sz w:val="20"/>
          <w:szCs w:val="20"/>
          <w:u w:val="single"/>
        </w:rPr>
        <w:t>Timeline of Projects</w:t>
      </w:r>
    </w:p>
    <w:p w:rsidR="00B07E7C" w:rsidRPr="00A56A12" w:rsidRDefault="00B07E7C" w:rsidP="00B07E7C">
      <w:pPr>
        <w:spacing w:after="0" w:line="360" w:lineRule="auto"/>
        <w:rPr>
          <w:rFonts w:ascii="Cambria" w:hAnsi="Cambria"/>
        </w:rPr>
      </w:pPr>
    </w:p>
    <w:p w:rsidR="0030298A" w:rsidRPr="0030298A" w:rsidRDefault="00CD2D7E" w:rsidP="00B07E7C">
      <w:pPr>
        <w:pStyle w:val="ListParagraph"/>
        <w:widowControl w:val="0"/>
        <w:numPr>
          <w:ilvl w:val="1"/>
          <w:numId w:val="1"/>
        </w:numPr>
        <w:autoSpaceDE w:val="0"/>
        <w:autoSpaceDN w:val="0"/>
        <w:adjustRightInd w:val="0"/>
        <w:spacing w:after="0" w:line="360" w:lineRule="auto"/>
        <w:ind w:left="720"/>
        <w:jc w:val="both"/>
        <w:rPr>
          <w:rFonts w:ascii="Cambria" w:hAnsi="Cambria" w:cs="Times New Roman"/>
          <w:b/>
          <w:sz w:val="20"/>
          <w:szCs w:val="20"/>
          <w:lang w:eastAsia="ja-JP"/>
        </w:rPr>
      </w:pPr>
      <w:r>
        <w:rPr>
          <w:rFonts w:ascii="Cambria" w:hAnsi="Cambria" w:cs="Times New Roman"/>
          <w:b/>
          <w:sz w:val="20"/>
          <w:szCs w:val="20"/>
        </w:rPr>
        <w:t xml:space="preserve">Development of </w:t>
      </w:r>
      <w:r w:rsidR="00EB3740">
        <w:rPr>
          <w:rFonts w:ascii="Cambria" w:hAnsi="Cambria" w:cs="Times New Roman"/>
          <w:b/>
          <w:sz w:val="20"/>
          <w:szCs w:val="20"/>
        </w:rPr>
        <w:t xml:space="preserve">Electronic </w:t>
      </w:r>
      <w:r>
        <w:rPr>
          <w:rFonts w:ascii="Cambria" w:hAnsi="Cambria" w:cs="Times New Roman"/>
          <w:b/>
          <w:sz w:val="20"/>
          <w:szCs w:val="20"/>
        </w:rPr>
        <w:t>Notebook (</w:t>
      </w:r>
      <w:proofErr w:type="spellStart"/>
      <w:r>
        <w:rPr>
          <w:rFonts w:ascii="Cambria" w:hAnsi="Cambria" w:cs="Times New Roman"/>
          <w:b/>
          <w:sz w:val="20"/>
          <w:szCs w:val="20"/>
        </w:rPr>
        <w:t>CyNote</w:t>
      </w:r>
      <w:proofErr w:type="spellEnd"/>
      <w:r>
        <w:rPr>
          <w:rFonts w:ascii="Cambria" w:hAnsi="Cambria" w:cs="Times New Roman"/>
          <w:b/>
          <w:sz w:val="20"/>
          <w:szCs w:val="20"/>
        </w:rPr>
        <w:t>)</w:t>
      </w:r>
    </w:p>
    <w:p w:rsidR="001A080B" w:rsidRDefault="00834432" w:rsidP="00B07E7C">
      <w:pPr>
        <w:widowControl w:val="0"/>
        <w:autoSpaceDE w:val="0"/>
        <w:autoSpaceDN w:val="0"/>
        <w:adjustRightInd w:val="0"/>
        <w:spacing w:after="0" w:line="360" w:lineRule="auto"/>
        <w:jc w:val="both"/>
        <w:rPr>
          <w:rFonts w:ascii="Cambria" w:hAnsi="Cambria" w:cs="Times New Roman"/>
          <w:sz w:val="20"/>
          <w:szCs w:val="20"/>
        </w:rPr>
      </w:pPr>
      <w:r>
        <w:rPr>
          <w:rFonts w:ascii="Cambria" w:hAnsi="Cambria" w:cs="Times New Roman"/>
          <w:sz w:val="20"/>
          <w:szCs w:val="20"/>
        </w:rPr>
        <w:t>My</w:t>
      </w:r>
      <w:r w:rsidR="00617417">
        <w:rPr>
          <w:rFonts w:ascii="Cambria" w:hAnsi="Cambria" w:cs="Times New Roman"/>
          <w:sz w:val="20"/>
          <w:szCs w:val="20"/>
        </w:rPr>
        <w:t xml:space="preserve"> doctoral thesis [57</w:t>
      </w:r>
      <w:r>
        <w:rPr>
          <w:rFonts w:ascii="Cambria" w:hAnsi="Cambria" w:cs="Times New Roman"/>
          <w:sz w:val="20"/>
          <w:szCs w:val="20"/>
        </w:rPr>
        <w:t xml:space="preserve">] is on bioinformatics. Instead of using regular paper-based laboratory notebooks, I used an electronic laboratory notebook </w:t>
      </w:r>
      <w:r w:rsidR="00050429">
        <w:rPr>
          <w:rFonts w:ascii="Cambria" w:hAnsi="Cambria" w:cs="Times New Roman"/>
          <w:sz w:val="20"/>
          <w:szCs w:val="20"/>
        </w:rPr>
        <w:t xml:space="preserve">(ELN) </w:t>
      </w:r>
      <w:r w:rsidR="00617417">
        <w:rPr>
          <w:rFonts w:ascii="Cambria" w:hAnsi="Cambria" w:cs="Times New Roman"/>
          <w:sz w:val="20"/>
          <w:szCs w:val="20"/>
        </w:rPr>
        <w:t>[58</w:t>
      </w:r>
      <w:r w:rsidR="00050429">
        <w:rPr>
          <w:rFonts w:ascii="Cambria" w:hAnsi="Cambria" w:cs="Times New Roman"/>
          <w:sz w:val="20"/>
          <w:szCs w:val="20"/>
        </w:rPr>
        <w:t>]</w:t>
      </w:r>
      <w:r w:rsidR="00C1090E">
        <w:rPr>
          <w:rFonts w:ascii="Cambria" w:hAnsi="Cambria" w:cs="Times New Roman"/>
          <w:sz w:val="20"/>
          <w:szCs w:val="20"/>
        </w:rPr>
        <w:t xml:space="preserve">; jointly </w:t>
      </w:r>
      <w:r>
        <w:rPr>
          <w:rFonts w:ascii="Cambria" w:hAnsi="Cambria" w:cs="Times New Roman"/>
          <w:sz w:val="20"/>
          <w:szCs w:val="20"/>
        </w:rPr>
        <w:t xml:space="preserve">developed </w:t>
      </w:r>
      <w:r w:rsidRPr="00C1090E">
        <w:rPr>
          <w:rFonts w:ascii="Cambria" w:hAnsi="Cambria" w:cs="Times New Roman"/>
          <w:sz w:val="20"/>
          <w:szCs w:val="20"/>
        </w:rPr>
        <w:t xml:space="preserve">by </w:t>
      </w:r>
      <w:r w:rsidR="00050429" w:rsidRPr="00C1090E">
        <w:rPr>
          <w:rFonts w:ascii="Cambria" w:hAnsi="Cambria" w:cs="Times New Roman"/>
          <w:sz w:val="20"/>
          <w:szCs w:val="20"/>
        </w:rPr>
        <w:t>Oak Ridge Nationa</w:t>
      </w:r>
      <w:r w:rsidR="00C1090E" w:rsidRPr="00C1090E">
        <w:rPr>
          <w:rFonts w:ascii="Cambria" w:hAnsi="Cambria" w:cs="Times New Roman"/>
          <w:sz w:val="20"/>
          <w:szCs w:val="20"/>
        </w:rPr>
        <w:t xml:space="preserve">l Laboratory, </w:t>
      </w:r>
      <w:r w:rsidR="00C1090E" w:rsidRPr="00C1090E">
        <w:rPr>
          <w:rFonts w:ascii="Cambria" w:hAnsi="Cambria"/>
          <w:sz w:val="20"/>
          <w:szCs w:val="20"/>
        </w:rPr>
        <w:t xml:space="preserve">Lawrence Berkeley National Laboratory, and Pacific Northwest National Laboratory, under </w:t>
      </w:r>
      <w:r w:rsidR="00C1090E">
        <w:rPr>
          <w:rFonts w:ascii="Cambria" w:hAnsi="Cambria"/>
          <w:sz w:val="20"/>
          <w:szCs w:val="20"/>
        </w:rPr>
        <w:t xml:space="preserve">U.S. Department of Energy’s DOE2000 </w:t>
      </w:r>
      <w:proofErr w:type="spellStart"/>
      <w:r w:rsidR="00C1090E">
        <w:rPr>
          <w:rFonts w:ascii="Cambria" w:hAnsi="Cambria"/>
          <w:sz w:val="20"/>
          <w:szCs w:val="20"/>
        </w:rPr>
        <w:t>Collaboratory</w:t>
      </w:r>
      <w:proofErr w:type="spellEnd"/>
      <w:r w:rsidR="00C1090E">
        <w:rPr>
          <w:rFonts w:ascii="Cambria" w:hAnsi="Cambria"/>
          <w:sz w:val="20"/>
          <w:szCs w:val="20"/>
        </w:rPr>
        <w:t xml:space="preserve"> Program</w:t>
      </w:r>
      <w:r w:rsidR="00C1090E" w:rsidRPr="00C1090E">
        <w:rPr>
          <w:rFonts w:ascii="Cambria" w:hAnsi="Cambria" w:cs="Times New Roman"/>
          <w:sz w:val="20"/>
          <w:szCs w:val="20"/>
        </w:rPr>
        <w:t xml:space="preserve">; </w:t>
      </w:r>
      <w:r w:rsidR="00050429" w:rsidRPr="00C1090E">
        <w:rPr>
          <w:rFonts w:ascii="Cambria" w:hAnsi="Cambria" w:cs="Times New Roman"/>
          <w:sz w:val="20"/>
          <w:szCs w:val="20"/>
        </w:rPr>
        <w:t>to</w:t>
      </w:r>
      <w:r w:rsidR="00050429">
        <w:rPr>
          <w:rFonts w:ascii="Cambria" w:hAnsi="Cambria" w:cs="Times New Roman"/>
          <w:sz w:val="20"/>
          <w:szCs w:val="20"/>
        </w:rPr>
        <w:t xml:space="preserve"> manage my scripts and analysis output. I envisioned an ELN for biologists and </w:t>
      </w:r>
      <w:proofErr w:type="spellStart"/>
      <w:r w:rsidR="00050429">
        <w:rPr>
          <w:rFonts w:ascii="Cambria" w:hAnsi="Cambria" w:cs="Times New Roman"/>
          <w:sz w:val="20"/>
          <w:szCs w:val="20"/>
        </w:rPr>
        <w:t>bioinformaticists</w:t>
      </w:r>
      <w:proofErr w:type="spellEnd"/>
      <w:r w:rsidR="00050429">
        <w:rPr>
          <w:rFonts w:ascii="Cambria" w:hAnsi="Cambria" w:cs="Times New Roman"/>
          <w:sz w:val="20"/>
          <w:szCs w:val="20"/>
        </w:rPr>
        <w:t xml:space="preserve"> where common bioinformatics tools can be made available via the ELN and the analysis results be stored. I have been using Python programming language for all my work since my </w:t>
      </w:r>
      <w:proofErr w:type="spellStart"/>
      <w:r w:rsidR="00050429">
        <w:rPr>
          <w:rFonts w:ascii="Cambria" w:hAnsi="Cambria" w:cs="Times New Roman"/>
          <w:sz w:val="20"/>
          <w:szCs w:val="20"/>
        </w:rPr>
        <w:t>honours</w:t>
      </w:r>
      <w:proofErr w:type="spellEnd"/>
      <w:r w:rsidR="00050429">
        <w:rPr>
          <w:rFonts w:ascii="Cambria" w:hAnsi="Cambria" w:cs="Times New Roman"/>
          <w:sz w:val="20"/>
          <w:szCs w:val="20"/>
        </w:rPr>
        <w:t xml:space="preserve"> and postgraduate years; hence, a default programming language to base my subsequent work on. </w:t>
      </w:r>
    </w:p>
    <w:p w:rsidR="001A080B" w:rsidRDefault="001A080B" w:rsidP="00B07E7C">
      <w:pPr>
        <w:widowControl w:val="0"/>
        <w:autoSpaceDE w:val="0"/>
        <w:autoSpaceDN w:val="0"/>
        <w:adjustRightInd w:val="0"/>
        <w:spacing w:after="0" w:line="360" w:lineRule="auto"/>
        <w:jc w:val="both"/>
        <w:rPr>
          <w:rFonts w:ascii="Cambria" w:hAnsi="Cambria" w:cs="Times New Roman"/>
          <w:sz w:val="20"/>
          <w:szCs w:val="20"/>
        </w:rPr>
      </w:pPr>
    </w:p>
    <w:p w:rsidR="0030298A" w:rsidRDefault="00050429" w:rsidP="00B07E7C">
      <w:pPr>
        <w:widowControl w:val="0"/>
        <w:autoSpaceDE w:val="0"/>
        <w:autoSpaceDN w:val="0"/>
        <w:adjustRightInd w:val="0"/>
        <w:spacing w:after="0" w:line="360" w:lineRule="auto"/>
        <w:jc w:val="both"/>
        <w:rPr>
          <w:rFonts w:ascii="Cambria" w:hAnsi="Cambria" w:cs="Times New Roman"/>
          <w:sz w:val="20"/>
          <w:szCs w:val="20"/>
        </w:rPr>
      </w:pPr>
      <w:r>
        <w:rPr>
          <w:rFonts w:ascii="Cambria" w:hAnsi="Cambria" w:cs="Times New Roman"/>
          <w:sz w:val="20"/>
          <w:szCs w:val="20"/>
        </w:rPr>
        <w:t xml:space="preserve">The opportunity came when I was a lecturer in the School of Chemical and Life Sciences </w:t>
      </w:r>
      <w:r w:rsidR="001A080B">
        <w:rPr>
          <w:rFonts w:ascii="Cambria" w:hAnsi="Cambria" w:cs="Times New Roman"/>
          <w:sz w:val="20"/>
          <w:szCs w:val="20"/>
        </w:rPr>
        <w:t xml:space="preserve">(CLS) </w:t>
      </w:r>
      <w:r>
        <w:rPr>
          <w:rFonts w:ascii="Cambria" w:hAnsi="Cambria" w:cs="Times New Roman"/>
          <w:sz w:val="20"/>
          <w:szCs w:val="20"/>
        </w:rPr>
        <w:t xml:space="preserve">at </w:t>
      </w:r>
      <w:r w:rsidR="00A37A57">
        <w:rPr>
          <w:rFonts w:ascii="Cambria" w:hAnsi="Cambria" w:cs="Times New Roman"/>
          <w:sz w:val="20"/>
          <w:szCs w:val="20"/>
        </w:rPr>
        <w:t xml:space="preserve">the </w:t>
      </w:r>
      <w:r>
        <w:rPr>
          <w:rFonts w:ascii="Cambria" w:hAnsi="Cambria" w:cs="Times New Roman"/>
          <w:sz w:val="20"/>
          <w:szCs w:val="20"/>
        </w:rPr>
        <w:t xml:space="preserve">Singapore Polytechnic, and was approached by a colleague in </w:t>
      </w:r>
      <w:r w:rsidR="00C1090E">
        <w:rPr>
          <w:rFonts w:ascii="Cambria" w:hAnsi="Cambria" w:cs="Times New Roman"/>
          <w:sz w:val="20"/>
          <w:szCs w:val="20"/>
        </w:rPr>
        <w:t xml:space="preserve">School of </w:t>
      </w:r>
      <w:r w:rsidR="001A080B">
        <w:rPr>
          <w:rFonts w:ascii="Cambria" w:hAnsi="Cambria" w:cs="Times New Roman"/>
          <w:sz w:val="20"/>
          <w:szCs w:val="20"/>
        </w:rPr>
        <w:t xml:space="preserve">Media and </w:t>
      </w:r>
      <w:r w:rsidR="00C1090E">
        <w:rPr>
          <w:rFonts w:ascii="Cambria" w:hAnsi="Cambria" w:cs="Times New Roman"/>
          <w:sz w:val="20"/>
          <w:szCs w:val="20"/>
        </w:rPr>
        <w:t xml:space="preserve">Information Technology to consider accepting an internship student, YY Ng. A semester long internship is a mandatory requirement for the diploma that YY Ng was pursuing. </w:t>
      </w:r>
      <w:r w:rsidR="001A080B">
        <w:rPr>
          <w:rFonts w:ascii="Cambria" w:hAnsi="Cambria" w:cs="Times New Roman"/>
          <w:sz w:val="20"/>
          <w:szCs w:val="20"/>
        </w:rPr>
        <w:t>The director of CLS approved of this internship.</w:t>
      </w:r>
    </w:p>
    <w:p w:rsidR="001A080B" w:rsidRDefault="001A080B" w:rsidP="00B07E7C">
      <w:pPr>
        <w:widowControl w:val="0"/>
        <w:autoSpaceDE w:val="0"/>
        <w:autoSpaceDN w:val="0"/>
        <w:adjustRightInd w:val="0"/>
        <w:spacing w:after="0" w:line="360" w:lineRule="auto"/>
        <w:jc w:val="both"/>
        <w:rPr>
          <w:rFonts w:ascii="Cambria" w:hAnsi="Cambria" w:cs="Times New Roman"/>
          <w:sz w:val="20"/>
          <w:szCs w:val="20"/>
        </w:rPr>
      </w:pPr>
    </w:p>
    <w:p w:rsidR="001A080B" w:rsidRPr="0030298A" w:rsidRDefault="001A080B" w:rsidP="00B07E7C">
      <w:pPr>
        <w:widowControl w:val="0"/>
        <w:autoSpaceDE w:val="0"/>
        <w:autoSpaceDN w:val="0"/>
        <w:adjustRightInd w:val="0"/>
        <w:spacing w:after="0" w:line="360" w:lineRule="auto"/>
        <w:jc w:val="both"/>
        <w:rPr>
          <w:rFonts w:ascii="Cambria" w:hAnsi="Cambria" w:cs="Times New Roman"/>
          <w:sz w:val="20"/>
          <w:szCs w:val="20"/>
        </w:rPr>
      </w:pPr>
      <w:r>
        <w:rPr>
          <w:rFonts w:ascii="Cambria" w:hAnsi="Cambria" w:cs="Times New Roman"/>
          <w:sz w:val="20"/>
          <w:szCs w:val="20"/>
        </w:rPr>
        <w:t>YY Ng</w:t>
      </w:r>
      <w:r w:rsidR="00CD3E1D">
        <w:rPr>
          <w:rFonts w:ascii="Cambria" w:hAnsi="Cambria" w:cs="Times New Roman"/>
          <w:sz w:val="20"/>
          <w:szCs w:val="20"/>
        </w:rPr>
        <w:t xml:space="preserve"> </w:t>
      </w:r>
      <w:r>
        <w:rPr>
          <w:rFonts w:ascii="Cambria" w:hAnsi="Cambria" w:cs="Times New Roman"/>
          <w:sz w:val="20"/>
          <w:szCs w:val="20"/>
        </w:rPr>
        <w:t>worked in the library made it a point to learn Python programming</w:t>
      </w:r>
      <w:r w:rsidR="00CD3E1D">
        <w:rPr>
          <w:rFonts w:ascii="Cambria" w:hAnsi="Cambria" w:cs="Times New Roman"/>
          <w:sz w:val="20"/>
          <w:szCs w:val="20"/>
        </w:rPr>
        <w:t xml:space="preserve">. At that point in time, my intention was to develop a web-enabled ELN rather than a standalone system as many of the bioinformatics functions provided by </w:t>
      </w:r>
      <w:proofErr w:type="spellStart"/>
      <w:r w:rsidR="00CD3E1D">
        <w:rPr>
          <w:rFonts w:ascii="Cambria" w:hAnsi="Cambria" w:cs="Times New Roman"/>
          <w:sz w:val="20"/>
          <w:szCs w:val="20"/>
        </w:rPr>
        <w:t>BioPython</w:t>
      </w:r>
      <w:proofErr w:type="spellEnd"/>
      <w:r w:rsidR="00617417">
        <w:rPr>
          <w:rFonts w:ascii="Cambria" w:hAnsi="Cambria" w:cs="Times New Roman"/>
          <w:sz w:val="20"/>
          <w:szCs w:val="20"/>
        </w:rPr>
        <w:t xml:space="preserve"> [59</w:t>
      </w:r>
      <w:r w:rsidR="00CD3E1D">
        <w:rPr>
          <w:rFonts w:ascii="Cambria" w:hAnsi="Cambria" w:cs="Times New Roman"/>
          <w:sz w:val="20"/>
          <w:szCs w:val="20"/>
        </w:rPr>
        <w:t xml:space="preserve">], a Python library for computational biology, requires web access. </w:t>
      </w:r>
      <w:r w:rsidR="00054389">
        <w:rPr>
          <w:rFonts w:ascii="Cambria" w:hAnsi="Cambria" w:cs="Times New Roman"/>
          <w:sz w:val="20"/>
          <w:szCs w:val="20"/>
        </w:rPr>
        <w:t xml:space="preserve">Our original intention was to develop on </w:t>
      </w:r>
      <w:proofErr w:type="spellStart"/>
      <w:r w:rsidR="00054389">
        <w:rPr>
          <w:rFonts w:ascii="Cambria" w:hAnsi="Cambria" w:cs="Times New Roman"/>
          <w:sz w:val="20"/>
          <w:szCs w:val="20"/>
        </w:rPr>
        <w:t>CherryPy</w:t>
      </w:r>
      <w:proofErr w:type="spellEnd"/>
      <w:r w:rsidR="00617417">
        <w:rPr>
          <w:rFonts w:ascii="Cambria" w:hAnsi="Cambria" w:cs="Times New Roman"/>
          <w:sz w:val="20"/>
          <w:szCs w:val="20"/>
        </w:rPr>
        <w:t xml:space="preserve"> [60</w:t>
      </w:r>
      <w:r w:rsidR="00054389">
        <w:rPr>
          <w:rFonts w:ascii="Cambria" w:hAnsi="Cambria" w:cs="Times New Roman"/>
          <w:sz w:val="20"/>
          <w:szCs w:val="20"/>
        </w:rPr>
        <w:t xml:space="preserve">], a Python web application framework, but quickly found that </w:t>
      </w:r>
      <w:proofErr w:type="spellStart"/>
      <w:r w:rsidR="00054389">
        <w:rPr>
          <w:rFonts w:ascii="Cambria" w:hAnsi="Cambria" w:cs="Times New Roman"/>
          <w:sz w:val="20"/>
          <w:szCs w:val="20"/>
        </w:rPr>
        <w:t>CherryPy</w:t>
      </w:r>
      <w:proofErr w:type="spellEnd"/>
      <w:r w:rsidR="00054389">
        <w:rPr>
          <w:rFonts w:ascii="Cambria" w:hAnsi="Cambria" w:cs="Times New Roman"/>
          <w:sz w:val="20"/>
          <w:szCs w:val="20"/>
        </w:rPr>
        <w:t xml:space="preserve"> is too “low leveled”, which is useful for complete customiz</w:t>
      </w:r>
      <w:r w:rsidR="00617417">
        <w:rPr>
          <w:rFonts w:ascii="Cambria" w:hAnsi="Cambria" w:cs="Times New Roman"/>
          <w:sz w:val="20"/>
          <w:szCs w:val="20"/>
        </w:rPr>
        <w:t>ation. Web2Py [61</w:t>
      </w:r>
      <w:r w:rsidR="00054389">
        <w:rPr>
          <w:rFonts w:ascii="Cambria" w:hAnsi="Cambria" w:cs="Times New Roman"/>
          <w:sz w:val="20"/>
          <w:szCs w:val="20"/>
        </w:rPr>
        <w:t xml:space="preserve">], on the other hand, made many assumptions and provide a set of application structure (even though in-depth customization is still possible) to enable rapid application prototyping, which is suitable for </w:t>
      </w:r>
      <w:proofErr w:type="spellStart"/>
      <w:r w:rsidR="00054389">
        <w:rPr>
          <w:rFonts w:ascii="Cambria" w:hAnsi="Cambria" w:cs="Times New Roman"/>
          <w:sz w:val="20"/>
          <w:szCs w:val="20"/>
        </w:rPr>
        <w:t>CyNote</w:t>
      </w:r>
      <w:proofErr w:type="spellEnd"/>
      <w:r w:rsidR="00054389">
        <w:rPr>
          <w:rFonts w:ascii="Cambria" w:hAnsi="Cambria" w:cs="Times New Roman"/>
          <w:sz w:val="20"/>
          <w:szCs w:val="20"/>
        </w:rPr>
        <w:t xml:space="preserve"> development. </w:t>
      </w:r>
      <w:r w:rsidR="00EB7383">
        <w:rPr>
          <w:rFonts w:ascii="Cambria" w:hAnsi="Cambria" w:cs="Times New Roman"/>
          <w:sz w:val="20"/>
          <w:szCs w:val="20"/>
        </w:rPr>
        <w:t>I met up with YY Ng every morning in the library to discuss the</w:t>
      </w:r>
      <w:r w:rsidR="00C522CB">
        <w:rPr>
          <w:rFonts w:ascii="Cambria" w:hAnsi="Cambria" w:cs="Times New Roman"/>
          <w:sz w:val="20"/>
          <w:szCs w:val="20"/>
        </w:rPr>
        <w:t xml:space="preserve"> issues he faced the preceding day and</w:t>
      </w:r>
      <w:r w:rsidR="00EB7383">
        <w:rPr>
          <w:rFonts w:ascii="Cambria" w:hAnsi="Cambria" w:cs="Times New Roman"/>
          <w:sz w:val="20"/>
          <w:szCs w:val="20"/>
        </w:rPr>
        <w:t xml:space="preserve"> development for the day. </w:t>
      </w:r>
      <w:r w:rsidR="00C522CB">
        <w:rPr>
          <w:rFonts w:ascii="Cambria" w:hAnsi="Cambria" w:cs="Times New Roman"/>
          <w:sz w:val="20"/>
          <w:szCs w:val="20"/>
        </w:rPr>
        <w:t xml:space="preserve">YY Ng was encouraged to ask for help in Web2Py Google Group where I will supplement his questions in the group. Massimo, the creator of Web2Py, and other active members of the group are patient to our questions and rendered significant help. </w:t>
      </w:r>
      <w:r w:rsidR="00EB7383">
        <w:rPr>
          <w:rFonts w:ascii="Cambria" w:hAnsi="Cambria" w:cs="Times New Roman"/>
          <w:sz w:val="20"/>
          <w:szCs w:val="20"/>
        </w:rPr>
        <w:t xml:space="preserve">Once YY Ng realized that an ELN is essentially a stricter version </w:t>
      </w:r>
      <w:r w:rsidR="00EB7383">
        <w:rPr>
          <w:rFonts w:ascii="Cambria" w:hAnsi="Cambria" w:cs="Times New Roman"/>
          <w:sz w:val="20"/>
          <w:szCs w:val="20"/>
        </w:rPr>
        <w:lastRenderedPageBreak/>
        <w:t>of a blog application (the common ground), together with the application framework of Web2Py, YY Ng made</w:t>
      </w:r>
      <w:r w:rsidR="00054389">
        <w:rPr>
          <w:rFonts w:ascii="Cambria" w:hAnsi="Cambria" w:cs="Times New Roman"/>
          <w:sz w:val="20"/>
          <w:szCs w:val="20"/>
        </w:rPr>
        <w:t xml:space="preserve"> great st</w:t>
      </w:r>
      <w:r w:rsidR="00EB7383">
        <w:rPr>
          <w:rFonts w:ascii="Cambria" w:hAnsi="Cambria" w:cs="Times New Roman"/>
          <w:sz w:val="20"/>
          <w:szCs w:val="20"/>
        </w:rPr>
        <w:t xml:space="preserve">rides in development – where notebook entries are synonymous with blog entries, and supplementary notations on each entry are synonymous to comment entries within a blog entry. </w:t>
      </w:r>
      <w:r w:rsidR="00C522CB">
        <w:rPr>
          <w:rFonts w:ascii="Cambria" w:hAnsi="Cambria" w:cs="Times New Roman"/>
          <w:sz w:val="20"/>
          <w:szCs w:val="20"/>
        </w:rPr>
        <w:t>With each progress and solved issue, YY Ng’s confidence and enthusiasm increased.</w:t>
      </w:r>
      <w:r w:rsidR="00F16605">
        <w:rPr>
          <w:rFonts w:ascii="Cambria" w:hAnsi="Cambria" w:cs="Times New Roman"/>
          <w:sz w:val="20"/>
          <w:szCs w:val="20"/>
        </w:rPr>
        <w:t xml:space="preserve"> </w:t>
      </w:r>
      <w:r w:rsidR="00EB7383">
        <w:rPr>
          <w:rFonts w:ascii="Cambria" w:hAnsi="Cambria" w:cs="Times New Roman"/>
          <w:sz w:val="20"/>
          <w:szCs w:val="20"/>
        </w:rPr>
        <w:t xml:space="preserve">At the end of his internship, we have a working </w:t>
      </w:r>
      <w:proofErr w:type="spellStart"/>
      <w:r w:rsidR="00EB7383">
        <w:rPr>
          <w:rFonts w:ascii="Cambria" w:hAnsi="Cambria" w:cs="Times New Roman"/>
          <w:sz w:val="20"/>
          <w:szCs w:val="20"/>
        </w:rPr>
        <w:t>CyNote</w:t>
      </w:r>
      <w:proofErr w:type="spellEnd"/>
      <w:r w:rsidR="00EB7383">
        <w:rPr>
          <w:rFonts w:ascii="Cambria" w:hAnsi="Cambria" w:cs="Times New Roman"/>
          <w:sz w:val="20"/>
          <w:szCs w:val="20"/>
        </w:rPr>
        <w:t xml:space="preserve"> where I can add bioinformatics tools on. Subsequently, we managed to present </w:t>
      </w:r>
      <w:proofErr w:type="spellStart"/>
      <w:r w:rsidR="00EB7383">
        <w:rPr>
          <w:rFonts w:ascii="Cambria" w:hAnsi="Cambria" w:cs="Times New Roman"/>
          <w:sz w:val="20"/>
          <w:szCs w:val="20"/>
        </w:rPr>
        <w:t>CyNote</w:t>
      </w:r>
      <w:proofErr w:type="spellEnd"/>
      <w:r w:rsidR="00EB7383">
        <w:rPr>
          <w:rFonts w:ascii="Cambria" w:hAnsi="Cambria" w:cs="Times New Roman"/>
          <w:sz w:val="20"/>
          <w:szCs w:val="20"/>
        </w:rPr>
        <w:t xml:space="preserve"> </w:t>
      </w:r>
      <w:r w:rsidR="006E54D4">
        <w:rPr>
          <w:rFonts w:ascii="Cambria" w:hAnsi="Cambria" w:cs="Times New Roman"/>
          <w:sz w:val="20"/>
          <w:szCs w:val="20"/>
        </w:rPr>
        <w:t xml:space="preserve">as a 21 CFR Part 11 </w:t>
      </w:r>
      <w:r w:rsidR="00617417">
        <w:rPr>
          <w:rFonts w:ascii="Cambria" w:hAnsi="Cambria" w:cs="Times New Roman"/>
          <w:sz w:val="20"/>
          <w:szCs w:val="20"/>
        </w:rPr>
        <w:t>[62</w:t>
      </w:r>
      <w:r w:rsidR="006E54D4">
        <w:rPr>
          <w:rFonts w:ascii="Cambria" w:hAnsi="Cambria" w:cs="Times New Roman"/>
          <w:sz w:val="20"/>
          <w:szCs w:val="20"/>
        </w:rPr>
        <w:t xml:space="preserve">] compliant ELN </w:t>
      </w:r>
      <w:r w:rsidR="00EB7383">
        <w:rPr>
          <w:rFonts w:ascii="Cambria" w:hAnsi="Cambria" w:cs="Times New Roman"/>
          <w:sz w:val="20"/>
          <w:szCs w:val="20"/>
        </w:rPr>
        <w:t xml:space="preserve">in the inaugural </w:t>
      </w:r>
      <w:proofErr w:type="spellStart"/>
      <w:r w:rsidR="00EB7383">
        <w:rPr>
          <w:rFonts w:ascii="Cambria" w:hAnsi="Cambria" w:cs="Times New Roman"/>
          <w:sz w:val="20"/>
          <w:szCs w:val="20"/>
        </w:rPr>
        <w:t>PyCon</w:t>
      </w:r>
      <w:proofErr w:type="spellEnd"/>
      <w:r w:rsidR="00EB7383">
        <w:rPr>
          <w:rFonts w:ascii="Cambria" w:hAnsi="Cambria" w:cs="Times New Roman"/>
          <w:sz w:val="20"/>
          <w:szCs w:val="20"/>
        </w:rPr>
        <w:t xml:space="preserve"> Asia Pacific as a peer-reviewed conference paper [</w:t>
      </w:r>
      <w:r w:rsidR="006E54D4">
        <w:rPr>
          <w:rFonts w:ascii="Cambria" w:hAnsi="Cambria" w:cs="Times New Roman"/>
          <w:sz w:val="20"/>
          <w:szCs w:val="20"/>
        </w:rPr>
        <w:t>38], with YY Ng as co-author. YY Ng passed his repeated subject, awarded “A” for his internship (which significantly improved his grade point average as internship is equivalent to one semester of coursework), and a peer-reviewed article in his name.</w:t>
      </w:r>
    </w:p>
    <w:p w:rsidR="0030298A" w:rsidRPr="0030298A" w:rsidRDefault="0030298A" w:rsidP="00B07E7C">
      <w:pPr>
        <w:widowControl w:val="0"/>
        <w:autoSpaceDE w:val="0"/>
        <w:autoSpaceDN w:val="0"/>
        <w:adjustRightInd w:val="0"/>
        <w:spacing w:after="0" w:line="360" w:lineRule="auto"/>
        <w:rPr>
          <w:rFonts w:ascii="Cambria" w:hAnsi="Cambria" w:cs="Times New Roman"/>
          <w:sz w:val="20"/>
          <w:szCs w:val="20"/>
          <w:lang w:eastAsia="ja-JP"/>
        </w:rPr>
      </w:pPr>
    </w:p>
    <w:p w:rsidR="0030298A" w:rsidRPr="0030298A" w:rsidRDefault="00CD2D7E" w:rsidP="00B07E7C">
      <w:pPr>
        <w:pStyle w:val="ListParagraph"/>
        <w:numPr>
          <w:ilvl w:val="1"/>
          <w:numId w:val="1"/>
        </w:numPr>
        <w:spacing w:after="0" w:line="360" w:lineRule="auto"/>
        <w:ind w:left="720"/>
        <w:jc w:val="both"/>
        <w:rPr>
          <w:rFonts w:ascii="Cambria" w:hAnsi="Cambria" w:cs="Times New Roman"/>
          <w:b/>
          <w:sz w:val="20"/>
          <w:szCs w:val="20"/>
        </w:rPr>
      </w:pPr>
      <w:r>
        <w:rPr>
          <w:rFonts w:ascii="Cambria" w:hAnsi="Cambria" w:cs="Times New Roman"/>
          <w:b/>
          <w:sz w:val="20"/>
          <w:szCs w:val="20"/>
        </w:rPr>
        <w:t xml:space="preserve">Finding </w:t>
      </w:r>
      <w:r w:rsidR="00EB3740">
        <w:rPr>
          <w:rFonts w:ascii="Cambria" w:hAnsi="Cambria" w:cs="Times New Roman"/>
          <w:b/>
          <w:sz w:val="20"/>
          <w:szCs w:val="20"/>
        </w:rPr>
        <w:t>Reference Genes</w:t>
      </w:r>
    </w:p>
    <w:p w:rsidR="00E12417" w:rsidRDefault="002A4231" w:rsidP="002A4231">
      <w:pPr>
        <w:spacing w:after="0" w:line="360" w:lineRule="auto"/>
        <w:jc w:val="both"/>
        <w:rPr>
          <w:rFonts w:ascii="Cambria" w:hAnsi="Cambria" w:cs="Times New Roman"/>
          <w:sz w:val="20"/>
          <w:szCs w:val="20"/>
        </w:rPr>
      </w:pPr>
      <w:r>
        <w:rPr>
          <w:rFonts w:ascii="Cambria" w:hAnsi="Cambria" w:cs="Times New Roman"/>
          <w:sz w:val="20"/>
          <w:szCs w:val="20"/>
        </w:rPr>
        <w:t xml:space="preserve">This project started as a project under the Science Mentorship </w:t>
      </w:r>
      <w:proofErr w:type="spellStart"/>
      <w:r>
        <w:rPr>
          <w:rFonts w:ascii="Cambria" w:hAnsi="Cambria" w:cs="Times New Roman"/>
          <w:sz w:val="20"/>
          <w:szCs w:val="20"/>
        </w:rPr>
        <w:t>Programme</w:t>
      </w:r>
      <w:proofErr w:type="spellEnd"/>
      <w:r>
        <w:rPr>
          <w:rFonts w:ascii="Cambria" w:hAnsi="Cambria" w:cs="Times New Roman"/>
          <w:sz w:val="20"/>
          <w:szCs w:val="20"/>
        </w:rPr>
        <w:t xml:space="preserve"> (SMP, </w:t>
      </w:r>
      <w:r w:rsidR="00B5278D" w:rsidRPr="00B5278D">
        <w:rPr>
          <w:rFonts w:ascii="Cambria" w:hAnsi="Cambria" w:cs="Times New Roman"/>
          <w:sz w:val="20"/>
          <w:szCs w:val="20"/>
        </w:rPr>
        <w:t>www.moe.gov.sg/</w:t>
      </w:r>
      <w:r w:rsidRPr="002A4231">
        <w:rPr>
          <w:rFonts w:ascii="Cambria" w:hAnsi="Cambria" w:cs="Times New Roman"/>
          <w:sz w:val="20"/>
          <w:szCs w:val="20"/>
        </w:rPr>
        <w:t>education/programmes/gifted-education-programme/special-programmes/science-mentorship-programme</w:t>
      </w:r>
      <w:r w:rsidR="00B5278D">
        <w:rPr>
          <w:rFonts w:ascii="Cambria" w:hAnsi="Cambria" w:cs="Times New Roman"/>
          <w:sz w:val="20"/>
          <w:szCs w:val="20"/>
        </w:rPr>
        <w:t>), managed</w:t>
      </w:r>
      <w:r>
        <w:rPr>
          <w:rFonts w:ascii="Cambria" w:hAnsi="Cambria" w:cs="Times New Roman"/>
          <w:sz w:val="20"/>
          <w:szCs w:val="20"/>
        </w:rPr>
        <w:t xml:space="preserve"> by the Gifted Education Branch at the Ministry of Education, Singapore. Its aim is to provide a platform for “</w:t>
      </w:r>
      <w:r w:rsidRPr="002A4231">
        <w:rPr>
          <w:rFonts w:ascii="Cambria" w:hAnsi="Cambria" w:cs="Times New Roman"/>
          <w:sz w:val="20"/>
          <w:szCs w:val="20"/>
        </w:rPr>
        <w:t>developing pupils’ interest and</w:t>
      </w:r>
      <w:r>
        <w:rPr>
          <w:rFonts w:ascii="Cambria" w:hAnsi="Cambria" w:cs="Times New Roman"/>
          <w:sz w:val="20"/>
          <w:szCs w:val="20"/>
        </w:rPr>
        <w:t xml:space="preserve"> talent in scientific research” where “t</w:t>
      </w:r>
      <w:r w:rsidRPr="002A4231">
        <w:rPr>
          <w:rFonts w:ascii="Cambria" w:hAnsi="Cambria" w:cs="Times New Roman"/>
          <w:sz w:val="20"/>
          <w:szCs w:val="20"/>
        </w:rPr>
        <w:t>hey provide opportunities for pupils to deepen their knowledge in a particular area, to learn about the latest research developments, and to be challenged by the intellectually stimulating process of scientific research</w:t>
      </w:r>
      <w:r>
        <w:rPr>
          <w:rFonts w:ascii="Cambria" w:hAnsi="Cambria" w:cs="Times New Roman"/>
          <w:sz w:val="20"/>
          <w:szCs w:val="20"/>
        </w:rPr>
        <w:t xml:space="preserve">.” </w:t>
      </w:r>
      <w:r w:rsidR="00B567DE">
        <w:rPr>
          <w:rFonts w:ascii="Cambria" w:hAnsi="Cambria" w:cs="Times New Roman"/>
          <w:sz w:val="20"/>
          <w:szCs w:val="20"/>
        </w:rPr>
        <w:t>Only</w:t>
      </w:r>
      <w:r w:rsidR="0097736C">
        <w:rPr>
          <w:rFonts w:ascii="Cambria" w:hAnsi="Cambria" w:cs="Times New Roman"/>
          <w:sz w:val="20"/>
          <w:szCs w:val="20"/>
        </w:rPr>
        <w:t xml:space="preserve"> year 3s and 4s (15 to 16 years old) </w:t>
      </w:r>
      <w:r w:rsidR="00B567DE">
        <w:rPr>
          <w:rFonts w:ascii="Cambria" w:hAnsi="Cambria" w:cs="Times New Roman"/>
          <w:sz w:val="20"/>
          <w:szCs w:val="20"/>
        </w:rPr>
        <w:t xml:space="preserve">students </w:t>
      </w:r>
      <w:r w:rsidR="0097736C">
        <w:rPr>
          <w:rFonts w:ascii="Cambria" w:hAnsi="Cambria" w:cs="Times New Roman"/>
          <w:sz w:val="20"/>
          <w:szCs w:val="20"/>
        </w:rPr>
        <w:t>in gifted education</w:t>
      </w:r>
      <w:r w:rsidR="00B567DE">
        <w:rPr>
          <w:rFonts w:ascii="Cambria" w:hAnsi="Cambria" w:cs="Times New Roman"/>
          <w:sz w:val="20"/>
          <w:szCs w:val="20"/>
        </w:rPr>
        <w:t xml:space="preserve"> and recommended by their school, can participate in SMP as project students</w:t>
      </w:r>
      <w:r w:rsidR="0097736C">
        <w:rPr>
          <w:rFonts w:ascii="Cambria" w:hAnsi="Cambria" w:cs="Times New Roman"/>
          <w:sz w:val="20"/>
          <w:szCs w:val="20"/>
        </w:rPr>
        <w:t xml:space="preserve">. </w:t>
      </w:r>
      <w:r>
        <w:rPr>
          <w:rFonts w:ascii="Cambria" w:hAnsi="Cambria" w:cs="Times New Roman"/>
          <w:sz w:val="20"/>
          <w:szCs w:val="20"/>
        </w:rPr>
        <w:t xml:space="preserve">A group of 2 or 3 students is assigned to a project for 6 months </w:t>
      </w:r>
      <w:r w:rsidR="00F16605">
        <w:rPr>
          <w:rFonts w:ascii="Cambria" w:hAnsi="Cambria" w:cs="Times New Roman"/>
          <w:sz w:val="20"/>
          <w:szCs w:val="20"/>
        </w:rPr>
        <w:t>(</w:t>
      </w:r>
      <w:r w:rsidR="002F4218">
        <w:rPr>
          <w:rFonts w:ascii="Cambria" w:hAnsi="Cambria" w:cs="Times New Roman"/>
          <w:sz w:val="20"/>
          <w:szCs w:val="20"/>
        </w:rPr>
        <w:t>February to July</w:t>
      </w:r>
      <w:r w:rsidR="00F16605">
        <w:rPr>
          <w:rFonts w:ascii="Cambria" w:hAnsi="Cambria" w:cs="Times New Roman"/>
          <w:sz w:val="20"/>
          <w:szCs w:val="20"/>
        </w:rPr>
        <w:t>),</w:t>
      </w:r>
      <w:r w:rsidR="002F4218">
        <w:rPr>
          <w:rFonts w:ascii="Cambria" w:hAnsi="Cambria" w:cs="Times New Roman"/>
          <w:sz w:val="20"/>
          <w:szCs w:val="20"/>
        </w:rPr>
        <w:t xml:space="preserve"> 3 hours weekly. </w:t>
      </w:r>
      <w:r w:rsidR="008243BC">
        <w:rPr>
          <w:rFonts w:ascii="Cambria" w:hAnsi="Cambria" w:cs="Times New Roman"/>
          <w:sz w:val="20"/>
          <w:szCs w:val="20"/>
        </w:rPr>
        <w:t xml:space="preserve">Hence, time </w:t>
      </w:r>
      <w:r w:rsidR="00F16605">
        <w:rPr>
          <w:rFonts w:ascii="Cambria" w:hAnsi="Cambria" w:cs="Times New Roman"/>
          <w:sz w:val="20"/>
          <w:szCs w:val="20"/>
        </w:rPr>
        <w:t>is</w:t>
      </w:r>
      <w:r w:rsidR="008243BC">
        <w:rPr>
          <w:rFonts w:ascii="Cambria" w:hAnsi="Cambria" w:cs="Times New Roman"/>
          <w:sz w:val="20"/>
          <w:szCs w:val="20"/>
        </w:rPr>
        <w:t xml:space="preserve"> a significant issue as the students must juggle their regular school work and other academic and social commitments. </w:t>
      </w:r>
      <w:r w:rsidR="00A14803">
        <w:rPr>
          <w:rFonts w:ascii="Cambria" w:hAnsi="Cambria" w:cs="Times New Roman"/>
          <w:sz w:val="20"/>
          <w:szCs w:val="20"/>
        </w:rPr>
        <w:t>T</w:t>
      </w:r>
      <w:r w:rsidR="002F4218">
        <w:rPr>
          <w:rFonts w:ascii="Cambria" w:hAnsi="Cambria" w:cs="Times New Roman"/>
          <w:sz w:val="20"/>
          <w:szCs w:val="20"/>
        </w:rPr>
        <w:t>he students must write up a term paper</w:t>
      </w:r>
      <w:r w:rsidR="00A14803">
        <w:rPr>
          <w:rFonts w:ascii="Cambria" w:hAnsi="Cambria" w:cs="Times New Roman"/>
          <w:sz w:val="20"/>
          <w:szCs w:val="20"/>
        </w:rPr>
        <w:t xml:space="preserve"> at the end of the project</w:t>
      </w:r>
      <w:r w:rsidR="002F4218">
        <w:rPr>
          <w:rFonts w:ascii="Cambria" w:hAnsi="Cambria" w:cs="Times New Roman"/>
          <w:sz w:val="20"/>
          <w:szCs w:val="20"/>
        </w:rPr>
        <w:t xml:space="preserve"> and present their poster at the Youth Science Conference in September of that year. </w:t>
      </w:r>
      <w:r>
        <w:rPr>
          <w:rFonts w:ascii="Cambria" w:hAnsi="Cambria" w:cs="Times New Roman"/>
          <w:sz w:val="20"/>
          <w:szCs w:val="20"/>
        </w:rPr>
        <w:t>Singapore Polytechnic is a participant in SMP</w:t>
      </w:r>
      <w:r w:rsidR="009972D0">
        <w:rPr>
          <w:rFonts w:ascii="Cambria" w:hAnsi="Cambria" w:cs="Times New Roman"/>
          <w:sz w:val="20"/>
          <w:szCs w:val="20"/>
        </w:rPr>
        <w:t xml:space="preserve"> and I chose to participa</w:t>
      </w:r>
      <w:r w:rsidR="00E12417">
        <w:rPr>
          <w:rFonts w:ascii="Cambria" w:hAnsi="Cambria" w:cs="Times New Roman"/>
          <w:sz w:val="20"/>
          <w:szCs w:val="20"/>
        </w:rPr>
        <w:t>t</w:t>
      </w:r>
      <w:r w:rsidR="009972D0">
        <w:rPr>
          <w:rFonts w:ascii="Cambria" w:hAnsi="Cambria" w:cs="Times New Roman"/>
          <w:sz w:val="20"/>
          <w:szCs w:val="20"/>
        </w:rPr>
        <w:t>e</w:t>
      </w:r>
      <w:r w:rsidR="00E12417">
        <w:rPr>
          <w:rFonts w:ascii="Cambria" w:hAnsi="Cambria" w:cs="Times New Roman"/>
          <w:sz w:val="20"/>
          <w:szCs w:val="20"/>
        </w:rPr>
        <w:t xml:space="preserve"> in this </w:t>
      </w:r>
      <w:proofErr w:type="spellStart"/>
      <w:r w:rsidR="00E12417">
        <w:rPr>
          <w:rFonts w:ascii="Cambria" w:hAnsi="Cambria" w:cs="Times New Roman"/>
          <w:sz w:val="20"/>
          <w:szCs w:val="20"/>
        </w:rPr>
        <w:t>programme</w:t>
      </w:r>
      <w:proofErr w:type="spellEnd"/>
      <w:r w:rsidR="00E12417">
        <w:rPr>
          <w:rFonts w:ascii="Cambria" w:hAnsi="Cambria" w:cs="Times New Roman"/>
          <w:sz w:val="20"/>
          <w:szCs w:val="20"/>
        </w:rPr>
        <w:t xml:space="preserve"> as a mentor</w:t>
      </w:r>
      <w:r w:rsidR="00B5278D">
        <w:rPr>
          <w:rFonts w:ascii="Cambria" w:hAnsi="Cambria" w:cs="Times New Roman"/>
          <w:sz w:val="20"/>
          <w:szCs w:val="20"/>
        </w:rPr>
        <w:t xml:space="preserve"> in 2009</w:t>
      </w:r>
      <w:r w:rsidR="00E12417">
        <w:rPr>
          <w:rFonts w:ascii="Cambria" w:hAnsi="Cambria" w:cs="Times New Roman"/>
          <w:sz w:val="20"/>
          <w:szCs w:val="20"/>
        </w:rPr>
        <w:t>.</w:t>
      </w:r>
    </w:p>
    <w:p w:rsidR="00E12417" w:rsidRDefault="00E12417" w:rsidP="002A4231">
      <w:pPr>
        <w:spacing w:after="0" w:line="360" w:lineRule="auto"/>
        <w:jc w:val="both"/>
        <w:rPr>
          <w:rFonts w:ascii="Cambria" w:hAnsi="Cambria" w:cs="Times New Roman"/>
          <w:sz w:val="20"/>
          <w:szCs w:val="20"/>
        </w:rPr>
      </w:pPr>
    </w:p>
    <w:p w:rsidR="0030298A" w:rsidRDefault="00E12417" w:rsidP="00BF232E">
      <w:pPr>
        <w:spacing w:after="0" w:line="360" w:lineRule="auto"/>
        <w:jc w:val="both"/>
        <w:rPr>
          <w:rFonts w:ascii="Cambria" w:hAnsi="Cambria" w:cs="Times New Roman"/>
          <w:sz w:val="20"/>
          <w:szCs w:val="20"/>
        </w:rPr>
      </w:pPr>
      <w:r>
        <w:rPr>
          <w:rFonts w:ascii="Cambria" w:hAnsi="Cambria" w:cs="Times New Roman"/>
          <w:sz w:val="20"/>
          <w:szCs w:val="20"/>
        </w:rPr>
        <w:t>M</w:t>
      </w:r>
      <w:r w:rsidR="002A4231">
        <w:rPr>
          <w:rFonts w:ascii="Cambria" w:hAnsi="Cambria" w:cs="Times New Roman"/>
          <w:sz w:val="20"/>
          <w:szCs w:val="20"/>
        </w:rPr>
        <w:t xml:space="preserve">y project offering is a bioinformatics project on finding reference genes for mouse liver. </w:t>
      </w:r>
      <w:r w:rsidR="007A2F90">
        <w:rPr>
          <w:rFonts w:ascii="Cambria" w:hAnsi="Cambria" w:cs="Times New Roman"/>
          <w:sz w:val="20"/>
          <w:szCs w:val="20"/>
        </w:rPr>
        <w:t>Reference genes are genes whose expressions ideally do not vary across different experimental conditions, which enables them to be used as expression benchmarking genes in trans</w:t>
      </w:r>
      <w:r w:rsidR="00617417">
        <w:rPr>
          <w:rFonts w:ascii="Cambria" w:hAnsi="Cambria" w:cs="Times New Roman"/>
          <w:sz w:val="20"/>
          <w:szCs w:val="20"/>
        </w:rPr>
        <w:t>criptomic studies [63-65</w:t>
      </w:r>
      <w:r w:rsidR="007A2F90">
        <w:rPr>
          <w:rFonts w:ascii="Cambria" w:hAnsi="Cambria" w:cs="Times New Roman"/>
          <w:sz w:val="20"/>
          <w:szCs w:val="20"/>
        </w:rPr>
        <w:t xml:space="preserve">]. </w:t>
      </w:r>
      <w:r>
        <w:rPr>
          <w:rFonts w:ascii="Cambria" w:hAnsi="Cambria" w:cs="Times New Roman"/>
          <w:sz w:val="20"/>
          <w:szCs w:val="20"/>
        </w:rPr>
        <w:t xml:space="preserve">CY Chia, CWX Lim, and WT Leong; </w:t>
      </w:r>
      <w:r w:rsidR="009756A7">
        <w:rPr>
          <w:rFonts w:ascii="Cambria" w:hAnsi="Cambria" w:cs="Times New Roman"/>
          <w:sz w:val="20"/>
          <w:szCs w:val="20"/>
        </w:rPr>
        <w:t xml:space="preserve">15 year old students </w:t>
      </w:r>
      <w:r>
        <w:rPr>
          <w:rFonts w:ascii="Cambria" w:hAnsi="Cambria" w:cs="Times New Roman"/>
          <w:sz w:val="20"/>
          <w:szCs w:val="20"/>
        </w:rPr>
        <w:t xml:space="preserve">from Nanyang Girls’ High School; are my first SMP group in 2009. In preparation, </w:t>
      </w:r>
      <w:r w:rsidR="0097736C">
        <w:rPr>
          <w:rFonts w:ascii="Cambria" w:hAnsi="Cambria" w:cs="Times New Roman"/>
          <w:sz w:val="20"/>
          <w:szCs w:val="20"/>
        </w:rPr>
        <w:t xml:space="preserve">I had downloaded 8 mouse liver microarray datasets from NCBI Gene Expression Omnibus. </w:t>
      </w:r>
      <w:r w:rsidR="00BF232E">
        <w:rPr>
          <w:rFonts w:ascii="Cambria" w:hAnsi="Cambria" w:cs="Times New Roman"/>
          <w:sz w:val="20"/>
          <w:szCs w:val="20"/>
        </w:rPr>
        <w:t>Every gene in each of the 8 datasets were analyzed for their coefficient of variation (CV), which is defined as the</w:t>
      </w:r>
      <w:r w:rsidR="00BF232E" w:rsidRPr="00BF232E">
        <w:rPr>
          <w:rFonts w:ascii="Cambria" w:hAnsi="Cambria" w:cs="Times New Roman"/>
          <w:sz w:val="20"/>
          <w:szCs w:val="20"/>
        </w:rPr>
        <w:t xml:space="preserve"> quotient o</w:t>
      </w:r>
      <w:r w:rsidR="00BF232E">
        <w:rPr>
          <w:rFonts w:ascii="Cambria" w:hAnsi="Cambria" w:cs="Times New Roman"/>
          <w:sz w:val="20"/>
          <w:szCs w:val="20"/>
        </w:rPr>
        <w:t xml:space="preserve">f the standard deviation to its arithmetic </w:t>
      </w:r>
      <w:r w:rsidR="00BF232E" w:rsidRPr="00BF232E">
        <w:rPr>
          <w:rFonts w:ascii="Cambria" w:hAnsi="Cambria" w:cs="Times New Roman"/>
          <w:sz w:val="20"/>
          <w:szCs w:val="20"/>
        </w:rPr>
        <w:t>mean</w:t>
      </w:r>
      <w:r w:rsidR="00BF232E">
        <w:rPr>
          <w:rFonts w:ascii="Cambria" w:hAnsi="Cambria" w:cs="Times New Roman"/>
          <w:sz w:val="20"/>
          <w:szCs w:val="20"/>
        </w:rPr>
        <w:t>. Hence, low CV corresponds to expressional stability; thus, suitable as reference genes.</w:t>
      </w:r>
      <w:r w:rsidR="00BF232E" w:rsidRPr="00BF232E">
        <w:rPr>
          <w:rFonts w:ascii="Cambria" w:hAnsi="Cambria" w:cs="Times New Roman"/>
          <w:sz w:val="20"/>
          <w:szCs w:val="20"/>
        </w:rPr>
        <w:t xml:space="preserve"> </w:t>
      </w:r>
      <w:r w:rsidR="00BF232E">
        <w:rPr>
          <w:rFonts w:ascii="Cambria" w:hAnsi="Cambria" w:cs="Times New Roman"/>
          <w:sz w:val="20"/>
          <w:szCs w:val="20"/>
        </w:rPr>
        <w:t>After analyzing each dataset separately, we found that Microtubule a</w:t>
      </w:r>
      <w:r w:rsidR="00BF232E" w:rsidRPr="00BF232E">
        <w:rPr>
          <w:rFonts w:ascii="Cambria" w:hAnsi="Cambria" w:cs="Times New Roman"/>
          <w:sz w:val="20"/>
          <w:szCs w:val="20"/>
        </w:rPr>
        <w:t>ffini</w:t>
      </w:r>
      <w:r w:rsidR="00BF232E">
        <w:rPr>
          <w:rFonts w:ascii="Cambria" w:hAnsi="Cambria" w:cs="Times New Roman"/>
          <w:sz w:val="20"/>
          <w:szCs w:val="20"/>
        </w:rPr>
        <w:t>ty-regulating k</w:t>
      </w:r>
      <w:r w:rsidR="00BF232E" w:rsidRPr="00BF232E">
        <w:rPr>
          <w:rFonts w:ascii="Cambria" w:hAnsi="Cambria" w:cs="Times New Roman"/>
          <w:sz w:val="20"/>
          <w:szCs w:val="20"/>
        </w:rPr>
        <w:t xml:space="preserve">inase 3 (MARK3) </w:t>
      </w:r>
      <w:r w:rsidR="00BF232E">
        <w:rPr>
          <w:rFonts w:ascii="Cambria" w:hAnsi="Cambria" w:cs="Times New Roman"/>
          <w:sz w:val="20"/>
          <w:szCs w:val="20"/>
        </w:rPr>
        <w:t xml:space="preserve">to have low CV (CV &lt; 0.08) across all 8 datasets, making MAPK3 the most suitable reference gene for mouse liver. </w:t>
      </w:r>
      <w:r w:rsidR="0097736C">
        <w:rPr>
          <w:rFonts w:ascii="Cambria" w:hAnsi="Cambria" w:cs="Times New Roman"/>
          <w:sz w:val="20"/>
          <w:szCs w:val="20"/>
        </w:rPr>
        <w:t>More importantly, we found that commonly used reference genes, such as Glyceraldehyde-3-phosphate d</w:t>
      </w:r>
      <w:r w:rsidR="0097736C" w:rsidRPr="0097736C">
        <w:rPr>
          <w:rFonts w:ascii="Cambria" w:hAnsi="Cambria" w:cs="Times New Roman"/>
          <w:sz w:val="20"/>
          <w:szCs w:val="20"/>
        </w:rPr>
        <w:t>ehydrogenase (GAPDH)</w:t>
      </w:r>
      <w:r w:rsidR="0097736C">
        <w:rPr>
          <w:rFonts w:ascii="Cambria" w:hAnsi="Cambria" w:cs="Times New Roman"/>
          <w:sz w:val="20"/>
          <w:szCs w:val="20"/>
        </w:rPr>
        <w:t xml:space="preserve">, </w:t>
      </w:r>
      <w:r w:rsidR="00037E10">
        <w:rPr>
          <w:rFonts w:ascii="Cambria" w:hAnsi="Cambria" w:cs="Times New Roman"/>
          <w:sz w:val="20"/>
          <w:szCs w:val="20"/>
        </w:rPr>
        <w:t xml:space="preserve">showed large expression variation </w:t>
      </w:r>
      <w:r w:rsidR="00617417">
        <w:rPr>
          <w:rFonts w:ascii="Cambria" w:hAnsi="Cambria" w:cs="Times New Roman"/>
          <w:sz w:val="20"/>
          <w:szCs w:val="20"/>
        </w:rPr>
        <w:t xml:space="preserve">(CV = 0.47) in one of the datasets, making it unsuitable as a reference gene for mouse liver. </w:t>
      </w:r>
      <w:r w:rsidR="00BF232E">
        <w:rPr>
          <w:rFonts w:ascii="Cambria" w:hAnsi="Cambria" w:cs="Times New Roman"/>
          <w:sz w:val="20"/>
          <w:szCs w:val="20"/>
        </w:rPr>
        <w:t xml:space="preserve">A lot of time was devoted into writing their term paper as I saw it as consolidation of their understanding. I also witnessed examples of </w:t>
      </w:r>
      <w:r w:rsidR="00BF232E">
        <w:rPr>
          <w:rFonts w:ascii="Cambria" w:hAnsi="Cambria" w:cs="Times New Roman"/>
          <w:sz w:val="20"/>
          <w:szCs w:val="20"/>
        </w:rPr>
        <w:lastRenderedPageBreak/>
        <w:t xml:space="preserve">theoretical </w:t>
      </w:r>
      <w:r w:rsidR="00DC0BE5">
        <w:rPr>
          <w:rFonts w:ascii="Cambria" w:hAnsi="Cambria" w:cs="Times New Roman"/>
          <w:sz w:val="20"/>
          <w:szCs w:val="20"/>
        </w:rPr>
        <w:t>misunderstanding or uncertainties as they were tasked to put their thoughts and arguments on paper; thereby, providi</w:t>
      </w:r>
      <w:r w:rsidR="00A37A57">
        <w:rPr>
          <w:rFonts w:ascii="Cambria" w:hAnsi="Cambria" w:cs="Times New Roman"/>
          <w:sz w:val="20"/>
          <w:szCs w:val="20"/>
        </w:rPr>
        <w:t>ng me with a chanc</w:t>
      </w:r>
      <w:r w:rsidR="00DC0BE5">
        <w:rPr>
          <w:rFonts w:ascii="Cambria" w:hAnsi="Cambria" w:cs="Times New Roman"/>
          <w:sz w:val="20"/>
          <w:szCs w:val="20"/>
        </w:rPr>
        <w:t xml:space="preserve">e to correct them. </w:t>
      </w:r>
      <w:r w:rsidR="00BF232E">
        <w:rPr>
          <w:rFonts w:ascii="Cambria" w:hAnsi="Cambria" w:cs="Times New Roman"/>
          <w:sz w:val="20"/>
          <w:szCs w:val="20"/>
        </w:rPr>
        <w:t>As a result, their</w:t>
      </w:r>
      <w:r w:rsidR="00617417">
        <w:rPr>
          <w:rFonts w:ascii="Cambria" w:hAnsi="Cambria" w:cs="Times New Roman"/>
          <w:sz w:val="20"/>
          <w:szCs w:val="20"/>
        </w:rPr>
        <w:t xml:space="preserve"> SMP term paper was submitted to IUBMB Life and accepted for publication</w:t>
      </w:r>
      <w:r w:rsidR="00B65CC0">
        <w:rPr>
          <w:rFonts w:ascii="Cambria" w:hAnsi="Cambria" w:cs="Times New Roman"/>
          <w:sz w:val="20"/>
          <w:szCs w:val="20"/>
        </w:rPr>
        <w:t xml:space="preserve"> [39], which encouraged me continue my participation in this </w:t>
      </w:r>
      <w:proofErr w:type="spellStart"/>
      <w:r w:rsidR="00B65CC0">
        <w:rPr>
          <w:rFonts w:ascii="Cambria" w:hAnsi="Cambria" w:cs="Times New Roman"/>
          <w:sz w:val="20"/>
          <w:szCs w:val="20"/>
        </w:rPr>
        <w:t>programme</w:t>
      </w:r>
      <w:proofErr w:type="spellEnd"/>
      <w:r w:rsidR="00B65CC0">
        <w:rPr>
          <w:rFonts w:ascii="Cambria" w:hAnsi="Cambria" w:cs="Times New Roman"/>
          <w:sz w:val="20"/>
          <w:szCs w:val="20"/>
        </w:rPr>
        <w:t xml:space="preserve"> and </w:t>
      </w:r>
      <w:r w:rsidR="00A37A57">
        <w:rPr>
          <w:rFonts w:ascii="Cambria" w:hAnsi="Cambria" w:cs="Times New Roman"/>
          <w:sz w:val="20"/>
          <w:szCs w:val="20"/>
        </w:rPr>
        <w:t xml:space="preserve">further </w:t>
      </w:r>
      <w:r w:rsidR="00B65CC0">
        <w:rPr>
          <w:rFonts w:ascii="Cambria" w:hAnsi="Cambria" w:cs="Times New Roman"/>
          <w:sz w:val="20"/>
          <w:szCs w:val="20"/>
        </w:rPr>
        <w:t>strengthened my belief that even high school students are able to contribute to the scientific community provided that the project is scoped appropriately.</w:t>
      </w:r>
      <w:r w:rsidR="00DC0BE5">
        <w:rPr>
          <w:rFonts w:ascii="Cambria" w:hAnsi="Cambria" w:cs="Times New Roman"/>
          <w:sz w:val="20"/>
          <w:szCs w:val="20"/>
        </w:rPr>
        <w:t xml:space="preserve"> I was </w:t>
      </w:r>
      <w:r w:rsidR="00B65CC0">
        <w:rPr>
          <w:rFonts w:ascii="Cambria" w:hAnsi="Cambria" w:cs="Times New Roman"/>
          <w:sz w:val="20"/>
          <w:szCs w:val="20"/>
        </w:rPr>
        <w:t xml:space="preserve">also </w:t>
      </w:r>
      <w:r w:rsidR="00DC0BE5">
        <w:rPr>
          <w:rFonts w:ascii="Cambria" w:hAnsi="Cambria" w:cs="Times New Roman"/>
          <w:sz w:val="20"/>
          <w:szCs w:val="20"/>
        </w:rPr>
        <w:t>awa</w:t>
      </w:r>
      <w:r w:rsidR="00A37A57">
        <w:rPr>
          <w:rFonts w:ascii="Cambria" w:hAnsi="Cambria" w:cs="Times New Roman"/>
          <w:sz w:val="20"/>
          <w:szCs w:val="20"/>
        </w:rPr>
        <w:t>rded Outstanding Mentor by the M</w:t>
      </w:r>
      <w:r w:rsidR="00DC0BE5">
        <w:rPr>
          <w:rFonts w:ascii="Cambria" w:hAnsi="Cambria" w:cs="Times New Roman"/>
          <w:sz w:val="20"/>
          <w:szCs w:val="20"/>
        </w:rPr>
        <w:t>inistry</w:t>
      </w:r>
      <w:r w:rsidR="00A37A57">
        <w:rPr>
          <w:rFonts w:ascii="Cambria" w:hAnsi="Cambria" w:cs="Times New Roman"/>
          <w:sz w:val="20"/>
          <w:szCs w:val="20"/>
        </w:rPr>
        <w:t xml:space="preserve"> of Education</w:t>
      </w:r>
      <w:r w:rsidR="00DC0BE5">
        <w:rPr>
          <w:rFonts w:ascii="Cambria" w:hAnsi="Cambria" w:cs="Times New Roman"/>
          <w:sz w:val="20"/>
          <w:szCs w:val="20"/>
        </w:rPr>
        <w:t>.</w:t>
      </w:r>
      <w:r w:rsidR="00B65CC0">
        <w:rPr>
          <w:rFonts w:ascii="Cambria" w:hAnsi="Cambria" w:cs="Times New Roman"/>
          <w:sz w:val="20"/>
          <w:szCs w:val="20"/>
        </w:rPr>
        <w:t xml:space="preserve"> </w:t>
      </w:r>
    </w:p>
    <w:p w:rsidR="00B5278D" w:rsidRDefault="00B5278D" w:rsidP="00BF232E">
      <w:pPr>
        <w:spacing w:after="0" w:line="360" w:lineRule="auto"/>
        <w:jc w:val="both"/>
        <w:rPr>
          <w:rFonts w:ascii="Cambria" w:hAnsi="Cambria" w:cs="Times New Roman"/>
          <w:sz w:val="20"/>
          <w:szCs w:val="20"/>
        </w:rPr>
      </w:pPr>
    </w:p>
    <w:p w:rsidR="00B5278D" w:rsidRDefault="00B5278D" w:rsidP="00BF232E">
      <w:pPr>
        <w:spacing w:after="0" w:line="360" w:lineRule="auto"/>
        <w:jc w:val="both"/>
        <w:rPr>
          <w:rFonts w:ascii="Cambria" w:hAnsi="Cambria" w:cs="Times New Roman"/>
          <w:sz w:val="20"/>
          <w:szCs w:val="20"/>
        </w:rPr>
      </w:pPr>
      <w:r>
        <w:rPr>
          <w:rFonts w:ascii="Cambria" w:hAnsi="Cambria" w:cs="Times New Roman"/>
          <w:sz w:val="20"/>
          <w:szCs w:val="20"/>
        </w:rPr>
        <w:t xml:space="preserve">In the following year (2010), I </w:t>
      </w:r>
      <w:r w:rsidR="009756A7">
        <w:rPr>
          <w:rFonts w:ascii="Cambria" w:hAnsi="Cambria" w:cs="Times New Roman"/>
          <w:sz w:val="20"/>
          <w:szCs w:val="20"/>
        </w:rPr>
        <w:t xml:space="preserve">proposed to find reference genes in mouse endocrine glands. </w:t>
      </w:r>
      <w:r w:rsidR="00027D85">
        <w:rPr>
          <w:rFonts w:ascii="Cambria" w:hAnsi="Cambria" w:cs="Times New Roman"/>
          <w:sz w:val="20"/>
          <w:szCs w:val="20"/>
        </w:rPr>
        <w:t xml:space="preserve">This project was taken up by QH Chu, EJG Ang, and YJ Lin; 15 year old students from Raffles Institution. </w:t>
      </w:r>
      <w:r w:rsidR="001E3DF4">
        <w:rPr>
          <w:rFonts w:ascii="Cambria" w:hAnsi="Cambria" w:cs="Times New Roman"/>
          <w:sz w:val="20"/>
          <w:szCs w:val="20"/>
        </w:rPr>
        <w:t xml:space="preserve">In this project, 15 microarray datasets were used and analyzed using the same method as Chia et al. [39]. Similarly, we found that GAPDH showed large expression variations </w:t>
      </w:r>
      <w:r w:rsidR="00BA31E8">
        <w:rPr>
          <w:rFonts w:ascii="Cambria" w:hAnsi="Cambria" w:cs="Times New Roman"/>
          <w:sz w:val="20"/>
          <w:szCs w:val="20"/>
        </w:rPr>
        <w:t xml:space="preserve">(CV as high as 0.98), making GAPDH probably one of the worst choices for reference genes, </w:t>
      </w:r>
      <w:r w:rsidR="001E3DF4">
        <w:rPr>
          <w:rFonts w:ascii="Cambria" w:hAnsi="Cambria" w:cs="Times New Roman"/>
          <w:sz w:val="20"/>
          <w:szCs w:val="20"/>
        </w:rPr>
        <w:t xml:space="preserve">but what was more interesting was that </w:t>
      </w:r>
      <w:r w:rsidR="004E1FF1">
        <w:rPr>
          <w:rFonts w:ascii="Cambria" w:hAnsi="Cambria" w:cs="Times New Roman"/>
          <w:sz w:val="20"/>
          <w:szCs w:val="20"/>
        </w:rPr>
        <w:t xml:space="preserve">MARK3 that was found to be a suitable reference gene in mouse liver [39] </w:t>
      </w:r>
      <w:r w:rsidR="00914797">
        <w:rPr>
          <w:rFonts w:ascii="Cambria" w:hAnsi="Cambria" w:cs="Times New Roman"/>
          <w:sz w:val="20"/>
          <w:szCs w:val="20"/>
        </w:rPr>
        <w:t xml:space="preserve">was found to be within the list of suitable mouse endocrine reference genes. In addition, this study reflected the findings of Chia et al. [39] that ribosomal proteins are relatively stable in expression. However, the biggest drawback of this study is that the microarray datasets in question are from a variety of microarray chipset, resulting in difficulties in a proper comparative study as different microarray chipset can have different sets of probes. </w:t>
      </w:r>
      <w:r w:rsidR="00BA31E8">
        <w:rPr>
          <w:rFonts w:ascii="Cambria" w:hAnsi="Cambria" w:cs="Times New Roman"/>
          <w:sz w:val="20"/>
          <w:szCs w:val="20"/>
        </w:rPr>
        <w:t>Hence</w:t>
      </w:r>
      <w:r w:rsidR="00914797">
        <w:rPr>
          <w:rFonts w:ascii="Cambria" w:hAnsi="Cambria" w:cs="Times New Roman"/>
          <w:sz w:val="20"/>
          <w:szCs w:val="20"/>
        </w:rPr>
        <w:t xml:space="preserve">, this project is not suitable for publication in its own rights </w:t>
      </w:r>
      <w:r w:rsidR="008243BC">
        <w:rPr>
          <w:rFonts w:ascii="Cambria" w:hAnsi="Cambria" w:cs="Times New Roman"/>
          <w:sz w:val="20"/>
          <w:szCs w:val="20"/>
        </w:rPr>
        <w:t>even though they are required</w:t>
      </w:r>
      <w:r w:rsidR="00914797">
        <w:rPr>
          <w:rFonts w:ascii="Cambria" w:hAnsi="Cambria" w:cs="Times New Roman"/>
          <w:sz w:val="20"/>
          <w:szCs w:val="20"/>
        </w:rPr>
        <w:t xml:space="preserve"> to write up a term paper. </w:t>
      </w:r>
      <w:r w:rsidR="00A37A57">
        <w:rPr>
          <w:rFonts w:ascii="Cambria" w:hAnsi="Cambria" w:cs="Times New Roman"/>
          <w:sz w:val="20"/>
          <w:szCs w:val="20"/>
        </w:rPr>
        <w:t>Nonetheless</w:t>
      </w:r>
      <w:r w:rsidR="00914797">
        <w:rPr>
          <w:rFonts w:ascii="Cambria" w:hAnsi="Cambria" w:cs="Times New Roman"/>
          <w:sz w:val="20"/>
          <w:szCs w:val="20"/>
        </w:rPr>
        <w:t xml:space="preserve">, </w:t>
      </w:r>
      <w:r w:rsidR="00BA31E8">
        <w:rPr>
          <w:rFonts w:ascii="Cambria" w:hAnsi="Cambria" w:cs="Times New Roman"/>
          <w:sz w:val="20"/>
          <w:szCs w:val="20"/>
        </w:rPr>
        <w:t xml:space="preserve">this project forms a suitable case example to show that common housekeeping genes, such as GAPDH, may not be suitable reference genes in every case. This is supported by studies showing that GAPDH has stable expression profile </w:t>
      </w:r>
      <w:r w:rsidR="00B82268">
        <w:rPr>
          <w:rFonts w:ascii="Cambria" w:hAnsi="Cambria" w:cs="Times New Roman"/>
          <w:sz w:val="20"/>
          <w:szCs w:val="20"/>
        </w:rPr>
        <w:t xml:space="preserve">in reticulocytes [66] but varies in expression across different developmental stages of rat fetal brain [67]. Thus, this project forms one of the case studies in a peer-reviewed book chapter on reference genes [40]; thereby, generating a publication out of their work. Looking back, this project would be substantially more rigorous should datasets from the same microarray chipset were used and we realized the problem too late </w:t>
      </w:r>
      <w:r w:rsidR="00A37A57">
        <w:rPr>
          <w:rFonts w:ascii="Cambria" w:hAnsi="Cambria" w:cs="Times New Roman"/>
          <w:sz w:val="20"/>
          <w:szCs w:val="20"/>
        </w:rPr>
        <w:t>into the project. This also taught</w:t>
      </w:r>
      <w:r w:rsidR="00B82268">
        <w:rPr>
          <w:rFonts w:ascii="Cambria" w:hAnsi="Cambria" w:cs="Times New Roman"/>
          <w:sz w:val="20"/>
          <w:szCs w:val="20"/>
        </w:rPr>
        <w:t xml:space="preserve"> me that the mentor </w:t>
      </w:r>
      <w:r w:rsidR="008243BC">
        <w:rPr>
          <w:rFonts w:ascii="Cambria" w:hAnsi="Cambria" w:cs="Times New Roman"/>
          <w:sz w:val="20"/>
          <w:szCs w:val="20"/>
        </w:rPr>
        <w:t>must</w:t>
      </w:r>
      <w:r w:rsidR="00B82268">
        <w:rPr>
          <w:rFonts w:ascii="Cambria" w:hAnsi="Cambria" w:cs="Times New Roman"/>
          <w:sz w:val="20"/>
          <w:szCs w:val="20"/>
        </w:rPr>
        <w:t xml:space="preserve"> consider the project more thoroughly</w:t>
      </w:r>
      <w:r w:rsidR="008243BC">
        <w:rPr>
          <w:rFonts w:ascii="Cambria" w:hAnsi="Cambria" w:cs="Times New Roman"/>
          <w:sz w:val="20"/>
          <w:szCs w:val="20"/>
        </w:rPr>
        <w:t>, including running through the entire project mentally,</w:t>
      </w:r>
      <w:r w:rsidR="00B82268">
        <w:rPr>
          <w:rFonts w:ascii="Cambria" w:hAnsi="Cambria" w:cs="Times New Roman"/>
          <w:sz w:val="20"/>
          <w:szCs w:val="20"/>
        </w:rPr>
        <w:t xml:space="preserve"> as pre-university students will not have the experience to anticipate </w:t>
      </w:r>
      <w:r w:rsidR="00A37A57">
        <w:rPr>
          <w:rFonts w:ascii="Cambria" w:hAnsi="Cambria" w:cs="Times New Roman"/>
          <w:sz w:val="20"/>
          <w:szCs w:val="20"/>
        </w:rPr>
        <w:t>such</w:t>
      </w:r>
      <w:r w:rsidR="008243BC">
        <w:rPr>
          <w:rFonts w:ascii="Cambria" w:hAnsi="Cambria" w:cs="Times New Roman"/>
          <w:sz w:val="20"/>
          <w:szCs w:val="20"/>
        </w:rPr>
        <w:t xml:space="preserve"> issues. </w:t>
      </w:r>
    </w:p>
    <w:p w:rsidR="00313341" w:rsidRDefault="00313341" w:rsidP="00BF232E">
      <w:pPr>
        <w:spacing w:after="0" w:line="360" w:lineRule="auto"/>
        <w:jc w:val="both"/>
        <w:rPr>
          <w:rFonts w:ascii="Cambria" w:hAnsi="Cambria" w:cs="Times New Roman"/>
          <w:sz w:val="20"/>
          <w:szCs w:val="20"/>
        </w:rPr>
      </w:pPr>
    </w:p>
    <w:p w:rsidR="00313341" w:rsidRDefault="00313341" w:rsidP="00BF232E">
      <w:pPr>
        <w:spacing w:after="0" w:line="360" w:lineRule="auto"/>
        <w:jc w:val="both"/>
        <w:rPr>
          <w:rFonts w:ascii="Cambria" w:hAnsi="Cambria" w:cs="Times New Roman"/>
          <w:sz w:val="20"/>
          <w:szCs w:val="20"/>
        </w:rPr>
      </w:pPr>
      <w:r>
        <w:rPr>
          <w:rFonts w:ascii="Cambria" w:hAnsi="Cambria" w:cs="Times New Roman"/>
          <w:sz w:val="20"/>
          <w:szCs w:val="20"/>
        </w:rPr>
        <w:t>I left Singapore Polytechnic at the end of 201</w:t>
      </w:r>
      <w:r w:rsidR="00A14803">
        <w:rPr>
          <w:rFonts w:ascii="Cambria" w:hAnsi="Cambria" w:cs="Times New Roman"/>
          <w:sz w:val="20"/>
          <w:szCs w:val="20"/>
        </w:rPr>
        <w:t>0 and through a series of event</w:t>
      </w:r>
      <w:r>
        <w:rPr>
          <w:rFonts w:ascii="Cambria" w:hAnsi="Cambria" w:cs="Times New Roman"/>
          <w:sz w:val="20"/>
          <w:szCs w:val="20"/>
        </w:rPr>
        <w:t xml:space="preserve">, I got my final SMP group (SSJ </w:t>
      </w:r>
      <w:proofErr w:type="spellStart"/>
      <w:r>
        <w:rPr>
          <w:rFonts w:ascii="Cambria" w:hAnsi="Cambria" w:cs="Times New Roman"/>
          <w:sz w:val="20"/>
          <w:szCs w:val="20"/>
        </w:rPr>
        <w:t>Heng</w:t>
      </w:r>
      <w:proofErr w:type="spellEnd"/>
      <w:r>
        <w:rPr>
          <w:rFonts w:ascii="Cambria" w:hAnsi="Cambria" w:cs="Times New Roman"/>
          <w:sz w:val="20"/>
          <w:szCs w:val="20"/>
        </w:rPr>
        <w:t xml:space="preserve">, OYW Chan, and BMH </w:t>
      </w:r>
      <w:proofErr w:type="spellStart"/>
      <w:r>
        <w:rPr>
          <w:rFonts w:ascii="Cambria" w:hAnsi="Cambria" w:cs="Times New Roman"/>
          <w:sz w:val="20"/>
          <w:szCs w:val="20"/>
        </w:rPr>
        <w:t>Keng</w:t>
      </w:r>
      <w:proofErr w:type="spellEnd"/>
      <w:r>
        <w:rPr>
          <w:rFonts w:ascii="Cambria" w:hAnsi="Cambria" w:cs="Times New Roman"/>
          <w:sz w:val="20"/>
          <w:szCs w:val="20"/>
        </w:rPr>
        <w:t xml:space="preserve">) in 2011. They were 15 year old students from Raffles Institution whom had were unsuccessful in securing a SMP project. Their school acted upon this to run their SMP as school-based option in which the </w:t>
      </w:r>
      <w:r w:rsidR="001164D5">
        <w:rPr>
          <w:rFonts w:ascii="Cambria" w:hAnsi="Cambria" w:cs="Times New Roman"/>
          <w:sz w:val="20"/>
          <w:szCs w:val="20"/>
        </w:rPr>
        <w:t xml:space="preserve">school had to either find an external mentor or assign one of their teachers as project mentor. </w:t>
      </w:r>
      <w:r w:rsidR="001B370A">
        <w:rPr>
          <w:rFonts w:ascii="Cambria" w:hAnsi="Cambria" w:cs="Times New Roman"/>
          <w:sz w:val="20"/>
          <w:szCs w:val="20"/>
        </w:rPr>
        <w:t xml:space="preserve">Due to my involvement in QH Chu’s SMP, I was asked if I was interested to take on a project which I agreed. </w:t>
      </w:r>
      <w:r w:rsidR="0042072F">
        <w:rPr>
          <w:rFonts w:ascii="Cambria" w:hAnsi="Cambria" w:cs="Times New Roman"/>
          <w:sz w:val="20"/>
          <w:szCs w:val="20"/>
        </w:rPr>
        <w:t xml:space="preserve">This enabled a flexible working schedule and we will meet up every weekend or alternate weekends at a café to discuss project progress and to clear any doubts. </w:t>
      </w:r>
      <w:r w:rsidR="005027CC">
        <w:rPr>
          <w:rFonts w:ascii="Cambria" w:hAnsi="Cambria" w:cs="Times New Roman"/>
          <w:sz w:val="20"/>
          <w:szCs w:val="20"/>
        </w:rPr>
        <w:t xml:space="preserve">In this project, I took the lesson from QH Chu’s project and ensured that I had all the datasets from the same microarray chipset. In addition, I decided to </w:t>
      </w:r>
      <w:r w:rsidR="005027CC">
        <w:rPr>
          <w:rFonts w:ascii="Cambria" w:hAnsi="Cambria" w:cs="Times New Roman"/>
          <w:sz w:val="20"/>
          <w:szCs w:val="20"/>
        </w:rPr>
        <w:lastRenderedPageBreak/>
        <w:t xml:space="preserve">narrow into finding reference genes in </w:t>
      </w:r>
      <w:r w:rsidR="005027CC" w:rsidRPr="005027CC">
        <w:rPr>
          <w:rFonts w:ascii="Cambria" w:hAnsi="Cambria" w:cs="Times New Roman"/>
          <w:i/>
          <w:sz w:val="20"/>
          <w:szCs w:val="20"/>
        </w:rPr>
        <w:t>Escherichia coli</w:t>
      </w:r>
      <w:r w:rsidR="005027CC">
        <w:rPr>
          <w:rFonts w:ascii="Cambria" w:hAnsi="Cambria" w:cs="Times New Roman"/>
          <w:sz w:val="20"/>
          <w:szCs w:val="20"/>
        </w:rPr>
        <w:t xml:space="preserve"> instead of mammalian organs. As BMH </w:t>
      </w:r>
      <w:proofErr w:type="spellStart"/>
      <w:r w:rsidR="005027CC">
        <w:rPr>
          <w:rFonts w:ascii="Cambria" w:hAnsi="Cambria" w:cs="Times New Roman"/>
          <w:sz w:val="20"/>
          <w:szCs w:val="20"/>
        </w:rPr>
        <w:t>Keng</w:t>
      </w:r>
      <w:proofErr w:type="spellEnd"/>
      <w:r w:rsidR="005027CC">
        <w:rPr>
          <w:rFonts w:ascii="Cambria" w:hAnsi="Cambria" w:cs="Times New Roman"/>
          <w:sz w:val="20"/>
          <w:szCs w:val="20"/>
        </w:rPr>
        <w:t xml:space="preserve"> recounted their project formation years later:</w:t>
      </w:r>
    </w:p>
    <w:p w:rsidR="0030298A" w:rsidRPr="005F54A9" w:rsidRDefault="005027CC" w:rsidP="005F54A9">
      <w:pPr>
        <w:spacing w:after="0" w:line="360" w:lineRule="auto"/>
        <w:ind w:left="426" w:right="429"/>
        <w:jc w:val="both"/>
        <w:rPr>
          <w:rFonts w:ascii="Cambria" w:hAnsi="Cambria" w:cs="Times New Roman"/>
          <w:i/>
          <w:sz w:val="20"/>
          <w:szCs w:val="20"/>
        </w:rPr>
      </w:pPr>
      <w:r w:rsidRPr="005027CC">
        <w:rPr>
          <w:rFonts w:ascii="Cambria" w:hAnsi="Cambria" w:cs="Times New Roman"/>
          <w:i/>
          <w:sz w:val="20"/>
          <w:szCs w:val="20"/>
        </w:rPr>
        <w:t>I remember we failed to get any of the SMP projects we applied for during the first two rounds of project selection, which was pretty disappointing. Fortunately, our teacher-mentor managed to get hold of a few more options for us, of which the E. coli project was one. I thought it sounded good because it seemed to have the most relevance to biology, which I was interested in. The workload also didn't seem too demanding, which was nice because we wer</w:t>
      </w:r>
      <w:r w:rsidR="008C579E">
        <w:rPr>
          <w:rFonts w:ascii="Cambria" w:hAnsi="Cambria" w:cs="Times New Roman"/>
          <w:i/>
          <w:sz w:val="20"/>
          <w:szCs w:val="20"/>
        </w:rPr>
        <w:t>e fairly heavily involved in core curricular activitie</w:t>
      </w:r>
      <w:r w:rsidRPr="005027CC">
        <w:rPr>
          <w:rFonts w:ascii="Cambria" w:hAnsi="Cambria" w:cs="Times New Roman"/>
          <w:i/>
          <w:sz w:val="20"/>
          <w:szCs w:val="20"/>
        </w:rPr>
        <w:t>s and other activities at the time. So we came to a consensus that the E. coli project was the most appealing.</w:t>
      </w:r>
    </w:p>
    <w:p w:rsidR="008C579E" w:rsidRDefault="008C579E" w:rsidP="005F54A9">
      <w:pPr>
        <w:spacing w:after="0" w:line="360" w:lineRule="auto"/>
        <w:jc w:val="both"/>
        <w:rPr>
          <w:rFonts w:ascii="Cambria" w:hAnsi="Cambria" w:cs="Times New Roman"/>
          <w:sz w:val="20"/>
          <w:szCs w:val="20"/>
        </w:rPr>
      </w:pPr>
      <w:r>
        <w:rPr>
          <w:rFonts w:ascii="Cambria" w:hAnsi="Cambria" w:cs="Times New Roman"/>
          <w:sz w:val="20"/>
          <w:szCs w:val="20"/>
        </w:rPr>
        <w:t xml:space="preserve">It was early 2011 that I had a meeting with Dr. Too </w:t>
      </w:r>
      <w:proofErr w:type="spellStart"/>
      <w:r>
        <w:rPr>
          <w:rFonts w:ascii="Cambria" w:hAnsi="Cambria" w:cs="Times New Roman"/>
          <w:sz w:val="20"/>
          <w:szCs w:val="20"/>
        </w:rPr>
        <w:t>Heng</w:t>
      </w:r>
      <w:proofErr w:type="spellEnd"/>
      <w:r>
        <w:rPr>
          <w:rFonts w:ascii="Cambria" w:hAnsi="Cambria" w:cs="Times New Roman"/>
          <w:sz w:val="20"/>
          <w:szCs w:val="20"/>
        </w:rPr>
        <w:t xml:space="preserve"> </w:t>
      </w:r>
      <w:proofErr w:type="spellStart"/>
      <w:r>
        <w:rPr>
          <w:rFonts w:ascii="Cambria" w:hAnsi="Cambria" w:cs="Times New Roman"/>
          <w:sz w:val="20"/>
          <w:szCs w:val="20"/>
        </w:rPr>
        <w:t>Phon</w:t>
      </w:r>
      <w:proofErr w:type="spellEnd"/>
      <w:r>
        <w:rPr>
          <w:rFonts w:ascii="Cambria" w:hAnsi="Cambria" w:cs="Times New Roman"/>
          <w:sz w:val="20"/>
          <w:szCs w:val="20"/>
        </w:rPr>
        <w:t xml:space="preserve"> (Department of Biochemistry, National University of Singapore) and he made a casual comment on Chia et al. [39] saying that CV may not be stringent enough. Hence, in this new project with </w:t>
      </w:r>
      <w:proofErr w:type="spellStart"/>
      <w:r>
        <w:rPr>
          <w:rFonts w:ascii="Cambria" w:hAnsi="Cambria" w:cs="Times New Roman"/>
          <w:sz w:val="20"/>
          <w:szCs w:val="20"/>
        </w:rPr>
        <w:t>Heng</w:t>
      </w:r>
      <w:proofErr w:type="spellEnd"/>
      <w:r>
        <w:rPr>
          <w:rFonts w:ascii="Cambria" w:hAnsi="Cambria" w:cs="Times New Roman"/>
          <w:sz w:val="20"/>
          <w:szCs w:val="20"/>
        </w:rPr>
        <w:t xml:space="preserve"> et al., we used CV as the first screening. From the 4 datasets obtained from NCBI GEO, 3 datasets came from </w:t>
      </w:r>
      <w:r w:rsidRPr="008C579E">
        <w:rPr>
          <w:rFonts w:ascii="Cambria" w:hAnsi="Cambria" w:cs="Times New Roman"/>
          <w:i/>
          <w:sz w:val="20"/>
          <w:szCs w:val="20"/>
        </w:rPr>
        <w:t>E. coli</w:t>
      </w:r>
      <w:r>
        <w:rPr>
          <w:rFonts w:ascii="Cambria" w:hAnsi="Cambria" w:cs="Times New Roman"/>
          <w:sz w:val="20"/>
          <w:szCs w:val="20"/>
        </w:rPr>
        <w:t xml:space="preserve"> MG1655 and 1 came from </w:t>
      </w:r>
      <w:r w:rsidRPr="005F54A9">
        <w:rPr>
          <w:rFonts w:ascii="Cambria" w:hAnsi="Cambria" w:cs="Times New Roman"/>
          <w:i/>
          <w:sz w:val="20"/>
          <w:szCs w:val="20"/>
        </w:rPr>
        <w:t>E. coli</w:t>
      </w:r>
      <w:r>
        <w:rPr>
          <w:rFonts w:ascii="Cambria" w:hAnsi="Cambria" w:cs="Times New Roman"/>
          <w:sz w:val="20"/>
          <w:szCs w:val="20"/>
        </w:rPr>
        <w:t xml:space="preserve"> W3110. </w:t>
      </w:r>
      <w:r w:rsidR="005F54A9">
        <w:rPr>
          <w:rFonts w:ascii="Cambria" w:hAnsi="Cambria" w:cs="Times New Roman"/>
          <w:sz w:val="20"/>
          <w:szCs w:val="20"/>
        </w:rPr>
        <w:t xml:space="preserve">We treated the datasets separately – 10% CV was used as threshold to potential reference genes from each of the </w:t>
      </w:r>
      <w:r w:rsidR="005F54A9" w:rsidRPr="008C579E">
        <w:rPr>
          <w:rFonts w:ascii="Cambria" w:hAnsi="Cambria" w:cs="Times New Roman"/>
          <w:i/>
          <w:sz w:val="20"/>
          <w:szCs w:val="20"/>
        </w:rPr>
        <w:t>E. coli</w:t>
      </w:r>
      <w:r w:rsidR="005F54A9">
        <w:rPr>
          <w:rFonts w:ascii="Cambria" w:hAnsi="Cambria" w:cs="Times New Roman"/>
          <w:sz w:val="20"/>
          <w:szCs w:val="20"/>
        </w:rPr>
        <w:t xml:space="preserve"> MG1655 datasets and 39 genes were common between all 3 potential gene lists, which were then subjected to </w:t>
      </w:r>
      <w:proofErr w:type="spellStart"/>
      <w:r w:rsidR="005F54A9">
        <w:rPr>
          <w:rFonts w:ascii="Cambria" w:hAnsi="Cambria" w:cs="Times New Roman"/>
          <w:sz w:val="20"/>
          <w:szCs w:val="20"/>
        </w:rPr>
        <w:t>NormFinder</w:t>
      </w:r>
      <w:proofErr w:type="spellEnd"/>
      <w:r w:rsidR="005F54A9">
        <w:rPr>
          <w:rFonts w:ascii="Cambria" w:hAnsi="Cambria" w:cs="Times New Roman"/>
          <w:sz w:val="20"/>
          <w:szCs w:val="20"/>
        </w:rPr>
        <w:t xml:space="preserve"> [68]. We found that Glucan biosynthesis protein </w:t>
      </w:r>
      <w:r w:rsidR="005F54A9" w:rsidRPr="005F54A9">
        <w:rPr>
          <w:rFonts w:ascii="Cambria" w:hAnsi="Cambria" w:cs="Times New Roman"/>
          <w:sz w:val="20"/>
          <w:szCs w:val="20"/>
        </w:rPr>
        <w:t>G (</w:t>
      </w:r>
      <w:proofErr w:type="spellStart"/>
      <w:r w:rsidR="005F54A9" w:rsidRPr="005F54A9">
        <w:rPr>
          <w:rFonts w:ascii="Cambria" w:hAnsi="Cambria" w:cs="Times New Roman"/>
          <w:sz w:val="20"/>
          <w:szCs w:val="20"/>
        </w:rPr>
        <w:t>mdoG</w:t>
      </w:r>
      <w:proofErr w:type="spellEnd"/>
      <w:r w:rsidR="005F54A9" w:rsidRPr="005F54A9">
        <w:rPr>
          <w:rFonts w:ascii="Cambria" w:hAnsi="Cambria" w:cs="Times New Roman"/>
          <w:sz w:val="20"/>
          <w:szCs w:val="20"/>
        </w:rPr>
        <w:t>) is a suitable reference gene for both MG16</w:t>
      </w:r>
      <w:r w:rsidR="005F54A9">
        <w:rPr>
          <w:rFonts w:ascii="Cambria" w:hAnsi="Cambria" w:cs="Times New Roman"/>
          <w:sz w:val="20"/>
          <w:szCs w:val="20"/>
        </w:rPr>
        <w:t xml:space="preserve">55 and W3110 strains of </w:t>
      </w:r>
      <w:r w:rsidR="005F54A9" w:rsidRPr="005F54A9">
        <w:rPr>
          <w:rFonts w:ascii="Cambria" w:hAnsi="Cambria" w:cs="Times New Roman"/>
          <w:i/>
          <w:sz w:val="20"/>
          <w:szCs w:val="20"/>
        </w:rPr>
        <w:t>E. coli</w:t>
      </w:r>
      <w:r w:rsidR="005F54A9">
        <w:rPr>
          <w:rFonts w:ascii="Cambria" w:hAnsi="Cambria" w:cs="Times New Roman"/>
          <w:sz w:val="20"/>
          <w:szCs w:val="20"/>
        </w:rPr>
        <w:t>, and found that GADPH showed high expressional variation and was not in the potential list of reference genes.</w:t>
      </w:r>
      <w:r w:rsidR="005075FE">
        <w:rPr>
          <w:rFonts w:ascii="Cambria" w:hAnsi="Cambria" w:cs="Times New Roman"/>
          <w:sz w:val="20"/>
          <w:szCs w:val="20"/>
        </w:rPr>
        <w:t xml:space="preserve"> Their SMP term paper was published almost in verbatim [41] and years later, both BMH </w:t>
      </w:r>
      <w:proofErr w:type="spellStart"/>
      <w:r w:rsidR="005075FE">
        <w:rPr>
          <w:rFonts w:ascii="Cambria" w:hAnsi="Cambria" w:cs="Times New Roman"/>
          <w:sz w:val="20"/>
          <w:szCs w:val="20"/>
        </w:rPr>
        <w:t>Keng</w:t>
      </w:r>
      <w:proofErr w:type="spellEnd"/>
      <w:r w:rsidR="005075FE">
        <w:rPr>
          <w:rFonts w:ascii="Cambria" w:hAnsi="Cambria" w:cs="Times New Roman"/>
          <w:sz w:val="20"/>
          <w:szCs w:val="20"/>
        </w:rPr>
        <w:t xml:space="preserve"> and OYW Chan felt that it was still an important step in their scientific pursuits – “</w:t>
      </w:r>
      <w:r w:rsidR="005075FE" w:rsidRPr="005075FE">
        <w:rPr>
          <w:rFonts w:ascii="Cambria" w:hAnsi="Cambria" w:cs="Times New Roman"/>
          <w:i/>
          <w:sz w:val="20"/>
          <w:szCs w:val="20"/>
        </w:rPr>
        <w:t>Looking back, I’d say that publishing made this research experience stand out from my other science-related pursuits</w:t>
      </w:r>
      <w:r w:rsidR="005075FE">
        <w:rPr>
          <w:rFonts w:ascii="Cambria" w:hAnsi="Cambria" w:cs="Times New Roman"/>
          <w:sz w:val="20"/>
          <w:szCs w:val="20"/>
        </w:rPr>
        <w:t>” and “</w:t>
      </w:r>
      <w:r w:rsidR="005075FE" w:rsidRPr="005075FE">
        <w:rPr>
          <w:rFonts w:ascii="Cambria" w:hAnsi="Cambria" w:cs="Times New Roman"/>
          <w:i/>
          <w:sz w:val="20"/>
          <w:szCs w:val="20"/>
        </w:rPr>
        <w:t>I definitely think the publication of that first paper was not to be overlooked.</w:t>
      </w:r>
      <w:r w:rsidR="005075FE">
        <w:rPr>
          <w:rFonts w:ascii="Cambria" w:hAnsi="Cambria" w:cs="Times New Roman"/>
          <w:sz w:val="20"/>
          <w:szCs w:val="20"/>
        </w:rPr>
        <w:t>”</w:t>
      </w:r>
    </w:p>
    <w:p w:rsidR="008C579E" w:rsidRDefault="008C579E" w:rsidP="00B07E7C">
      <w:pPr>
        <w:spacing w:after="0" w:line="360" w:lineRule="auto"/>
        <w:jc w:val="both"/>
        <w:rPr>
          <w:rFonts w:ascii="Cambria" w:hAnsi="Cambria" w:cs="Times New Roman"/>
          <w:sz w:val="20"/>
          <w:szCs w:val="20"/>
        </w:rPr>
      </w:pPr>
    </w:p>
    <w:p w:rsidR="005075FE" w:rsidRDefault="005075FE" w:rsidP="00FB327E">
      <w:pPr>
        <w:spacing w:after="0" w:line="360" w:lineRule="auto"/>
        <w:jc w:val="both"/>
        <w:rPr>
          <w:rFonts w:ascii="Cambria" w:hAnsi="Cambria" w:cs="Times New Roman"/>
          <w:sz w:val="20"/>
          <w:szCs w:val="20"/>
        </w:rPr>
      </w:pPr>
      <w:r>
        <w:rPr>
          <w:rFonts w:ascii="Cambria" w:hAnsi="Cambria" w:cs="Times New Roman"/>
          <w:sz w:val="20"/>
          <w:szCs w:val="20"/>
        </w:rPr>
        <w:t xml:space="preserve">After the successful completion of their SMP, SSJ </w:t>
      </w:r>
      <w:proofErr w:type="spellStart"/>
      <w:r>
        <w:rPr>
          <w:rFonts w:ascii="Cambria" w:hAnsi="Cambria" w:cs="Times New Roman"/>
          <w:sz w:val="20"/>
          <w:szCs w:val="20"/>
        </w:rPr>
        <w:t>Heng</w:t>
      </w:r>
      <w:proofErr w:type="spellEnd"/>
      <w:r>
        <w:rPr>
          <w:rFonts w:ascii="Cambria" w:hAnsi="Cambria" w:cs="Times New Roman"/>
          <w:sz w:val="20"/>
          <w:szCs w:val="20"/>
        </w:rPr>
        <w:t xml:space="preserve">, OYW Chan, and BMH </w:t>
      </w:r>
      <w:proofErr w:type="spellStart"/>
      <w:r>
        <w:rPr>
          <w:rFonts w:ascii="Cambria" w:hAnsi="Cambria" w:cs="Times New Roman"/>
          <w:sz w:val="20"/>
          <w:szCs w:val="20"/>
        </w:rPr>
        <w:t>Keng</w:t>
      </w:r>
      <w:proofErr w:type="spellEnd"/>
      <w:r>
        <w:rPr>
          <w:rFonts w:ascii="Cambria" w:hAnsi="Cambria" w:cs="Times New Roman"/>
          <w:sz w:val="20"/>
          <w:szCs w:val="20"/>
        </w:rPr>
        <w:t xml:space="preserve"> were interested to move onto the next project </w:t>
      </w:r>
      <w:r w:rsidR="00652457">
        <w:rPr>
          <w:rFonts w:ascii="Cambria" w:hAnsi="Cambria" w:cs="Times New Roman"/>
          <w:sz w:val="20"/>
          <w:szCs w:val="20"/>
        </w:rPr>
        <w:t>even though</w:t>
      </w:r>
      <w:r>
        <w:rPr>
          <w:rFonts w:ascii="Cambria" w:hAnsi="Cambria" w:cs="Times New Roman"/>
          <w:sz w:val="20"/>
          <w:szCs w:val="20"/>
        </w:rPr>
        <w:t xml:space="preserve"> I had taken up a position in South Dakota State University, USA. </w:t>
      </w:r>
      <w:r w:rsidR="00652457">
        <w:rPr>
          <w:rFonts w:ascii="Cambria" w:hAnsi="Cambria" w:cs="Times New Roman"/>
          <w:sz w:val="20"/>
          <w:szCs w:val="20"/>
        </w:rPr>
        <w:t xml:space="preserve">At the end of the </w:t>
      </w:r>
      <w:r w:rsidR="00652457" w:rsidRPr="00652457">
        <w:rPr>
          <w:rFonts w:ascii="Cambria" w:hAnsi="Cambria" w:cs="Times New Roman"/>
          <w:i/>
          <w:sz w:val="20"/>
          <w:szCs w:val="20"/>
        </w:rPr>
        <w:t xml:space="preserve">E. coli </w:t>
      </w:r>
      <w:r w:rsidR="00652457">
        <w:rPr>
          <w:rFonts w:ascii="Cambria" w:hAnsi="Cambria" w:cs="Times New Roman"/>
          <w:sz w:val="20"/>
          <w:szCs w:val="20"/>
        </w:rPr>
        <w:t>project, I was wondering that if it is unlikely for an organism-specific reference gene (a reference gene suitable for various organs within the same organism),</w:t>
      </w:r>
      <w:r w:rsidR="00FB327E">
        <w:rPr>
          <w:rFonts w:ascii="Cambria" w:hAnsi="Cambria" w:cs="Times New Roman"/>
          <w:sz w:val="20"/>
          <w:szCs w:val="20"/>
        </w:rPr>
        <w:t xml:space="preserve"> can it be possible for </w:t>
      </w:r>
      <w:r w:rsidR="00652457">
        <w:rPr>
          <w:rFonts w:ascii="Cambria" w:hAnsi="Cambria" w:cs="Times New Roman"/>
          <w:sz w:val="20"/>
          <w:szCs w:val="20"/>
        </w:rPr>
        <w:t xml:space="preserve">organ-specific reference gene (a reference gene for a specific organ across various organisms)? </w:t>
      </w:r>
      <w:r w:rsidR="00FB327E">
        <w:rPr>
          <w:rFonts w:ascii="Cambria" w:hAnsi="Cambria" w:cs="Times New Roman"/>
          <w:sz w:val="20"/>
          <w:szCs w:val="20"/>
        </w:rPr>
        <w:t xml:space="preserve">Two microarray datasets [69], from the livers of </w:t>
      </w:r>
      <w:proofErr w:type="spellStart"/>
      <w:r w:rsidR="00FB327E" w:rsidRPr="00FB327E">
        <w:rPr>
          <w:rFonts w:ascii="Cambria" w:hAnsi="Cambria" w:cs="Times New Roman"/>
          <w:i/>
          <w:sz w:val="20"/>
          <w:szCs w:val="20"/>
        </w:rPr>
        <w:t>Spermophilus</w:t>
      </w:r>
      <w:proofErr w:type="spellEnd"/>
      <w:r w:rsidR="00FB327E" w:rsidRPr="00FB327E">
        <w:rPr>
          <w:rFonts w:ascii="Cambria" w:hAnsi="Cambria" w:cs="Times New Roman"/>
          <w:i/>
          <w:sz w:val="20"/>
          <w:szCs w:val="20"/>
        </w:rPr>
        <w:t xml:space="preserve"> lateralis</w:t>
      </w:r>
      <w:r w:rsidR="00FB327E">
        <w:rPr>
          <w:rFonts w:ascii="Cambria" w:hAnsi="Cambria" w:cs="Times New Roman"/>
          <w:sz w:val="20"/>
          <w:szCs w:val="20"/>
        </w:rPr>
        <w:t xml:space="preserve"> (ground-roaming golden-mantle </w:t>
      </w:r>
      <w:r w:rsidR="00FB327E" w:rsidRPr="00FB327E">
        <w:rPr>
          <w:rFonts w:ascii="Cambria" w:hAnsi="Cambria" w:cs="Times New Roman"/>
          <w:sz w:val="20"/>
          <w:szCs w:val="20"/>
        </w:rPr>
        <w:t>ground squirrel</w:t>
      </w:r>
      <w:r w:rsidR="00FB327E">
        <w:rPr>
          <w:rFonts w:ascii="Cambria" w:hAnsi="Cambria" w:cs="Times New Roman"/>
          <w:sz w:val="20"/>
          <w:szCs w:val="20"/>
        </w:rPr>
        <w:t xml:space="preserve">) and </w:t>
      </w:r>
      <w:proofErr w:type="spellStart"/>
      <w:r w:rsidR="00FB327E" w:rsidRPr="00FB327E">
        <w:rPr>
          <w:rFonts w:ascii="Cambria" w:hAnsi="Cambria" w:cs="Times New Roman"/>
          <w:i/>
          <w:sz w:val="20"/>
          <w:szCs w:val="20"/>
        </w:rPr>
        <w:t>Spermophilus</w:t>
      </w:r>
      <w:proofErr w:type="spellEnd"/>
      <w:r w:rsidR="00FB327E" w:rsidRPr="00FB327E">
        <w:rPr>
          <w:rFonts w:ascii="Cambria" w:hAnsi="Cambria" w:cs="Times New Roman"/>
          <w:i/>
          <w:sz w:val="20"/>
          <w:szCs w:val="20"/>
        </w:rPr>
        <w:t xml:space="preserve"> </w:t>
      </w:r>
      <w:proofErr w:type="spellStart"/>
      <w:r w:rsidR="00FB327E" w:rsidRPr="00FB327E">
        <w:rPr>
          <w:rFonts w:ascii="Cambria" w:hAnsi="Cambria" w:cs="Times New Roman"/>
          <w:i/>
          <w:sz w:val="20"/>
          <w:szCs w:val="20"/>
        </w:rPr>
        <w:t>tridecemlineatus</w:t>
      </w:r>
      <w:proofErr w:type="spellEnd"/>
      <w:r w:rsidR="00FB327E" w:rsidRPr="00FB327E">
        <w:rPr>
          <w:rFonts w:ascii="Cambria" w:hAnsi="Cambria" w:cs="Times New Roman"/>
          <w:sz w:val="20"/>
          <w:szCs w:val="20"/>
        </w:rPr>
        <w:t xml:space="preserve"> </w:t>
      </w:r>
      <w:r w:rsidR="00FB327E">
        <w:rPr>
          <w:rFonts w:ascii="Cambria" w:hAnsi="Cambria" w:cs="Times New Roman"/>
          <w:sz w:val="20"/>
          <w:szCs w:val="20"/>
        </w:rPr>
        <w:t>(</w:t>
      </w:r>
      <w:r w:rsidR="00FB327E" w:rsidRPr="00FB327E">
        <w:rPr>
          <w:rFonts w:ascii="Cambria" w:hAnsi="Cambria" w:cs="Times New Roman"/>
          <w:sz w:val="20"/>
          <w:szCs w:val="20"/>
        </w:rPr>
        <w:t>tree</w:t>
      </w:r>
      <w:r w:rsidR="00FB327E">
        <w:rPr>
          <w:rFonts w:ascii="Cambria" w:hAnsi="Cambria" w:cs="Times New Roman"/>
          <w:sz w:val="20"/>
          <w:szCs w:val="20"/>
        </w:rPr>
        <w:t xml:space="preserve"> habiting </w:t>
      </w:r>
      <w:r w:rsidR="00FB327E" w:rsidRPr="00FB327E">
        <w:rPr>
          <w:rFonts w:ascii="Cambria" w:hAnsi="Cambria" w:cs="Times New Roman"/>
          <w:sz w:val="20"/>
          <w:szCs w:val="20"/>
        </w:rPr>
        <w:t>13-lined ground squirrel</w:t>
      </w:r>
      <w:r w:rsidR="00FB327E">
        <w:rPr>
          <w:rFonts w:ascii="Cambria" w:hAnsi="Cambria" w:cs="Times New Roman"/>
          <w:sz w:val="20"/>
          <w:szCs w:val="20"/>
        </w:rPr>
        <w:t>) each</w:t>
      </w:r>
      <w:r w:rsidR="00FB327E" w:rsidRPr="00FB327E">
        <w:rPr>
          <w:rFonts w:ascii="Cambria" w:hAnsi="Cambria" w:cs="Times New Roman"/>
          <w:sz w:val="20"/>
          <w:szCs w:val="20"/>
        </w:rPr>
        <w:t>, under different states of</w:t>
      </w:r>
      <w:r w:rsidR="00FB327E">
        <w:rPr>
          <w:rFonts w:ascii="Cambria" w:hAnsi="Cambria" w:cs="Times New Roman"/>
          <w:sz w:val="20"/>
          <w:szCs w:val="20"/>
        </w:rPr>
        <w:t xml:space="preserve"> </w:t>
      </w:r>
      <w:r w:rsidR="00FB327E" w:rsidRPr="00FB327E">
        <w:rPr>
          <w:rFonts w:ascii="Cambria" w:hAnsi="Cambria" w:cs="Times New Roman"/>
          <w:sz w:val="20"/>
          <w:szCs w:val="20"/>
        </w:rPr>
        <w:t xml:space="preserve">feeding and hibernation </w:t>
      </w:r>
      <w:r w:rsidR="00FB327E">
        <w:rPr>
          <w:rFonts w:ascii="Cambria" w:hAnsi="Cambria" w:cs="Times New Roman"/>
          <w:sz w:val="20"/>
          <w:szCs w:val="20"/>
        </w:rPr>
        <w:t xml:space="preserve">had been studied using the same </w:t>
      </w:r>
      <w:r w:rsidR="00FB327E" w:rsidRPr="00FB327E">
        <w:rPr>
          <w:rFonts w:ascii="Cambria" w:hAnsi="Cambria" w:cs="Times New Roman"/>
          <w:sz w:val="20"/>
          <w:szCs w:val="20"/>
        </w:rPr>
        <w:t xml:space="preserve">microarray </w:t>
      </w:r>
      <w:r w:rsidR="00FB327E">
        <w:rPr>
          <w:rFonts w:ascii="Cambria" w:hAnsi="Cambria" w:cs="Times New Roman"/>
          <w:sz w:val="20"/>
          <w:szCs w:val="20"/>
        </w:rPr>
        <w:t>chip, were found in NCBI GEO. The experimental conditions were the same in these 2 datasets, making them a valuable resource for examining the possibility of organ-specific reference genes; or more specifically in this case</w:t>
      </w:r>
      <w:r w:rsidR="00B97E3A">
        <w:rPr>
          <w:rFonts w:ascii="Cambria" w:hAnsi="Cambria" w:cs="Times New Roman"/>
          <w:sz w:val="20"/>
          <w:szCs w:val="20"/>
        </w:rPr>
        <w:t xml:space="preserve">, genus-organ or </w:t>
      </w:r>
      <w:proofErr w:type="spellStart"/>
      <w:r w:rsidR="00B97E3A">
        <w:rPr>
          <w:rFonts w:ascii="Cambria" w:hAnsi="Cambria" w:cs="Times New Roman"/>
          <w:sz w:val="20"/>
          <w:szCs w:val="20"/>
        </w:rPr>
        <w:t>Spermophilu</w:t>
      </w:r>
      <w:r w:rsidR="00FB327E">
        <w:rPr>
          <w:rFonts w:ascii="Cambria" w:hAnsi="Cambria" w:cs="Times New Roman"/>
          <w:sz w:val="20"/>
          <w:szCs w:val="20"/>
        </w:rPr>
        <w:t>s</w:t>
      </w:r>
      <w:proofErr w:type="spellEnd"/>
      <w:r w:rsidR="00FB327E">
        <w:rPr>
          <w:rFonts w:ascii="Cambria" w:hAnsi="Cambria" w:cs="Times New Roman"/>
          <w:sz w:val="20"/>
          <w:szCs w:val="20"/>
        </w:rPr>
        <w:t xml:space="preserve"> liver specific reference genes. </w:t>
      </w:r>
      <w:r w:rsidR="00251B2D">
        <w:rPr>
          <w:rFonts w:ascii="Cambria" w:hAnsi="Cambria" w:cs="Times New Roman"/>
          <w:sz w:val="20"/>
          <w:szCs w:val="20"/>
        </w:rPr>
        <w:t>Due to geographical and time zone</w:t>
      </w:r>
      <w:r w:rsidR="00784484">
        <w:rPr>
          <w:rFonts w:ascii="Cambria" w:hAnsi="Cambria" w:cs="Times New Roman"/>
          <w:sz w:val="20"/>
          <w:szCs w:val="20"/>
        </w:rPr>
        <w:t xml:space="preserve"> differences (USA vs Singapore), progress was not as soon as desired – as OWY Chan recounted: </w:t>
      </w:r>
    </w:p>
    <w:p w:rsidR="00784484" w:rsidRDefault="00784484" w:rsidP="00784484">
      <w:pPr>
        <w:spacing w:after="0" w:line="360" w:lineRule="auto"/>
        <w:ind w:left="426" w:right="429"/>
        <w:jc w:val="both"/>
        <w:rPr>
          <w:rFonts w:ascii="Cambria" w:hAnsi="Cambria" w:cs="Times New Roman"/>
          <w:sz w:val="20"/>
          <w:szCs w:val="20"/>
        </w:rPr>
      </w:pPr>
      <w:r>
        <w:rPr>
          <w:rFonts w:ascii="Cambria" w:hAnsi="Cambria" w:cs="Times New Roman"/>
          <w:sz w:val="20"/>
          <w:szCs w:val="20"/>
        </w:rPr>
        <w:t>“</w:t>
      </w:r>
      <w:r w:rsidRPr="00784484">
        <w:rPr>
          <w:rFonts w:ascii="Cambria" w:hAnsi="Cambria" w:cs="Times New Roman"/>
          <w:i/>
          <w:sz w:val="20"/>
          <w:szCs w:val="20"/>
        </w:rPr>
        <w:t xml:space="preserve">We did emailing and instant messaging to keep in touch with Maurice, but some clarifications are just best done over pen and paper in person. We asked many dumb questions multiple times, which </w:t>
      </w:r>
      <w:r w:rsidRPr="00784484">
        <w:rPr>
          <w:rFonts w:ascii="Cambria" w:hAnsi="Cambria" w:cs="Times New Roman"/>
          <w:i/>
          <w:sz w:val="20"/>
          <w:szCs w:val="20"/>
        </w:rPr>
        <w:lastRenderedPageBreak/>
        <w:t>Maurice was patient with, but was clear evidence of the lowered efficiency. We never thought of abandoning it though. We were sure that we’d complete it eventually - it was just a question of how much progress we could discipline ourselves into accomplishing that week.</w:t>
      </w:r>
      <w:r>
        <w:rPr>
          <w:rFonts w:ascii="Cambria" w:hAnsi="Cambria" w:cs="Times New Roman"/>
          <w:sz w:val="20"/>
          <w:szCs w:val="20"/>
        </w:rPr>
        <w:t>”</w:t>
      </w:r>
    </w:p>
    <w:p w:rsidR="00652457" w:rsidRDefault="00784484" w:rsidP="00B07E7C">
      <w:pPr>
        <w:spacing w:after="0" w:line="360" w:lineRule="auto"/>
        <w:jc w:val="both"/>
        <w:rPr>
          <w:rFonts w:ascii="Cambria" w:hAnsi="Cambria" w:cs="Times New Roman"/>
          <w:sz w:val="20"/>
          <w:szCs w:val="20"/>
        </w:rPr>
      </w:pPr>
      <w:r>
        <w:rPr>
          <w:rFonts w:ascii="Cambria" w:hAnsi="Cambria" w:cs="Times New Roman"/>
          <w:sz w:val="20"/>
          <w:szCs w:val="20"/>
        </w:rPr>
        <w:t xml:space="preserve">However, I will strongly attribute this to the determination of the group. Eventually, our results suggested that </w:t>
      </w:r>
      <w:proofErr w:type="spellStart"/>
      <w:r w:rsidR="00B97E3A">
        <w:rPr>
          <w:rFonts w:ascii="Cambria" w:hAnsi="Cambria" w:cs="Times New Roman"/>
          <w:sz w:val="20"/>
          <w:szCs w:val="20"/>
        </w:rPr>
        <w:t>Spermophilu</w:t>
      </w:r>
      <w:r w:rsidR="00CE6D3A">
        <w:rPr>
          <w:rFonts w:ascii="Cambria" w:hAnsi="Cambria" w:cs="Times New Roman"/>
          <w:sz w:val="20"/>
          <w:szCs w:val="20"/>
        </w:rPr>
        <w:t>s</w:t>
      </w:r>
      <w:proofErr w:type="spellEnd"/>
      <w:r w:rsidR="00CE6D3A">
        <w:rPr>
          <w:rFonts w:ascii="Cambria" w:hAnsi="Cambria" w:cs="Times New Roman"/>
          <w:sz w:val="20"/>
          <w:szCs w:val="20"/>
        </w:rPr>
        <w:t xml:space="preserve"> liver specific reference genes is not likely as suitable reference genes in </w:t>
      </w:r>
      <w:r w:rsidR="00CE6D3A" w:rsidRPr="00C641D1">
        <w:rPr>
          <w:rFonts w:ascii="Cambria" w:hAnsi="Cambria" w:cs="Times New Roman"/>
          <w:i/>
          <w:sz w:val="20"/>
          <w:szCs w:val="20"/>
        </w:rPr>
        <w:t>S. lateralis</w:t>
      </w:r>
      <w:r w:rsidR="00CE6D3A">
        <w:rPr>
          <w:rFonts w:ascii="Cambria" w:hAnsi="Cambria" w:cs="Times New Roman"/>
          <w:sz w:val="20"/>
          <w:szCs w:val="20"/>
        </w:rPr>
        <w:t xml:space="preserve"> </w:t>
      </w:r>
      <w:r w:rsidR="00C641D1">
        <w:rPr>
          <w:rFonts w:ascii="Cambria" w:hAnsi="Cambria" w:cs="Times New Roman"/>
          <w:sz w:val="20"/>
          <w:szCs w:val="20"/>
        </w:rPr>
        <w:t xml:space="preserve">liver are not suitable for </w:t>
      </w:r>
      <w:r w:rsidR="00C641D1" w:rsidRPr="00C641D1">
        <w:rPr>
          <w:rFonts w:ascii="Cambria" w:hAnsi="Cambria" w:cs="Times New Roman"/>
          <w:i/>
          <w:sz w:val="20"/>
          <w:szCs w:val="20"/>
        </w:rPr>
        <w:t xml:space="preserve">S. </w:t>
      </w:r>
      <w:proofErr w:type="spellStart"/>
      <w:r w:rsidR="00C641D1" w:rsidRPr="00C641D1">
        <w:rPr>
          <w:rFonts w:ascii="Cambria" w:hAnsi="Cambria" w:cs="Times New Roman"/>
          <w:i/>
          <w:sz w:val="20"/>
          <w:szCs w:val="20"/>
        </w:rPr>
        <w:t>tridecemlineatus</w:t>
      </w:r>
      <w:proofErr w:type="spellEnd"/>
      <w:r w:rsidR="00C641D1">
        <w:rPr>
          <w:rFonts w:ascii="Cambria" w:hAnsi="Cambria" w:cs="Times New Roman"/>
          <w:sz w:val="20"/>
          <w:szCs w:val="20"/>
        </w:rPr>
        <w:t xml:space="preserve"> liver and vice versa. Since </w:t>
      </w:r>
      <w:r w:rsidR="00C641D1" w:rsidRPr="00C641D1">
        <w:rPr>
          <w:rFonts w:ascii="Cambria" w:hAnsi="Cambria" w:cs="Times New Roman"/>
          <w:i/>
          <w:sz w:val="20"/>
          <w:szCs w:val="20"/>
        </w:rPr>
        <w:t>S. lateralis</w:t>
      </w:r>
      <w:r w:rsidR="00C641D1">
        <w:rPr>
          <w:rFonts w:ascii="Cambria" w:hAnsi="Cambria" w:cs="Times New Roman"/>
          <w:sz w:val="20"/>
          <w:szCs w:val="20"/>
        </w:rPr>
        <w:t xml:space="preserve"> and </w:t>
      </w:r>
      <w:r w:rsidR="00C641D1" w:rsidRPr="00C641D1">
        <w:rPr>
          <w:rFonts w:ascii="Cambria" w:hAnsi="Cambria" w:cs="Times New Roman"/>
          <w:i/>
          <w:sz w:val="20"/>
          <w:szCs w:val="20"/>
        </w:rPr>
        <w:t xml:space="preserve">S. </w:t>
      </w:r>
      <w:proofErr w:type="spellStart"/>
      <w:r w:rsidR="00C641D1" w:rsidRPr="00C641D1">
        <w:rPr>
          <w:rFonts w:ascii="Cambria" w:hAnsi="Cambria" w:cs="Times New Roman"/>
          <w:i/>
          <w:sz w:val="20"/>
          <w:szCs w:val="20"/>
        </w:rPr>
        <w:t>tridecemlineatus</w:t>
      </w:r>
      <w:proofErr w:type="spellEnd"/>
      <w:r w:rsidR="00C641D1">
        <w:rPr>
          <w:rFonts w:ascii="Cambria" w:hAnsi="Cambria" w:cs="Times New Roman"/>
          <w:sz w:val="20"/>
          <w:szCs w:val="20"/>
        </w:rPr>
        <w:t xml:space="preserve"> are from the same genus and the livers are harvested at the same feeding conditions; thereby, enabling rigorous comparison which is the intention of Williams et al. [69]; we extrapolated to genus-organ-specific reference genes are not likely. By further extension, it suggests that lineage-organ-specific reference genes are not likely, and there is a constant need to identify reference genes for each organ and in each species. These findings are published [42]. In a certain sense, this [42] is a negative result as we failed to identify </w:t>
      </w:r>
      <w:proofErr w:type="spellStart"/>
      <w:r w:rsidR="00B97E3A">
        <w:rPr>
          <w:rFonts w:ascii="Cambria" w:hAnsi="Cambria" w:cs="Times New Roman"/>
          <w:sz w:val="20"/>
          <w:szCs w:val="20"/>
        </w:rPr>
        <w:t>Spermophilu</w:t>
      </w:r>
      <w:r w:rsidR="00C641D1">
        <w:rPr>
          <w:rFonts w:ascii="Cambria" w:hAnsi="Cambria" w:cs="Times New Roman"/>
          <w:sz w:val="20"/>
          <w:szCs w:val="20"/>
        </w:rPr>
        <w:t>s</w:t>
      </w:r>
      <w:proofErr w:type="spellEnd"/>
      <w:r w:rsidR="00C641D1">
        <w:rPr>
          <w:rFonts w:ascii="Cambria" w:hAnsi="Cambria" w:cs="Times New Roman"/>
          <w:sz w:val="20"/>
          <w:szCs w:val="20"/>
        </w:rPr>
        <w:t xml:space="preserve"> liver specific reference genes but it presented a good case that negative results can be published if the project scope is clear and the s</w:t>
      </w:r>
      <w:r w:rsidR="00FE656B">
        <w:rPr>
          <w:rFonts w:ascii="Cambria" w:hAnsi="Cambria" w:cs="Times New Roman"/>
          <w:sz w:val="20"/>
          <w:szCs w:val="20"/>
        </w:rPr>
        <w:t xml:space="preserve">cientific rigors are maintained, as BMH </w:t>
      </w:r>
      <w:proofErr w:type="spellStart"/>
      <w:r w:rsidR="00FE656B">
        <w:rPr>
          <w:rFonts w:ascii="Cambria" w:hAnsi="Cambria" w:cs="Times New Roman"/>
          <w:sz w:val="20"/>
          <w:szCs w:val="20"/>
        </w:rPr>
        <w:t>Keng</w:t>
      </w:r>
      <w:proofErr w:type="spellEnd"/>
      <w:r w:rsidR="00FE656B">
        <w:rPr>
          <w:rFonts w:ascii="Cambria" w:hAnsi="Cambria" w:cs="Times New Roman"/>
          <w:sz w:val="20"/>
          <w:szCs w:val="20"/>
        </w:rPr>
        <w:t xml:space="preserve"> recounted – “</w:t>
      </w:r>
      <w:r w:rsidR="00652457" w:rsidRPr="00FE656B">
        <w:rPr>
          <w:rFonts w:ascii="Cambria" w:hAnsi="Cambria" w:cs="Times New Roman"/>
          <w:i/>
          <w:sz w:val="20"/>
          <w:szCs w:val="20"/>
        </w:rPr>
        <w:t>At first I thought it quite weird that we were publishing negative results, so the process was quite eye-opening for me.</w:t>
      </w:r>
      <w:r w:rsidR="00652457">
        <w:rPr>
          <w:rFonts w:ascii="Cambria" w:hAnsi="Cambria" w:cs="Times New Roman"/>
          <w:sz w:val="20"/>
          <w:szCs w:val="20"/>
        </w:rPr>
        <w:t>”</w:t>
      </w:r>
    </w:p>
    <w:p w:rsidR="002A3D12" w:rsidRDefault="002A3D12" w:rsidP="00B07E7C">
      <w:pPr>
        <w:spacing w:after="0" w:line="360" w:lineRule="auto"/>
        <w:jc w:val="both"/>
        <w:rPr>
          <w:rFonts w:ascii="Cambria" w:hAnsi="Cambria" w:cs="Times New Roman"/>
          <w:sz w:val="20"/>
          <w:szCs w:val="20"/>
        </w:rPr>
      </w:pPr>
    </w:p>
    <w:p w:rsidR="005075FE" w:rsidRDefault="002A3D12" w:rsidP="00B07E7C">
      <w:pPr>
        <w:spacing w:after="0" w:line="360" w:lineRule="auto"/>
        <w:jc w:val="both"/>
        <w:rPr>
          <w:rFonts w:ascii="Cambria" w:hAnsi="Cambria" w:cs="Times New Roman"/>
          <w:sz w:val="20"/>
          <w:szCs w:val="20"/>
        </w:rPr>
      </w:pPr>
      <w:r>
        <w:rPr>
          <w:rFonts w:ascii="Cambria" w:hAnsi="Cambria" w:cs="Times New Roman"/>
          <w:sz w:val="20"/>
          <w:szCs w:val="20"/>
        </w:rPr>
        <w:t xml:space="preserve">One of the issues with </w:t>
      </w:r>
      <w:r w:rsidR="00B97E3A">
        <w:rPr>
          <w:rFonts w:ascii="Cambria" w:hAnsi="Cambria" w:cs="Times New Roman"/>
          <w:sz w:val="20"/>
          <w:szCs w:val="20"/>
        </w:rPr>
        <w:t xml:space="preserve">available tools for finding reference genes from expression datasets; such as, </w:t>
      </w:r>
      <w:proofErr w:type="spellStart"/>
      <w:r w:rsidR="00B97E3A">
        <w:rPr>
          <w:rFonts w:ascii="Cambria" w:hAnsi="Cambria" w:cs="Times New Roman"/>
          <w:sz w:val="20"/>
          <w:szCs w:val="20"/>
        </w:rPr>
        <w:t>NormFinder</w:t>
      </w:r>
      <w:proofErr w:type="spellEnd"/>
      <w:r w:rsidR="00B97E3A">
        <w:rPr>
          <w:rFonts w:ascii="Cambria" w:hAnsi="Cambria" w:cs="Times New Roman"/>
          <w:sz w:val="20"/>
          <w:szCs w:val="20"/>
        </w:rPr>
        <w:t xml:space="preserve"> [68], </w:t>
      </w:r>
      <w:proofErr w:type="spellStart"/>
      <w:r w:rsidR="00B97E3A">
        <w:rPr>
          <w:rFonts w:ascii="Cambria" w:hAnsi="Cambria" w:cs="Times New Roman"/>
          <w:sz w:val="20"/>
          <w:szCs w:val="20"/>
        </w:rPr>
        <w:t>geNorm</w:t>
      </w:r>
      <w:proofErr w:type="spellEnd"/>
      <w:r w:rsidR="00B97E3A">
        <w:rPr>
          <w:rFonts w:ascii="Cambria" w:hAnsi="Cambria" w:cs="Times New Roman"/>
          <w:sz w:val="20"/>
          <w:szCs w:val="20"/>
        </w:rPr>
        <w:t xml:space="preserve"> [70], and </w:t>
      </w:r>
      <w:proofErr w:type="spellStart"/>
      <w:r w:rsidR="00B97E3A">
        <w:rPr>
          <w:rFonts w:ascii="Cambria" w:hAnsi="Cambria" w:cs="Times New Roman"/>
          <w:sz w:val="20"/>
          <w:szCs w:val="20"/>
        </w:rPr>
        <w:t>BestKeeper</w:t>
      </w:r>
      <w:proofErr w:type="spellEnd"/>
      <w:r w:rsidR="00B97E3A">
        <w:rPr>
          <w:rFonts w:ascii="Cambria" w:hAnsi="Cambria" w:cs="Times New Roman"/>
          <w:sz w:val="20"/>
          <w:szCs w:val="20"/>
        </w:rPr>
        <w:t xml:space="preserve"> [71]; is the inability to cope with large datasets containing thousands of genes, as in the case of microarray datasets. For example, </w:t>
      </w:r>
      <w:proofErr w:type="spellStart"/>
      <w:r w:rsidR="00B97E3A">
        <w:rPr>
          <w:rFonts w:ascii="Cambria" w:hAnsi="Cambria" w:cs="Times New Roman"/>
          <w:sz w:val="20"/>
          <w:szCs w:val="20"/>
        </w:rPr>
        <w:t>geNorm</w:t>
      </w:r>
      <w:proofErr w:type="spellEnd"/>
      <w:r w:rsidR="00B97E3A">
        <w:rPr>
          <w:rFonts w:ascii="Cambria" w:hAnsi="Cambria" w:cs="Times New Roman"/>
          <w:sz w:val="20"/>
          <w:szCs w:val="20"/>
        </w:rPr>
        <w:t xml:space="preserve"> [70] can only process 102 genes. This required transcriptome sized datasets to be filtered into candidate reference genes before analyses by these tools [</w:t>
      </w:r>
      <w:r w:rsidR="008F5D75">
        <w:rPr>
          <w:rFonts w:ascii="Cambria" w:hAnsi="Cambria" w:cs="Times New Roman"/>
          <w:sz w:val="20"/>
          <w:szCs w:val="20"/>
        </w:rPr>
        <w:t>68, 70, 71</w:t>
      </w:r>
      <w:r w:rsidR="00B97E3A">
        <w:rPr>
          <w:rFonts w:ascii="Cambria" w:hAnsi="Cambria" w:cs="Times New Roman"/>
          <w:sz w:val="20"/>
          <w:szCs w:val="20"/>
        </w:rPr>
        <w:t xml:space="preserve">]. Hence, I was considering the development of a method that is comparable to these tools [68, 70, 71] but with the ability to handle transcriptome sized datasets. Therefore, I proposed the idea of a method development project to BMH </w:t>
      </w:r>
      <w:proofErr w:type="spellStart"/>
      <w:r w:rsidR="00B97E3A">
        <w:rPr>
          <w:rFonts w:ascii="Cambria" w:hAnsi="Cambria" w:cs="Times New Roman"/>
          <w:sz w:val="20"/>
          <w:szCs w:val="20"/>
        </w:rPr>
        <w:t>Keng</w:t>
      </w:r>
      <w:proofErr w:type="spellEnd"/>
      <w:r w:rsidR="00B97E3A">
        <w:rPr>
          <w:rFonts w:ascii="Cambria" w:hAnsi="Cambria" w:cs="Times New Roman"/>
          <w:sz w:val="20"/>
          <w:szCs w:val="20"/>
        </w:rPr>
        <w:t xml:space="preserve"> and OWY Chan in 2013 (SSJ </w:t>
      </w:r>
      <w:proofErr w:type="spellStart"/>
      <w:r w:rsidR="00B97E3A">
        <w:rPr>
          <w:rFonts w:ascii="Cambria" w:hAnsi="Cambria" w:cs="Times New Roman"/>
          <w:sz w:val="20"/>
          <w:szCs w:val="20"/>
        </w:rPr>
        <w:t>Heng</w:t>
      </w:r>
      <w:proofErr w:type="spellEnd"/>
      <w:r w:rsidR="00B97E3A">
        <w:rPr>
          <w:rFonts w:ascii="Cambria" w:hAnsi="Cambria" w:cs="Times New Roman"/>
          <w:sz w:val="20"/>
          <w:szCs w:val="20"/>
        </w:rPr>
        <w:t xml:space="preserve"> opted to leave the group after the </w:t>
      </w:r>
      <w:proofErr w:type="spellStart"/>
      <w:r w:rsidR="00B97E3A">
        <w:rPr>
          <w:rFonts w:ascii="Cambria" w:hAnsi="Cambria" w:cs="Times New Roman"/>
          <w:sz w:val="20"/>
          <w:szCs w:val="20"/>
        </w:rPr>
        <w:t>spermophilus</w:t>
      </w:r>
      <w:proofErr w:type="spellEnd"/>
      <w:r w:rsidR="00B97E3A">
        <w:rPr>
          <w:rFonts w:ascii="Cambria" w:hAnsi="Cambria" w:cs="Times New Roman"/>
          <w:sz w:val="20"/>
          <w:szCs w:val="20"/>
        </w:rPr>
        <w:t xml:space="preserve"> project), which excited them, as BMH </w:t>
      </w:r>
      <w:proofErr w:type="spellStart"/>
      <w:r w:rsidR="00B97E3A">
        <w:rPr>
          <w:rFonts w:ascii="Cambria" w:hAnsi="Cambria" w:cs="Times New Roman"/>
          <w:sz w:val="20"/>
          <w:szCs w:val="20"/>
        </w:rPr>
        <w:t>Keng</w:t>
      </w:r>
      <w:proofErr w:type="spellEnd"/>
      <w:r w:rsidR="00B97E3A">
        <w:rPr>
          <w:rFonts w:ascii="Cambria" w:hAnsi="Cambria" w:cs="Times New Roman"/>
          <w:sz w:val="20"/>
          <w:szCs w:val="20"/>
        </w:rPr>
        <w:t xml:space="preserve"> recounted – “</w:t>
      </w:r>
      <w:r w:rsidR="00B97E3A" w:rsidRPr="00B97E3A">
        <w:rPr>
          <w:rFonts w:ascii="Cambria" w:hAnsi="Cambria" w:cs="Times New Roman"/>
          <w:i/>
          <w:sz w:val="20"/>
          <w:szCs w:val="20"/>
        </w:rPr>
        <w:t>The fact that we had succeeded in publishing two papers gave us confidence in starting another one. I think we had gained a much better understanding of the field at the time, plus the premise of the third project sounded quite interesting - not just using available tools to find reference genes like the first two projects, but actually developing our own algorithm.</w:t>
      </w:r>
      <w:r w:rsidR="00B97E3A">
        <w:rPr>
          <w:rFonts w:ascii="Cambria" w:hAnsi="Cambria" w:cs="Times New Roman"/>
          <w:sz w:val="20"/>
          <w:szCs w:val="20"/>
        </w:rPr>
        <w:t>”</w:t>
      </w:r>
      <w:r w:rsidR="00AF234C">
        <w:rPr>
          <w:rFonts w:ascii="Cambria" w:hAnsi="Cambria" w:cs="Times New Roman"/>
          <w:sz w:val="20"/>
          <w:szCs w:val="20"/>
        </w:rPr>
        <w:t xml:space="preserve"> We selected a subset of microarray data for analysis using </w:t>
      </w:r>
      <w:proofErr w:type="spellStart"/>
      <w:r w:rsidR="00AF234C">
        <w:rPr>
          <w:rFonts w:ascii="Cambria" w:hAnsi="Cambria" w:cs="Times New Roman"/>
          <w:sz w:val="20"/>
          <w:szCs w:val="20"/>
        </w:rPr>
        <w:t>NormFinder</w:t>
      </w:r>
      <w:proofErr w:type="spellEnd"/>
      <w:r w:rsidR="00AF234C">
        <w:rPr>
          <w:rFonts w:ascii="Cambria" w:hAnsi="Cambria" w:cs="Times New Roman"/>
          <w:sz w:val="20"/>
          <w:szCs w:val="20"/>
        </w:rPr>
        <w:t xml:space="preserve"> [68], </w:t>
      </w:r>
      <w:proofErr w:type="spellStart"/>
      <w:r w:rsidR="00AF234C">
        <w:rPr>
          <w:rFonts w:ascii="Cambria" w:hAnsi="Cambria" w:cs="Times New Roman"/>
          <w:sz w:val="20"/>
          <w:szCs w:val="20"/>
        </w:rPr>
        <w:t>geNorm</w:t>
      </w:r>
      <w:proofErr w:type="spellEnd"/>
      <w:r w:rsidR="00AF234C">
        <w:rPr>
          <w:rFonts w:ascii="Cambria" w:hAnsi="Cambria" w:cs="Times New Roman"/>
          <w:sz w:val="20"/>
          <w:szCs w:val="20"/>
        </w:rPr>
        <w:t xml:space="preserve"> [70], and </w:t>
      </w:r>
      <w:proofErr w:type="spellStart"/>
      <w:r w:rsidR="00AF234C">
        <w:rPr>
          <w:rFonts w:ascii="Cambria" w:hAnsi="Cambria" w:cs="Times New Roman"/>
          <w:sz w:val="20"/>
          <w:szCs w:val="20"/>
        </w:rPr>
        <w:t>BestKeeper</w:t>
      </w:r>
      <w:proofErr w:type="spellEnd"/>
      <w:r w:rsidR="00AF234C">
        <w:rPr>
          <w:rFonts w:ascii="Cambria" w:hAnsi="Cambria" w:cs="Times New Roman"/>
          <w:sz w:val="20"/>
          <w:szCs w:val="20"/>
        </w:rPr>
        <w:t xml:space="preserve"> [71]. The outputs were correlated – with the correlation between </w:t>
      </w:r>
      <w:proofErr w:type="spellStart"/>
      <w:r w:rsidR="00AF234C">
        <w:rPr>
          <w:rFonts w:ascii="Cambria" w:hAnsi="Cambria" w:cs="Times New Roman"/>
          <w:sz w:val="20"/>
          <w:szCs w:val="20"/>
        </w:rPr>
        <w:t>NormFinder’s</w:t>
      </w:r>
      <w:proofErr w:type="spellEnd"/>
      <w:r w:rsidR="00AF234C">
        <w:rPr>
          <w:rFonts w:ascii="Cambria" w:hAnsi="Cambria" w:cs="Times New Roman"/>
          <w:sz w:val="20"/>
          <w:szCs w:val="20"/>
        </w:rPr>
        <w:t xml:space="preserve"> output and </w:t>
      </w:r>
      <w:proofErr w:type="spellStart"/>
      <w:r w:rsidR="00AF234C">
        <w:rPr>
          <w:rFonts w:ascii="Cambria" w:hAnsi="Cambria" w:cs="Times New Roman"/>
          <w:sz w:val="20"/>
          <w:szCs w:val="20"/>
        </w:rPr>
        <w:t>geNorm’s</w:t>
      </w:r>
      <w:proofErr w:type="spellEnd"/>
      <w:r w:rsidR="00AF234C">
        <w:rPr>
          <w:rFonts w:ascii="Cambria" w:hAnsi="Cambria" w:cs="Times New Roman"/>
          <w:sz w:val="20"/>
          <w:szCs w:val="20"/>
        </w:rPr>
        <w:t xml:space="preserve"> output being the highest (r</w:t>
      </w:r>
      <w:r w:rsidR="00AF234C" w:rsidRPr="00AF234C">
        <w:rPr>
          <w:rFonts w:ascii="Cambria" w:hAnsi="Cambria" w:cs="Times New Roman"/>
          <w:sz w:val="20"/>
          <w:szCs w:val="20"/>
          <w:vertAlign w:val="superscript"/>
        </w:rPr>
        <w:t>2</w:t>
      </w:r>
      <w:r w:rsidR="00AF234C">
        <w:rPr>
          <w:rFonts w:ascii="Cambria" w:hAnsi="Cambria" w:cs="Times New Roman"/>
          <w:sz w:val="20"/>
          <w:szCs w:val="20"/>
        </w:rPr>
        <w:t xml:space="preserve"> = 0.987) while the coefficient of determination (r</w:t>
      </w:r>
      <w:r w:rsidR="00AF234C" w:rsidRPr="00AF234C">
        <w:rPr>
          <w:rFonts w:ascii="Cambria" w:hAnsi="Cambria" w:cs="Times New Roman"/>
          <w:sz w:val="20"/>
          <w:szCs w:val="20"/>
          <w:vertAlign w:val="superscript"/>
        </w:rPr>
        <w:t>2</w:t>
      </w:r>
      <w:r w:rsidR="00AF234C">
        <w:rPr>
          <w:rFonts w:ascii="Cambria" w:hAnsi="Cambria" w:cs="Times New Roman"/>
          <w:sz w:val="20"/>
          <w:szCs w:val="20"/>
        </w:rPr>
        <w:t xml:space="preserve">) between </w:t>
      </w:r>
      <w:proofErr w:type="spellStart"/>
      <w:r w:rsidR="00AF234C">
        <w:rPr>
          <w:rFonts w:ascii="Cambria" w:hAnsi="Cambria" w:cs="Times New Roman"/>
          <w:sz w:val="20"/>
          <w:szCs w:val="20"/>
        </w:rPr>
        <w:t>NormFinder</w:t>
      </w:r>
      <w:proofErr w:type="spellEnd"/>
      <w:r w:rsidR="00AF234C">
        <w:rPr>
          <w:rFonts w:ascii="Cambria" w:hAnsi="Cambria" w:cs="Times New Roman"/>
          <w:sz w:val="20"/>
          <w:szCs w:val="20"/>
        </w:rPr>
        <w:t>/</w:t>
      </w:r>
      <w:proofErr w:type="spellStart"/>
      <w:r w:rsidR="00AF234C">
        <w:rPr>
          <w:rFonts w:ascii="Cambria" w:hAnsi="Cambria" w:cs="Times New Roman"/>
          <w:sz w:val="20"/>
          <w:szCs w:val="20"/>
        </w:rPr>
        <w:t>BestKeeper</w:t>
      </w:r>
      <w:proofErr w:type="spellEnd"/>
      <w:r w:rsidR="00AF234C">
        <w:rPr>
          <w:rFonts w:ascii="Cambria" w:hAnsi="Cambria" w:cs="Times New Roman"/>
          <w:sz w:val="20"/>
          <w:szCs w:val="20"/>
        </w:rPr>
        <w:t xml:space="preserve"> and </w:t>
      </w:r>
      <w:proofErr w:type="spellStart"/>
      <w:r w:rsidR="00AF234C">
        <w:rPr>
          <w:rFonts w:ascii="Cambria" w:hAnsi="Cambria" w:cs="Times New Roman"/>
          <w:sz w:val="20"/>
          <w:szCs w:val="20"/>
        </w:rPr>
        <w:t>geNorm</w:t>
      </w:r>
      <w:proofErr w:type="spellEnd"/>
      <w:r w:rsidR="00AF234C">
        <w:rPr>
          <w:rFonts w:ascii="Cambria" w:hAnsi="Cambria" w:cs="Times New Roman"/>
          <w:sz w:val="20"/>
          <w:szCs w:val="20"/>
        </w:rPr>
        <w:t>/</w:t>
      </w:r>
      <w:proofErr w:type="spellStart"/>
      <w:r w:rsidR="00AF234C">
        <w:rPr>
          <w:rFonts w:ascii="Cambria" w:hAnsi="Cambria" w:cs="Times New Roman"/>
          <w:sz w:val="20"/>
          <w:szCs w:val="20"/>
        </w:rPr>
        <w:t>BestKeeper</w:t>
      </w:r>
      <w:proofErr w:type="spellEnd"/>
      <w:r w:rsidR="00AF234C">
        <w:rPr>
          <w:rFonts w:ascii="Cambria" w:hAnsi="Cambria" w:cs="Times New Roman"/>
          <w:sz w:val="20"/>
          <w:szCs w:val="20"/>
        </w:rPr>
        <w:t xml:space="preserve"> being 0.489 and 0.459 respectively. </w:t>
      </w:r>
      <w:r w:rsidR="00456FD2">
        <w:rPr>
          <w:rFonts w:ascii="Cambria" w:hAnsi="Cambria" w:cs="Times New Roman"/>
          <w:sz w:val="20"/>
          <w:szCs w:val="20"/>
        </w:rPr>
        <w:t xml:space="preserve">These results are consistent with study [72] showing that the identified reference genes by </w:t>
      </w:r>
      <w:proofErr w:type="spellStart"/>
      <w:r w:rsidR="00456FD2">
        <w:rPr>
          <w:rFonts w:ascii="Cambria" w:hAnsi="Cambria" w:cs="Times New Roman"/>
          <w:sz w:val="20"/>
          <w:szCs w:val="20"/>
        </w:rPr>
        <w:t>NormFinder</w:t>
      </w:r>
      <w:proofErr w:type="spellEnd"/>
      <w:r w:rsidR="00456FD2">
        <w:rPr>
          <w:rFonts w:ascii="Cambria" w:hAnsi="Cambria" w:cs="Times New Roman"/>
          <w:sz w:val="20"/>
          <w:szCs w:val="20"/>
        </w:rPr>
        <w:t xml:space="preserve"> [68], </w:t>
      </w:r>
      <w:proofErr w:type="spellStart"/>
      <w:r w:rsidR="00456FD2">
        <w:rPr>
          <w:rFonts w:ascii="Cambria" w:hAnsi="Cambria" w:cs="Times New Roman"/>
          <w:sz w:val="20"/>
          <w:szCs w:val="20"/>
        </w:rPr>
        <w:t>geNorm</w:t>
      </w:r>
      <w:proofErr w:type="spellEnd"/>
      <w:r w:rsidR="00456FD2">
        <w:rPr>
          <w:rFonts w:ascii="Cambria" w:hAnsi="Cambria" w:cs="Times New Roman"/>
          <w:sz w:val="20"/>
          <w:szCs w:val="20"/>
        </w:rPr>
        <w:t xml:space="preserve"> </w:t>
      </w:r>
      <w:r w:rsidR="00A14803">
        <w:rPr>
          <w:rFonts w:ascii="Cambria" w:hAnsi="Cambria" w:cs="Times New Roman"/>
          <w:sz w:val="20"/>
          <w:szCs w:val="20"/>
        </w:rPr>
        <w:t xml:space="preserve">[70], and </w:t>
      </w:r>
      <w:proofErr w:type="spellStart"/>
      <w:r w:rsidR="00A14803">
        <w:rPr>
          <w:rFonts w:ascii="Cambria" w:hAnsi="Cambria" w:cs="Times New Roman"/>
          <w:sz w:val="20"/>
          <w:szCs w:val="20"/>
        </w:rPr>
        <w:t>BestKeeper</w:t>
      </w:r>
      <w:proofErr w:type="spellEnd"/>
      <w:r w:rsidR="00A14803">
        <w:rPr>
          <w:rFonts w:ascii="Cambria" w:hAnsi="Cambria" w:cs="Times New Roman"/>
          <w:sz w:val="20"/>
          <w:szCs w:val="20"/>
        </w:rPr>
        <w:t xml:space="preserve"> [71] vary</w:t>
      </w:r>
      <w:r w:rsidR="00456FD2">
        <w:rPr>
          <w:rFonts w:ascii="Cambria" w:hAnsi="Cambria" w:cs="Times New Roman"/>
          <w:sz w:val="20"/>
          <w:szCs w:val="20"/>
        </w:rPr>
        <w:t xml:space="preserve"> even on the same dataset. However, t</w:t>
      </w:r>
      <w:r w:rsidR="009874C0">
        <w:rPr>
          <w:rFonts w:ascii="Cambria" w:hAnsi="Cambria" w:cs="Times New Roman"/>
          <w:sz w:val="20"/>
          <w:szCs w:val="20"/>
        </w:rPr>
        <w:t xml:space="preserve">hese </w:t>
      </w:r>
      <w:r w:rsidR="00456FD2">
        <w:rPr>
          <w:rFonts w:ascii="Cambria" w:hAnsi="Cambria" w:cs="Times New Roman"/>
          <w:sz w:val="20"/>
          <w:szCs w:val="20"/>
        </w:rPr>
        <w:t xml:space="preserve">coefficients of determination set a minimum correlation between our algorithm(s) – we need to achieve a coefficient of determination of at least 0.489 when correlated to </w:t>
      </w:r>
      <w:proofErr w:type="spellStart"/>
      <w:r w:rsidR="00456FD2">
        <w:rPr>
          <w:rFonts w:ascii="Cambria" w:hAnsi="Cambria" w:cs="Times New Roman"/>
          <w:sz w:val="20"/>
          <w:szCs w:val="20"/>
        </w:rPr>
        <w:t>NormFinder’s</w:t>
      </w:r>
      <w:proofErr w:type="spellEnd"/>
      <w:r w:rsidR="00456FD2">
        <w:rPr>
          <w:rFonts w:ascii="Cambria" w:hAnsi="Cambria" w:cs="Times New Roman"/>
          <w:sz w:val="20"/>
          <w:szCs w:val="20"/>
        </w:rPr>
        <w:t xml:space="preserve"> output. </w:t>
      </w:r>
      <w:r w:rsidR="00700456">
        <w:rPr>
          <w:rFonts w:ascii="Cambria" w:hAnsi="Cambria" w:cs="Times New Roman"/>
          <w:sz w:val="20"/>
          <w:szCs w:val="20"/>
        </w:rPr>
        <w:t xml:space="preserve">This was an exploratory project and </w:t>
      </w:r>
      <w:r w:rsidR="001E2997">
        <w:rPr>
          <w:rFonts w:ascii="Cambria" w:hAnsi="Cambria" w:cs="Times New Roman"/>
          <w:sz w:val="20"/>
          <w:szCs w:val="20"/>
        </w:rPr>
        <w:t xml:space="preserve">OYW Chan and BMH </w:t>
      </w:r>
      <w:proofErr w:type="spellStart"/>
      <w:r w:rsidR="001E2997">
        <w:rPr>
          <w:rFonts w:ascii="Cambria" w:hAnsi="Cambria" w:cs="Times New Roman"/>
          <w:sz w:val="20"/>
          <w:szCs w:val="20"/>
        </w:rPr>
        <w:t>Keng</w:t>
      </w:r>
      <w:proofErr w:type="spellEnd"/>
      <w:r w:rsidR="001E2997">
        <w:rPr>
          <w:rFonts w:ascii="Cambria" w:hAnsi="Cambria" w:cs="Times New Roman"/>
          <w:sz w:val="20"/>
          <w:szCs w:val="20"/>
        </w:rPr>
        <w:t xml:space="preserve"> were encouraged to use their creativity to come up with new methods by building on existing methods; hence, it was of great fun. Eventually, w</w:t>
      </w:r>
      <w:r w:rsidR="00456FD2">
        <w:rPr>
          <w:rFonts w:ascii="Cambria" w:hAnsi="Cambria" w:cs="Times New Roman"/>
          <w:sz w:val="20"/>
          <w:szCs w:val="20"/>
        </w:rPr>
        <w:t xml:space="preserve">e found 2 algorithms that achieved coefficient of determination of 0.892 when </w:t>
      </w:r>
      <w:r w:rsidR="00456FD2">
        <w:rPr>
          <w:rFonts w:ascii="Cambria" w:hAnsi="Cambria" w:cs="Times New Roman"/>
          <w:sz w:val="20"/>
          <w:szCs w:val="20"/>
        </w:rPr>
        <w:lastRenderedPageBreak/>
        <w:t xml:space="preserve">correlated to </w:t>
      </w:r>
      <w:proofErr w:type="spellStart"/>
      <w:r w:rsidR="00456FD2">
        <w:rPr>
          <w:rFonts w:ascii="Cambria" w:hAnsi="Cambria" w:cs="Times New Roman"/>
          <w:sz w:val="20"/>
          <w:szCs w:val="20"/>
        </w:rPr>
        <w:t>NormFinder’s</w:t>
      </w:r>
      <w:proofErr w:type="spellEnd"/>
      <w:r w:rsidR="00456FD2">
        <w:rPr>
          <w:rFonts w:ascii="Cambria" w:hAnsi="Cambria" w:cs="Times New Roman"/>
          <w:sz w:val="20"/>
          <w:szCs w:val="20"/>
        </w:rPr>
        <w:t xml:space="preserve"> output. </w:t>
      </w:r>
      <w:r w:rsidR="002C4284">
        <w:rPr>
          <w:rFonts w:ascii="Cambria" w:hAnsi="Cambria" w:cs="Times New Roman"/>
          <w:sz w:val="20"/>
          <w:szCs w:val="20"/>
        </w:rPr>
        <w:t>In addition, these 2 algorithms perform linearly to the number of data points. For example, if 10 samples of 1000 genes (10,000 data points) took 2 seconds to complete processing, 100 samples of 5000 genes (500,000 data points) is estimated to take 100 seconds to process. Two publications, one publishing the results and algorithm [43] and the other publishing the tool [44], resulted from this work. For the sake of ownership and fun, we had decided to name the tool as OLIVER (</w:t>
      </w:r>
      <w:proofErr w:type="spellStart"/>
      <w:r w:rsidR="002C4284">
        <w:rPr>
          <w:rFonts w:ascii="Cambria" w:hAnsi="Cambria" w:cs="Times New Roman"/>
          <w:sz w:val="20"/>
          <w:szCs w:val="20"/>
        </w:rPr>
        <w:t>OLIgonucleotide</w:t>
      </w:r>
      <w:proofErr w:type="spellEnd"/>
      <w:r w:rsidR="002C4284">
        <w:rPr>
          <w:rFonts w:ascii="Cambria" w:hAnsi="Cambria" w:cs="Times New Roman"/>
          <w:sz w:val="20"/>
          <w:szCs w:val="20"/>
        </w:rPr>
        <w:t xml:space="preserve"> Variable Expression Ranker), after OYW Chan.</w:t>
      </w:r>
    </w:p>
    <w:p w:rsidR="00456FD2" w:rsidRPr="0030298A" w:rsidRDefault="00456FD2" w:rsidP="00B07E7C">
      <w:pPr>
        <w:spacing w:after="0" w:line="360" w:lineRule="auto"/>
        <w:jc w:val="both"/>
        <w:rPr>
          <w:rFonts w:ascii="Cambria" w:hAnsi="Cambria" w:cs="Times New Roman"/>
          <w:sz w:val="20"/>
          <w:szCs w:val="20"/>
        </w:rPr>
      </w:pPr>
    </w:p>
    <w:p w:rsidR="0030298A" w:rsidRPr="0030298A" w:rsidRDefault="00CD2D7E" w:rsidP="00B07E7C">
      <w:pPr>
        <w:pStyle w:val="ListParagraph"/>
        <w:numPr>
          <w:ilvl w:val="1"/>
          <w:numId w:val="1"/>
        </w:numPr>
        <w:spacing w:after="0" w:line="360" w:lineRule="auto"/>
        <w:ind w:left="720"/>
        <w:jc w:val="both"/>
        <w:rPr>
          <w:rFonts w:ascii="Cambria" w:hAnsi="Cambria" w:cs="Times New Roman"/>
          <w:b/>
          <w:sz w:val="20"/>
          <w:szCs w:val="20"/>
        </w:rPr>
      </w:pPr>
      <w:r>
        <w:rPr>
          <w:rFonts w:ascii="Cambria" w:hAnsi="Cambria" w:cs="Times New Roman"/>
          <w:b/>
          <w:sz w:val="20"/>
          <w:szCs w:val="20"/>
        </w:rPr>
        <w:t>Evolutionary Context of Codon Usage Bias</w:t>
      </w:r>
    </w:p>
    <w:p w:rsidR="0030298A" w:rsidRDefault="006F7995" w:rsidP="00B07E7C">
      <w:pPr>
        <w:spacing w:after="0" w:line="360" w:lineRule="auto"/>
        <w:jc w:val="both"/>
        <w:rPr>
          <w:rFonts w:ascii="Cambria" w:hAnsi="Cambria" w:cs="Times New Roman"/>
          <w:sz w:val="20"/>
          <w:szCs w:val="20"/>
        </w:rPr>
      </w:pPr>
      <w:r>
        <w:rPr>
          <w:rFonts w:ascii="Cambria" w:hAnsi="Cambria" w:cs="Times New Roman"/>
          <w:sz w:val="20"/>
          <w:szCs w:val="20"/>
        </w:rPr>
        <w:t xml:space="preserve">By the end of OLIVER [43, 44], OYW Chan and BMH </w:t>
      </w:r>
      <w:proofErr w:type="spellStart"/>
      <w:r>
        <w:rPr>
          <w:rFonts w:ascii="Cambria" w:hAnsi="Cambria" w:cs="Times New Roman"/>
          <w:sz w:val="20"/>
          <w:szCs w:val="20"/>
        </w:rPr>
        <w:t>Keng</w:t>
      </w:r>
      <w:proofErr w:type="spellEnd"/>
      <w:r>
        <w:rPr>
          <w:rFonts w:ascii="Cambria" w:hAnsi="Cambria" w:cs="Times New Roman"/>
          <w:sz w:val="20"/>
          <w:szCs w:val="20"/>
        </w:rPr>
        <w:t xml:space="preserve"> were in the middle of their first year in </w:t>
      </w:r>
      <w:r w:rsidR="00A37A57">
        <w:rPr>
          <w:rFonts w:ascii="Cambria" w:hAnsi="Cambria" w:cs="Times New Roman"/>
          <w:sz w:val="20"/>
          <w:szCs w:val="20"/>
        </w:rPr>
        <w:t>a Junior Co</w:t>
      </w:r>
      <w:r>
        <w:rPr>
          <w:rFonts w:ascii="Cambria" w:hAnsi="Cambria" w:cs="Times New Roman"/>
          <w:sz w:val="20"/>
          <w:szCs w:val="20"/>
        </w:rPr>
        <w:t xml:space="preserve">llege </w:t>
      </w:r>
      <w:r w:rsidR="00A37A57">
        <w:rPr>
          <w:rFonts w:ascii="Cambria" w:hAnsi="Cambria" w:cs="Times New Roman"/>
          <w:sz w:val="20"/>
          <w:szCs w:val="20"/>
        </w:rPr>
        <w:t xml:space="preserve">(equivalent to Year 11 and 12) </w:t>
      </w:r>
      <w:r>
        <w:rPr>
          <w:rFonts w:ascii="Cambria" w:hAnsi="Cambria" w:cs="Times New Roman"/>
          <w:sz w:val="20"/>
          <w:szCs w:val="20"/>
        </w:rPr>
        <w:t xml:space="preserve">and were due to take their General Certificate of Education (Advanced Level) at the end of the following year. Hence, I was not expecting a fourth project but they were enthusiastic about it, as BMH </w:t>
      </w:r>
      <w:proofErr w:type="spellStart"/>
      <w:r>
        <w:rPr>
          <w:rFonts w:ascii="Cambria" w:hAnsi="Cambria" w:cs="Times New Roman"/>
          <w:sz w:val="20"/>
          <w:szCs w:val="20"/>
        </w:rPr>
        <w:t>Keng</w:t>
      </w:r>
      <w:proofErr w:type="spellEnd"/>
      <w:r>
        <w:rPr>
          <w:rFonts w:ascii="Cambria" w:hAnsi="Cambria" w:cs="Times New Roman"/>
          <w:sz w:val="20"/>
          <w:szCs w:val="20"/>
        </w:rPr>
        <w:t xml:space="preserve"> recounted the scene then – “</w:t>
      </w:r>
      <w:r w:rsidRPr="002B6830">
        <w:rPr>
          <w:rFonts w:ascii="Cambria" w:hAnsi="Cambria" w:cs="Times New Roman"/>
          <w:i/>
          <w:sz w:val="20"/>
          <w:szCs w:val="20"/>
        </w:rPr>
        <w:t xml:space="preserve">Well I guess we were just talking about it at </w:t>
      </w:r>
      <w:proofErr w:type="spellStart"/>
      <w:r w:rsidRPr="002B6830">
        <w:rPr>
          <w:rFonts w:ascii="Cambria" w:hAnsi="Cambria" w:cs="Times New Roman"/>
          <w:i/>
          <w:sz w:val="20"/>
          <w:szCs w:val="20"/>
        </w:rPr>
        <w:t>Coffeebean</w:t>
      </w:r>
      <w:proofErr w:type="spellEnd"/>
      <w:r w:rsidRPr="002B6830">
        <w:rPr>
          <w:rFonts w:ascii="Cambria" w:hAnsi="Cambria" w:cs="Times New Roman"/>
          <w:i/>
          <w:sz w:val="20"/>
          <w:szCs w:val="20"/>
        </w:rPr>
        <w:t>, and somebody said "ok why not" and the other person said "yeah let's do it, I'm sure we can manage".  I don't think we really pondered too much into it.</w:t>
      </w:r>
      <w:r w:rsidR="002B6830">
        <w:rPr>
          <w:rFonts w:ascii="Cambria" w:hAnsi="Cambria" w:cs="Times New Roman"/>
          <w:sz w:val="20"/>
          <w:szCs w:val="20"/>
        </w:rPr>
        <w:t xml:space="preserve">” I was surprised and did not expect it. As a result, I was almost scrambling to think of a new project. </w:t>
      </w:r>
      <w:r w:rsidR="00615D3A">
        <w:rPr>
          <w:rFonts w:ascii="Cambria" w:hAnsi="Cambria" w:cs="Times New Roman"/>
          <w:sz w:val="20"/>
          <w:szCs w:val="20"/>
        </w:rPr>
        <w:t>At that point in time, I had just completed a NIH-funded project in South Dakota State University, examining evolution of antisense transcripts [73]. Hence, I have a deep interest in applying statistical genomics into the study of evolution, and since my previous employment as a Senior Scientist in Life Technologies, I had nurtured an interest in codon usage bias</w:t>
      </w:r>
      <w:r w:rsidR="002557A8">
        <w:rPr>
          <w:rFonts w:ascii="Cambria" w:hAnsi="Cambria" w:cs="Times New Roman"/>
          <w:sz w:val="20"/>
          <w:szCs w:val="20"/>
        </w:rPr>
        <w:t xml:space="preserve"> (CUB) [74]</w:t>
      </w:r>
      <w:r w:rsidR="00615D3A">
        <w:rPr>
          <w:rFonts w:ascii="Cambria" w:hAnsi="Cambria" w:cs="Times New Roman"/>
          <w:sz w:val="20"/>
          <w:szCs w:val="20"/>
        </w:rPr>
        <w:t xml:space="preserve">. After a few days of mental brewing, I decided to propose </w:t>
      </w:r>
      <w:r w:rsidR="002557A8">
        <w:rPr>
          <w:rFonts w:ascii="Cambria" w:hAnsi="Cambria" w:cs="Times New Roman"/>
          <w:sz w:val="20"/>
          <w:szCs w:val="20"/>
        </w:rPr>
        <w:t>a project to examine the null hypothesis that CUB is not evolutionarily conserved, using the same statistical techniques used in my antisense expression study [73]. Using 18 codon usage tables across both eukaryotic and prokaryotic species from Codon Usage Database (</w:t>
      </w:r>
      <w:hyperlink r:id="rId8" w:history="1">
        <w:r w:rsidR="002557A8" w:rsidRPr="00566DB0">
          <w:rPr>
            <w:rStyle w:val="Hyperlink"/>
            <w:rFonts w:ascii="Cambria" w:hAnsi="Cambria" w:cs="Times New Roman"/>
            <w:sz w:val="20"/>
            <w:szCs w:val="20"/>
          </w:rPr>
          <w:t>www.kazusa.or.jp/codon</w:t>
        </w:r>
      </w:hyperlink>
      <w:r w:rsidR="002557A8">
        <w:rPr>
          <w:rFonts w:ascii="Cambria" w:hAnsi="Cambria" w:cs="Times New Roman"/>
          <w:sz w:val="20"/>
          <w:szCs w:val="20"/>
        </w:rPr>
        <w:t xml:space="preserve">), we found that CUBs is correlated within species of the same class and the CUBs between closely related organisms are higher correlated compared to more distant organisms, suggesting that CUBs corroborates evolutionary time. </w:t>
      </w:r>
      <w:r w:rsidR="005E1C65">
        <w:rPr>
          <w:rFonts w:ascii="Cambria" w:hAnsi="Cambria" w:cs="Times New Roman"/>
          <w:sz w:val="20"/>
          <w:szCs w:val="20"/>
        </w:rPr>
        <w:t xml:space="preserve">This is the same conclusion from my antisense expression study [74] and that of Jordan et al. [75]. In addition, we showed that visualizing CUBs on a dendrogram fits our currently known phylogeny and we published this work </w:t>
      </w:r>
      <w:r w:rsidR="00A37A57">
        <w:rPr>
          <w:rFonts w:ascii="Cambria" w:hAnsi="Cambria" w:cs="Times New Roman"/>
          <w:sz w:val="20"/>
          <w:szCs w:val="20"/>
        </w:rPr>
        <w:t xml:space="preserve">in Asia Pacific Journal of Life Sciences </w:t>
      </w:r>
      <w:r w:rsidR="005E1C65">
        <w:rPr>
          <w:rFonts w:ascii="Cambria" w:hAnsi="Cambria" w:cs="Times New Roman"/>
          <w:sz w:val="20"/>
          <w:szCs w:val="20"/>
        </w:rPr>
        <w:t>[45].</w:t>
      </w:r>
    </w:p>
    <w:p w:rsidR="005E1C65" w:rsidRDefault="005E1C65" w:rsidP="00B07E7C">
      <w:pPr>
        <w:spacing w:after="0" w:line="360" w:lineRule="auto"/>
        <w:jc w:val="both"/>
        <w:rPr>
          <w:rFonts w:ascii="Cambria" w:hAnsi="Cambria" w:cs="Times New Roman"/>
          <w:sz w:val="20"/>
          <w:szCs w:val="20"/>
        </w:rPr>
      </w:pPr>
    </w:p>
    <w:p w:rsidR="005E1C65" w:rsidRDefault="005E1C65" w:rsidP="00B07E7C">
      <w:pPr>
        <w:spacing w:after="0" w:line="360" w:lineRule="auto"/>
        <w:jc w:val="both"/>
        <w:rPr>
          <w:rFonts w:ascii="Cambria" w:hAnsi="Cambria" w:cs="Times New Roman"/>
          <w:sz w:val="20"/>
          <w:szCs w:val="20"/>
        </w:rPr>
      </w:pPr>
      <w:r>
        <w:rPr>
          <w:rFonts w:ascii="Cambria" w:hAnsi="Cambria" w:cs="Times New Roman"/>
          <w:sz w:val="20"/>
          <w:szCs w:val="20"/>
        </w:rPr>
        <w:t xml:space="preserve">This was the last project I did with OYW Chan and BMH </w:t>
      </w:r>
      <w:proofErr w:type="spellStart"/>
      <w:r>
        <w:rPr>
          <w:rFonts w:ascii="Cambria" w:hAnsi="Cambria" w:cs="Times New Roman"/>
          <w:sz w:val="20"/>
          <w:szCs w:val="20"/>
        </w:rPr>
        <w:t>Keng</w:t>
      </w:r>
      <w:proofErr w:type="spellEnd"/>
      <w:r>
        <w:rPr>
          <w:rFonts w:ascii="Cambria" w:hAnsi="Cambria" w:cs="Times New Roman"/>
          <w:sz w:val="20"/>
          <w:szCs w:val="20"/>
        </w:rPr>
        <w:t xml:space="preserve"> as they had to prepare for their milestone examination the following year. In total, they had worked with me for 4 years and generated 5 peer-reviewed journal articles [41-45] and 1 peer-reviewed book chapter [50]. In preparation for this narrative, I did ask them if they would go through all these all over again</w:t>
      </w:r>
      <w:r w:rsidR="00B158F5">
        <w:rPr>
          <w:rFonts w:ascii="Cambria" w:hAnsi="Cambria" w:cs="Times New Roman"/>
          <w:sz w:val="20"/>
          <w:szCs w:val="20"/>
        </w:rPr>
        <w:t xml:space="preserve"> and would they encourage their juniors to do the same – their responses are</w:t>
      </w:r>
      <w:r>
        <w:rPr>
          <w:rFonts w:ascii="Cambria" w:hAnsi="Cambria" w:cs="Times New Roman"/>
          <w:sz w:val="20"/>
          <w:szCs w:val="20"/>
        </w:rPr>
        <w:t xml:space="preserve"> positive.</w:t>
      </w:r>
    </w:p>
    <w:p w:rsidR="006F7995" w:rsidRPr="0030298A" w:rsidRDefault="006F7995" w:rsidP="00B07E7C">
      <w:pPr>
        <w:spacing w:after="0" w:line="360" w:lineRule="auto"/>
        <w:jc w:val="both"/>
        <w:rPr>
          <w:rFonts w:ascii="Cambria" w:hAnsi="Cambria" w:cs="Times New Roman"/>
          <w:sz w:val="20"/>
          <w:szCs w:val="20"/>
        </w:rPr>
      </w:pPr>
    </w:p>
    <w:p w:rsidR="00652457" w:rsidRDefault="00652457" w:rsidP="00B158F5">
      <w:pPr>
        <w:spacing w:after="0" w:line="360" w:lineRule="auto"/>
        <w:ind w:left="426" w:right="429"/>
        <w:jc w:val="both"/>
        <w:rPr>
          <w:rFonts w:ascii="Cambria" w:hAnsi="Cambria" w:cs="Times New Roman"/>
          <w:i/>
          <w:sz w:val="20"/>
          <w:szCs w:val="20"/>
        </w:rPr>
      </w:pPr>
      <w:r w:rsidRPr="00B158F5">
        <w:rPr>
          <w:rFonts w:ascii="Cambria" w:hAnsi="Cambria" w:cs="Times New Roman"/>
          <w:b/>
          <w:i/>
          <w:sz w:val="20"/>
          <w:szCs w:val="20"/>
        </w:rPr>
        <w:t>Bryan:</w:t>
      </w:r>
      <w:r w:rsidRPr="00B158F5">
        <w:rPr>
          <w:rFonts w:ascii="Cambria" w:hAnsi="Cambria" w:cs="Times New Roman"/>
          <w:i/>
          <w:sz w:val="20"/>
          <w:szCs w:val="20"/>
        </w:rPr>
        <w:t xml:space="preserve"> Overall, I enjoyed the process of working on this series of papers, and if given the opportunity, I would do it again. Doing multiple interrelated projects in the same field really helped to solidify my understanding and made me better able to assume greater ownership of the work we did. I think the process was a lot more meaningful, in terms of personal growth as a researcher, as compared to </w:t>
      </w:r>
      <w:r w:rsidRPr="00B158F5">
        <w:rPr>
          <w:rFonts w:ascii="Cambria" w:hAnsi="Cambria" w:cs="Times New Roman"/>
          <w:i/>
          <w:sz w:val="20"/>
          <w:szCs w:val="20"/>
        </w:rPr>
        <w:lastRenderedPageBreak/>
        <w:t>completing just a single project.</w:t>
      </w:r>
      <w:r w:rsidR="00B158F5">
        <w:rPr>
          <w:rFonts w:ascii="Cambria" w:hAnsi="Cambria" w:cs="Times New Roman"/>
          <w:i/>
          <w:sz w:val="20"/>
          <w:szCs w:val="20"/>
        </w:rPr>
        <w:t xml:space="preserve"> </w:t>
      </w:r>
      <w:r w:rsidR="000550DA">
        <w:rPr>
          <w:rFonts w:ascii="Cambria" w:hAnsi="Cambria" w:cs="Times New Roman"/>
          <w:i/>
          <w:sz w:val="20"/>
          <w:szCs w:val="20"/>
        </w:rPr>
        <w:t xml:space="preserve">…… </w:t>
      </w:r>
      <w:r w:rsidR="00B158F5" w:rsidRPr="00B158F5">
        <w:rPr>
          <w:rFonts w:ascii="Cambria" w:hAnsi="Cambria" w:cs="Times New Roman"/>
          <w:i/>
          <w:sz w:val="20"/>
          <w:szCs w:val="20"/>
        </w:rPr>
        <w:t xml:space="preserve">I feel that completing multiple projects is useful in honing the skills necessary to reach the eventual publication of a manuscript. </w:t>
      </w:r>
    </w:p>
    <w:p w:rsidR="00B158F5" w:rsidRPr="00B158F5" w:rsidRDefault="00B158F5" w:rsidP="00B158F5">
      <w:pPr>
        <w:spacing w:after="0" w:line="360" w:lineRule="auto"/>
        <w:ind w:left="426" w:right="429"/>
        <w:jc w:val="both"/>
        <w:rPr>
          <w:rFonts w:ascii="Cambria" w:hAnsi="Cambria" w:cs="Times New Roman"/>
          <w:i/>
          <w:sz w:val="20"/>
          <w:szCs w:val="20"/>
        </w:rPr>
      </w:pPr>
    </w:p>
    <w:p w:rsidR="0030298A" w:rsidRPr="00B158F5" w:rsidRDefault="00652457" w:rsidP="00B158F5">
      <w:pPr>
        <w:spacing w:after="0" w:line="360" w:lineRule="auto"/>
        <w:ind w:left="426" w:right="429"/>
        <w:jc w:val="both"/>
        <w:rPr>
          <w:rFonts w:ascii="Cambria" w:hAnsi="Cambria" w:cs="Times New Roman"/>
          <w:i/>
          <w:sz w:val="20"/>
          <w:szCs w:val="20"/>
        </w:rPr>
      </w:pPr>
      <w:r w:rsidRPr="00B158F5">
        <w:rPr>
          <w:rFonts w:ascii="Cambria" w:hAnsi="Cambria" w:cs="Times New Roman"/>
          <w:b/>
          <w:i/>
          <w:sz w:val="20"/>
          <w:szCs w:val="20"/>
        </w:rPr>
        <w:t>Oliver:</w:t>
      </w:r>
      <w:r w:rsidRPr="00B158F5">
        <w:rPr>
          <w:rFonts w:ascii="Cambria" w:hAnsi="Cambria" w:cs="Times New Roman"/>
          <w:i/>
          <w:sz w:val="20"/>
          <w:szCs w:val="20"/>
        </w:rPr>
        <w:t xml:space="preserve"> </w:t>
      </w:r>
      <w:r w:rsidR="00B158F5" w:rsidRPr="00B158F5">
        <w:rPr>
          <w:rFonts w:ascii="Cambria" w:hAnsi="Cambria" w:cs="Times New Roman"/>
          <w:i/>
          <w:sz w:val="20"/>
          <w:szCs w:val="20"/>
        </w:rPr>
        <w:t>This research experience taught me a great deal about the way science is done and the rationale behind it. As a student</w:t>
      </w:r>
      <w:r w:rsidR="00B158F5">
        <w:rPr>
          <w:rFonts w:ascii="Cambria" w:hAnsi="Cambria" w:cs="Times New Roman"/>
          <w:i/>
          <w:sz w:val="20"/>
          <w:szCs w:val="20"/>
        </w:rPr>
        <w:t>,</w:t>
      </w:r>
      <w:r w:rsidR="00B158F5" w:rsidRPr="00B158F5">
        <w:rPr>
          <w:rFonts w:ascii="Cambria" w:hAnsi="Cambria" w:cs="Times New Roman"/>
          <w:i/>
          <w:sz w:val="20"/>
          <w:szCs w:val="20"/>
        </w:rPr>
        <w:t xml:space="preserve"> I learnt much about a specific set of bioinformatics fields and as a growing ad</w:t>
      </w:r>
      <w:r w:rsidR="00687190">
        <w:rPr>
          <w:rFonts w:ascii="Cambria" w:hAnsi="Cambria" w:cs="Times New Roman"/>
          <w:i/>
          <w:sz w:val="20"/>
          <w:szCs w:val="20"/>
        </w:rPr>
        <w:t>ult I learnt much about myself.</w:t>
      </w:r>
      <w:r w:rsidR="00B158F5" w:rsidRPr="00B158F5">
        <w:rPr>
          <w:rFonts w:ascii="Cambria" w:hAnsi="Cambria" w:cs="Times New Roman"/>
          <w:i/>
          <w:sz w:val="20"/>
          <w:szCs w:val="20"/>
        </w:rPr>
        <w:t xml:space="preserve"> Student research provides opportunities that are uncommonly replicated e</w:t>
      </w:r>
      <w:r w:rsidR="00B158F5">
        <w:rPr>
          <w:rFonts w:ascii="Cambria" w:hAnsi="Cambria" w:cs="Times New Roman"/>
          <w:i/>
          <w:sz w:val="20"/>
          <w:szCs w:val="20"/>
        </w:rPr>
        <w:t>lse</w:t>
      </w:r>
      <w:r w:rsidR="00B158F5" w:rsidRPr="00B158F5">
        <w:rPr>
          <w:rFonts w:ascii="Cambria" w:hAnsi="Cambria" w:cs="Times New Roman"/>
          <w:i/>
          <w:sz w:val="20"/>
          <w:szCs w:val="20"/>
        </w:rPr>
        <w:t xml:space="preserve">where </w:t>
      </w:r>
      <w:r w:rsidR="00B158F5">
        <w:rPr>
          <w:rFonts w:ascii="Cambria" w:hAnsi="Cambria" w:cs="Times New Roman"/>
          <w:i/>
          <w:sz w:val="20"/>
          <w:szCs w:val="20"/>
        </w:rPr>
        <w:t>–</w:t>
      </w:r>
      <w:r w:rsidR="00B158F5" w:rsidRPr="00B158F5">
        <w:rPr>
          <w:rFonts w:ascii="Cambria" w:hAnsi="Cambria" w:cs="Times New Roman"/>
          <w:i/>
          <w:sz w:val="20"/>
          <w:szCs w:val="20"/>
        </w:rPr>
        <w:t xml:space="preserve"> independent</w:t>
      </w:r>
      <w:r w:rsidR="00B158F5">
        <w:rPr>
          <w:rFonts w:ascii="Cambria" w:hAnsi="Cambria" w:cs="Times New Roman"/>
          <w:i/>
          <w:sz w:val="20"/>
          <w:szCs w:val="20"/>
        </w:rPr>
        <w:t xml:space="preserve"> </w:t>
      </w:r>
      <w:r w:rsidR="00B158F5" w:rsidRPr="00B158F5">
        <w:rPr>
          <w:rFonts w:ascii="Cambria" w:hAnsi="Cambria" w:cs="Times New Roman"/>
          <w:i/>
          <w:sz w:val="20"/>
          <w:szCs w:val="20"/>
        </w:rPr>
        <w:t>work, depth of inquiry, exposure to a field expert.</w:t>
      </w:r>
      <w:r w:rsidR="00B158F5">
        <w:rPr>
          <w:rFonts w:ascii="Cambria" w:hAnsi="Cambria" w:cs="Times New Roman"/>
          <w:i/>
          <w:sz w:val="20"/>
          <w:szCs w:val="20"/>
        </w:rPr>
        <w:t xml:space="preserve"> </w:t>
      </w:r>
      <w:r w:rsidR="000550DA">
        <w:rPr>
          <w:rFonts w:ascii="Cambria" w:hAnsi="Cambria" w:cs="Times New Roman"/>
          <w:i/>
          <w:sz w:val="20"/>
          <w:szCs w:val="20"/>
        </w:rPr>
        <w:t xml:space="preserve">…… </w:t>
      </w:r>
      <w:r w:rsidRPr="00B158F5">
        <w:rPr>
          <w:rFonts w:ascii="Cambria" w:hAnsi="Cambria" w:cs="Times New Roman"/>
          <w:i/>
          <w:sz w:val="20"/>
          <w:szCs w:val="20"/>
        </w:rPr>
        <w:t xml:space="preserve">Yes. Please embark on a project. Don’t stop at one paper because a good working relationship takes time to build and so does a base of usable field knowledge. </w:t>
      </w:r>
    </w:p>
    <w:p w:rsidR="00652457" w:rsidRPr="0030298A" w:rsidRDefault="00652457" w:rsidP="00652457">
      <w:pPr>
        <w:spacing w:after="0" w:line="360" w:lineRule="auto"/>
        <w:jc w:val="both"/>
        <w:rPr>
          <w:rFonts w:ascii="Cambria" w:hAnsi="Cambria" w:cs="Times New Roman"/>
          <w:sz w:val="20"/>
          <w:szCs w:val="20"/>
        </w:rPr>
      </w:pPr>
    </w:p>
    <w:p w:rsidR="0030298A" w:rsidRPr="0030298A" w:rsidRDefault="00CD2D7E" w:rsidP="00B07E7C">
      <w:pPr>
        <w:pStyle w:val="ListParagraph"/>
        <w:numPr>
          <w:ilvl w:val="1"/>
          <w:numId w:val="1"/>
        </w:numPr>
        <w:spacing w:after="0" w:line="360" w:lineRule="auto"/>
        <w:ind w:left="720"/>
        <w:jc w:val="both"/>
        <w:rPr>
          <w:rFonts w:ascii="Cambria" w:hAnsi="Cambria" w:cs="Times New Roman"/>
          <w:b/>
          <w:sz w:val="20"/>
          <w:szCs w:val="20"/>
        </w:rPr>
      </w:pPr>
      <w:r>
        <w:rPr>
          <w:rFonts w:ascii="Cambria" w:hAnsi="Cambria" w:cs="Times New Roman"/>
          <w:b/>
          <w:sz w:val="20"/>
          <w:szCs w:val="20"/>
        </w:rPr>
        <w:t>Experimental Evolution: Food Additives</w:t>
      </w:r>
    </w:p>
    <w:p w:rsidR="00A620A6" w:rsidRDefault="008D4158" w:rsidP="00206D36">
      <w:pPr>
        <w:spacing w:after="0" w:line="360" w:lineRule="auto"/>
        <w:jc w:val="both"/>
        <w:rPr>
          <w:rFonts w:ascii="Cambria" w:hAnsi="Cambria" w:cs="Times New Roman"/>
          <w:sz w:val="20"/>
          <w:szCs w:val="20"/>
        </w:rPr>
      </w:pPr>
      <w:r>
        <w:rPr>
          <w:rFonts w:ascii="Cambria" w:hAnsi="Cambria" w:cs="Times New Roman"/>
          <w:sz w:val="20"/>
          <w:szCs w:val="20"/>
        </w:rPr>
        <w:t xml:space="preserve">As a lecturer in </w:t>
      </w:r>
      <w:r w:rsidR="00A37A57">
        <w:rPr>
          <w:rFonts w:ascii="Cambria" w:hAnsi="Cambria" w:cs="Times New Roman"/>
          <w:sz w:val="20"/>
          <w:szCs w:val="20"/>
        </w:rPr>
        <w:t xml:space="preserve">the </w:t>
      </w:r>
      <w:r>
        <w:rPr>
          <w:rFonts w:ascii="Cambria" w:hAnsi="Cambria" w:cs="Times New Roman"/>
          <w:sz w:val="20"/>
          <w:szCs w:val="20"/>
        </w:rPr>
        <w:t xml:space="preserve">Singapore Polytechnic, I was required to take 1 or 2 final year projects </w:t>
      </w:r>
      <w:r w:rsidR="00764C75">
        <w:rPr>
          <w:rFonts w:ascii="Cambria" w:hAnsi="Cambria" w:cs="Times New Roman"/>
          <w:sz w:val="20"/>
          <w:szCs w:val="20"/>
        </w:rPr>
        <w:t xml:space="preserve">(FYP) </w:t>
      </w:r>
      <w:r w:rsidR="00A37A57">
        <w:rPr>
          <w:rFonts w:ascii="Cambria" w:hAnsi="Cambria" w:cs="Times New Roman"/>
          <w:sz w:val="20"/>
          <w:szCs w:val="20"/>
        </w:rPr>
        <w:t>with</w:t>
      </w:r>
      <w:r>
        <w:rPr>
          <w:rFonts w:ascii="Cambria" w:hAnsi="Cambria" w:cs="Times New Roman"/>
          <w:sz w:val="20"/>
          <w:szCs w:val="20"/>
        </w:rPr>
        <w:t xml:space="preserve"> 3 diploma final year students </w:t>
      </w:r>
      <w:r w:rsidR="00764C75">
        <w:rPr>
          <w:rFonts w:ascii="Cambria" w:hAnsi="Cambria" w:cs="Times New Roman"/>
          <w:sz w:val="20"/>
          <w:szCs w:val="20"/>
        </w:rPr>
        <w:t xml:space="preserve">(about 19 years old) </w:t>
      </w:r>
      <w:r>
        <w:rPr>
          <w:rFonts w:ascii="Cambria" w:hAnsi="Cambria" w:cs="Times New Roman"/>
          <w:sz w:val="20"/>
          <w:szCs w:val="20"/>
        </w:rPr>
        <w:t xml:space="preserve">per project. As Diploma in Biotechnology </w:t>
      </w:r>
      <w:r w:rsidR="00764C75">
        <w:rPr>
          <w:rFonts w:ascii="Cambria" w:hAnsi="Cambria" w:cs="Times New Roman"/>
          <w:sz w:val="20"/>
          <w:szCs w:val="20"/>
        </w:rPr>
        <w:t xml:space="preserve">(a 3-year full time course) </w:t>
      </w:r>
      <w:r>
        <w:rPr>
          <w:rFonts w:ascii="Cambria" w:hAnsi="Cambria" w:cs="Times New Roman"/>
          <w:sz w:val="20"/>
          <w:szCs w:val="20"/>
        </w:rPr>
        <w:t xml:space="preserve">emphasized on practical skills (by the time each student enters final year, they would have accumulated about 300 hours of laboratory training, excluding 8 weeks of full time internship), there was an unspoken rule that most FYPs have substantial experimental component. </w:t>
      </w:r>
      <w:r w:rsidR="00206D36">
        <w:rPr>
          <w:rFonts w:ascii="Cambria" w:hAnsi="Cambria" w:cs="Times New Roman"/>
          <w:sz w:val="20"/>
          <w:szCs w:val="20"/>
        </w:rPr>
        <w:t xml:space="preserve">Having completed my </w:t>
      </w:r>
      <w:proofErr w:type="spellStart"/>
      <w:r w:rsidR="00206D36">
        <w:rPr>
          <w:rFonts w:ascii="Cambria" w:hAnsi="Cambria" w:cs="Times New Roman"/>
          <w:sz w:val="20"/>
          <w:szCs w:val="20"/>
        </w:rPr>
        <w:t>honours</w:t>
      </w:r>
      <w:proofErr w:type="spellEnd"/>
      <w:r w:rsidR="00206D36">
        <w:rPr>
          <w:rFonts w:ascii="Cambria" w:hAnsi="Cambria" w:cs="Times New Roman"/>
          <w:sz w:val="20"/>
          <w:szCs w:val="20"/>
        </w:rPr>
        <w:t xml:space="preserve"> project and doctoral thesis in the Department of Zoology</w:t>
      </w:r>
      <w:r w:rsidR="00A37A57">
        <w:rPr>
          <w:rFonts w:ascii="Cambria" w:hAnsi="Cambria" w:cs="Times New Roman"/>
          <w:sz w:val="20"/>
          <w:szCs w:val="20"/>
        </w:rPr>
        <w:t xml:space="preserve"> (The University of Melbourne, Australia)</w:t>
      </w:r>
      <w:r w:rsidR="00206D36">
        <w:rPr>
          <w:rFonts w:ascii="Cambria" w:hAnsi="Cambria" w:cs="Times New Roman"/>
          <w:sz w:val="20"/>
          <w:szCs w:val="20"/>
        </w:rPr>
        <w:t xml:space="preserve">, the importance of evolution was engrained into me, as </w:t>
      </w:r>
      <w:r w:rsidR="00206D36" w:rsidRPr="00206D36">
        <w:rPr>
          <w:rFonts w:ascii="Cambria" w:hAnsi="Cambria" w:cs="Times New Roman"/>
          <w:sz w:val="20"/>
          <w:szCs w:val="20"/>
        </w:rPr>
        <w:t xml:space="preserve">Theodosius </w:t>
      </w:r>
      <w:proofErr w:type="spellStart"/>
      <w:r w:rsidR="00206D36" w:rsidRPr="00206D36">
        <w:rPr>
          <w:rFonts w:ascii="Cambria" w:hAnsi="Cambria" w:cs="Times New Roman"/>
          <w:sz w:val="20"/>
          <w:szCs w:val="20"/>
        </w:rPr>
        <w:t>Dobzhansky</w:t>
      </w:r>
      <w:proofErr w:type="spellEnd"/>
      <w:r w:rsidR="00206D36" w:rsidRPr="00206D36">
        <w:rPr>
          <w:rFonts w:ascii="Cambria" w:hAnsi="Cambria" w:cs="Times New Roman"/>
          <w:sz w:val="20"/>
          <w:szCs w:val="20"/>
        </w:rPr>
        <w:t xml:space="preserve"> </w:t>
      </w:r>
      <w:r w:rsidR="00206D36">
        <w:rPr>
          <w:rFonts w:ascii="Cambria" w:hAnsi="Cambria" w:cs="Times New Roman"/>
          <w:sz w:val="20"/>
          <w:szCs w:val="20"/>
        </w:rPr>
        <w:t>would say, “</w:t>
      </w:r>
      <w:r w:rsidR="00206D36">
        <w:rPr>
          <w:rFonts w:ascii="Cambria" w:hAnsi="Cambria" w:cs="Times New Roman"/>
          <w:i/>
          <w:sz w:val="20"/>
          <w:szCs w:val="20"/>
        </w:rPr>
        <w:t>Nothing in b</w:t>
      </w:r>
      <w:r w:rsidR="00206D36" w:rsidRPr="00206D36">
        <w:rPr>
          <w:rFonts w:ascii="Cambria" w:hAnsi="Cambria" w:cs="Times New Roman"/>
          <w:i/>
          <w:sz w:val="20"/>
          <w:szCs w:val="20"/>
        </w:rPr>
        <w:t>iology makes sense except in the light of evolution</w:t>
      </w:r>
      <w:r w:rsidR="00206D36">
        <w:rPr>
          <w:rFonts w:ascii="Cambria" w:hAnsi="Cambria" w:cs="Times New Roman"/>
          <w:sz w:val="20"/>
          <w:szCs w:val="20"/>
        </w:rPr>
        <w:t>”</w:t>
      </w:r>
      <w:r w:rsidR="00206D36" w:rsidRPr="00206D36">
        <w:rPr>
          <w:rFonts w:ascii="Cambria" w:hAnsi="Cambria" w:cs="Times New Roman"/>
          <w:sz w:val="20"/>
          <w:szCs w:val="20"/>
        </w:rPr>
        <w:t xml:space="preserve"> </w:t>
      </w:r>
      <w:r w:rsidR="00206D36">
        <w:rPr>
          <w:rFonts w:ascii="Cambria" w:hAnsi="Cambria" w:cs="Times New Roman"/>
          <w:sz w:val="20"/>
          <w:szCs w:val="20"/>
        </w:rPr>
        <w:t xml:space="preserve">[76]. </w:t>
      </w:r>
      <w:r w:rsidR="00764C75">
        <w:rPr>
          <w:rFonts w:ascii="Cambria" w:hAnsi="Cambria" w:cs="Times New Roman"/>
          <w:sz w:val="20"/>
          <w:szCs w:val="20"/>
        </w:rPr>
        <w:t xml:space="preserve">Another philosophy that I hold dear </w:t>
      </w:r>
      <w:r w:rsidR="00A14803">
        <w:rPr>
          <w:rFonts w:ascii="Cambria" w:hAnsi="Cambria" w:cs="Times New Roman"/>
          <w:sz w:val="20"/>
          <w:szCs w:val="20"/>
        </w:rPr>
        <w:t>is</w:t>
      </w:r>
      <w:r w:rsidR="00764C75">
        <w:rPr>
          <w:rFonts w:ascii="Cambria" w:hAnsi="Cambria" w:cs="Times New Roman"/>
          <w:sz w:val="20"/>
          <w:szCs w:val="20"/>
        </w:rPr>
        <w:t xml:space="preserve"> the words of </w:t>
      </w:r>
      <w:r w:rsidR="00764C75" w:rsidRPr="00764C75">
        <w:rPr>
          <w:rFonts w:ascii="Cambria" w:hAnsi="Cambria" w:cs="Times New Roman"/>
          <w:sz w:val="20"/>
          <w:szCs w:val="20"/>
        </w:rPr>
        <w:t xml:space="preserve">Professor </w:t>
      </w:r>
      <w:proofErr w:type="spellStart"/>
      <w:r w:rsidR="00764C75" w:rsidRPr="00764C75">
        <w:rPr>
          <w:rFonts w:ascii="Cambria" w:hAnsi="Cambria" w:cs="Times New Roman"/>
          <w:sz w:val="20"/>
          <w:szCs w:val="20"/>
        </w:rPr>
        <w:t>Ringertz</w:t>
      </w:r>
      <w:proofErr w:type="spellEnd"/>
      <w:r w:rsidR="00764C75" w:rsidRPr="00764C75">
        <w:rPr>
          <w:rFonts w:ascii="Cambria" w:hAnsi="Cambria" w:cs="Times New Roman"/>
          <w:sz w:val="20"/>
          <w:szCs w:val="20"/>
        </w:rPr>
        <w:t xml:space="preserve"> of </w:t>
      </w:r>
      <w:proofErr w:type="spellStart"/>
      <w:r w:rsidR="00764C75" w:rsidRPr="00764C75">
        <w:rPr>
          <w:rFonts w:ascii="Cambria" w:hAnsi="Cambria" w:cs="Times New Roman"/>
          <w:sz w:val="20"/>
          <w:szCs w:val="20"/>
        </w:rPr>
        <w:t>Karolinska</w:t>
      </w:r>
      <w:proofErr w:type="spellEnd"/>
      <w:r w:rsidR="00764C75" w:rsidRPr="00764C75">
        <w:rPr>
          <w:rFonts w:ascii="Cambria" w:hAnsi="Cambria" w:cs="Times New Roman"/>
          <w:sz w:val="20"/>
          <w:szCs w:val="20"/>
        </w:rPr>
        <w:t xml:space="preserve"> Institute </w:t>
      </w:r>
      <w:r w:rsidR="00A37A57">
        <w:rPr>
          <w:rFonts w:ascii="Cambria" w:hAnsi="Cambria" w:cs="Times New Roman"/>
          <w:sz w:val="20"/>
          <w:szCs w:val="20"/>
        </w:rPr>
        <w:t>who</w:t>
      </w:r>
      <w:r w:rsidR="00764C75">
        <w:rPr>
          <w:rFonts w:ascii="Cambria" w:hAnsi="Cambria" w:cs="Times New Roman"/>
          <w:sz w:val="20"/>
          <w:szCs w:val="20"/>
        </w:rPr>
        <w:t xml:space="preserve"> </w:t>
      </w:r>
      <w:r w:rsidR="00764C75" w:rsidRPr="00764C75">
        <w:rPr>
          <w:rFonts w:ascii="Cambria" w:hAnsi="Cambria" w:cs="Times New Roman"/>
          <w:sz w:val="20"/>
          <w:szCs w:val="20"/>
        </w:rPr>
        <w:t>said the following to Dr. Barbara McClintock</w:t>
      </w:r>
      <w:r w:rsidR="00764C75">
        <w:rPr>
          <w:rFonts w:ascii="Cambria" w:hAnsi="Cambria" w:cs="Times New Roman"/>
          <w:sz w:val="20"/>
          <w:szCs w:val="20"/>
        </w:rPr>
        <w:t>, during her Nobel Prize citation</w:t>
      </w:r>
      <w:r w:rsidR="00764C75" w:rsidRPr="00764C75">
        <w:rPr>
          <w:rFonts w:ascii="Cambria" w:hAnsi="Cambria" w:cs="Times New Roman"/>
          <w:sz w:val="20"/>
          <w:szCs w:val="20"/>
        </w:rPr>
        <w:t>, "</w:t>
      </w:r>
      <w:r w:rsidR="00764C75" w:rsidRPr="00764C75">
        <w:rPr>
          <w:rFonts w:ascii="Cambria" w:hAnsi="Cambria" w:cs="Times New Roman"/>
          <w:i/>
          <w:sz w:val="20"/>
          <w:szCs w:val="20"/>
        </w:rPr>
        <w:t>your work is encouraging because it shows that great discoveries can still be made with simple tools</w:t>
      </w:r>
      <w:r w:rsidR="00764C75" w:rsidRPr="00764C75">
        <w:rPr>
          <w:rFonts w:ascii="Cambria" w:hAnsi="Cambria" w:cs="Times New Roman"/>
          <w:sz w:val="20"/>
          <w:szCs w:val="20"/>
        </w:rPr>
        <w:t>."</w:t>
      </w:r>
      <w:r w:rsidR="00764C75">
        <w:rPr>
          <w:rFonts w:ascii="Cambria" w:hAnsi="Cambria" w:cs="Times New Roman"/>
          <w:sz w:val="20"/>
          <w:szCs w:val="20"/>
        </w:rPr>
        <w:t xml:space="preserve"> </w:t>
      </w:r>
    </w:p>
    <w:p w:rsidR="00A620A6" w:rsidRDefault="00A620A6" w:rsidP="00206D36">
      <w:pPr>
        <w:spacing w:after="0" w:line="360" w:lineRule="auto"/>
        <w:jc w:val="both"/>
        <w:rPr>
          <w:rFonts w:ascii="Cambria" w:hAnsi="Cambria" w:cs="Times New Roman"/>
          <w:sz w:val="20"/>
          <w:szCs w:val="20"/>
        </w:rPr>
      </w:pPr>
    </w:p>
    <w:p w:rsidR="0030298A" w:rsidRDefault="00764C75" w:rsidP="00206D36">
      <w:pPr>
        <w:spacing w:after="0" w:line="360" w:lineRule="auto"/>
        <w:jc w:val="both"/>
        <w:rPr>
          <w:rFonts w:ascii="Cambria" w:hAnsi="Cambria" w:cs="Times New Roman"/>
          <w:sz w:val="20"/>
          <w:szCs w:val="20"/>
        </w:rPr>
      </w:pPr>
      <w:r>
        <w:rPr>
          <w:rFonts w:ascii="Cambria" w:hAnsi="Cambria" w:cs="Times New Roman"/>
          <w:sz w:val="20"/>
          <w:szCs w:val="20"/>
        </w:rPr>
        <w:t>Hence, in formulating a FYP, I needed something that is doable within the capabilities of the students, requiring simple tools due to budgetary constraints (maximum of SGD 5000 per project)</w:t>
      </w:r>
      <w:r w:rsidR="00A620A6">
        <w:rPr>
          <w:rFonts w:ascii="Cambria" w:hAnsi="Cambria" w:cs="Times New Roman"/>
          <w:sz w:val="20"/>
          <w:szCs w:val="20"/>
        </w:rPr>
        <w:t xml:space="preserve">, with the end goal of producing a peer-reviewed manuscript. During my graduate days, I came to realize the </w:t>
      </w:r>
      <w:r w:rsidR="00A37A57">
        <w:rPr>
          <w:rFonts w:ascii="Cambria" w:hAnsi="Cambria" w:cs="Times New Roman"/>
          <w:sz w:val="20"/>
          <w:szCs w:val="20"/>
        </w:rPr>
        <w:t>advantage</w:t>
      </w:r>
      <w:r w:rsidR="00A620A6">
        <w:rPr>
          <w:rFonts w:ascii="Cambria" w:hAnsi="Cambria" w:cs="Times New Roman"/>
          <w:sz w:val="20"/>
          <w:szCs w:val="20"/>
        </w:rPr>
        <w:t xml:space="preserve"> of having one or more peer-reviewed manuscript(s) during the “fight” for scholarships. Furthermore, compared to the time I was a student in Singapore Polytechnic (from 1997 to 1999); community services, leadership positions in school clubs, and testimonials had become commonplace. Hence, I reckoned that the only edge I can afford my project group is peer-reviewed manuscript(s). </w:t>
      </w:r>
    </w:p>
    <w:p w:rsidR="00A620A6" w:rsidRDefault="00A620A6" w:rsidP="00206D36">
      <w:pPr>
        <w:spacing w:after="0" w:line="360" w:lineRule="auto"/>
        <w:jc w:val="both"/>
        <w:rPr>
          <w:rFonts w:ascii="Cambria" w:hAnsi="Cambria" w:cs="Times New Roman"/>
          <w:sz w:val="20"/>
          <w:szCs w:val="20"/>
        </w:rPr>
      </w:pPr>
    </w:p>
    <w:p w:rsidR="005201F8" w:rsidRDefault="00A620A6" w:rsidP="004008A4">
      <w:pPr>
        <w:spacing w:after="0" w:line="360" w:lineRule="auto"/>
        <w:jc w:val="both"/>
        <w:rPr>
          <w:rFonts w:ascii="Cambria" w:hAnsi="Cambria" w:cs="Times New Roman"/>
          <w:sz w:val="20"/>
          <w:szCs w:val="20"/>
        </w:rPr>
      </w:pPr>
      <w:r>
        <w:rPr>
          <w:rFonts w:ascii="Cambria" w:hAnsi="Cambria" w:cs="Times New Roman"/>
          <w:sz w:val="20"/>
          <w:szCs w:val="20"/>
        </w:rPr>
        <w:t xml:space="preserve">As I was mooting a FYP, I came across the work by Richard </w:t>
      </w:r>
      <w:proofErr w:type="spellStart"/>
      <w:r>
        <w:rPr>
          <w:rFonts w:ascii="Cambria" w:hAnsi="Cambria" w:cs="Times New Roman"/>
          <w:sz w:val="20"/>
          <w:szCs w:val="20"/>
        </w:rPr>
        <w:t>Lenski’s</w:t>
      </w:r>
      <w:proofErr w:type="spellEnd"/>
      <w:r>
        <w:rPr>
          <w:rFonts w:ascii="Cambria" w:hAnsi="Cambria" w:cs="Times New Roman"/>
          <w:sz w:val="20"/>
          <w:szCs w:val="20"/>
        </w:rPr>
        <w:t xml:space="preserve"> group at Michigan State University [77-80]. Their core protocol, which is bacterial sub-culturing, seems simple enough</w:t>
      </w:r>
      <w:r w:rsidR="004008A4">
        <w:rPr>
          <w:rFonts w:ascii="Cambria" w:hAnsi="Cambria" w:cs="Times New Roman"/>
          <w:sz w:val="20"/>
          <w:szCs w:val="20"/>
        </w:rPr>
        <w:t xml:space="preserve"> for diploma students; yet, complex enough to yield interesting insights. I thought of examining the adaptation of </w:t>
      </w:r>
      <w:r w:rsidR="004008A4" w:rsidRPr="005201F8">
        <w:rPr>
          <w:rFonts w:ascii="Cambria" w:hAnsi="Cambria" w:cs="Times New Roman"/>
          <w:i/>
          <w:sz w:val="20"/>
          <w:szCs w:val="20"/>
        </w:rPr>
        <w:t>E. coli</w:t>
      </w:r>
      <w:r w:rsidR="004E24D0">
        <w:rPr>
          <w:rFonts w:ascii="Cambria" w:hAnsi="Cambria" w:cs="Times New Roman"/>
          <w:sz w:val="20"/>
          <w:szCs w:val="20"/>
        </w:rPr>
        <w:t xml:space="preserve"> to food additives and I decided to use a sequenced strain, ATCC 8739, as the presence of sequenced genome is instrumental in the design of primers for DNA fingerprinting. </w:t>
      </w:r>
      <w:r w:rsidR="004008A4">
        <w:rPr>
          <w:rFonts w:ascii="Cambria" w:hAnsi="Cambria" w:cs="Times New Roman"/>
          <w:sz w:val="20"/>
          <w:szCs w:val="20"/>
        </w:rPr>
        <w:t xml:space="preserve">A study </w:t>
      </w:r>
      <w:r w:rsidR="004008A4" w:rsidRPr="004008A4">
        <w:rPr>
          <w:rFonts w:ascii="Cambria" w:hAnsi="Cambria" w:cs="Times New Roman"/>
          <w:sz w:val="20"/>
          <w:szCs w:val="20"/>
        </w:rPr>
        <w:t xml:space="preserve">treated pigs with ampicillin, a </w:t>
      </w:r>
      <w:r w:rsidR="004008A4">
        <w:rPr>
          <w:rFonts w:ascii="Cambria" w:hAnsi="Cambria" w:cs="Times New Roman"/>
          <w:sz w:val="20"/>
          <w:szCs w:val="20"/>
        </w:rPr>
        <w:t xml:space="preserve">common antibiotic, demonstrated </w:t>
      </w:r>
      <w:r w:rsidR="004008A4" w:rsidRPr="004008A4">
        <w:rPr>
          <w:rFonts w:ascii="Cambria" w:hAnsi="Cambria" w:cs="Times New Roman"/>
          <w:sz w:val="20"/>
          <w:szCs w:val="20"/>
        </w:rPr>
        <w:t>a significant increase in the occurrence of ampicillin</w:t>
      </w:r>
      <w:r w:rsidR="004008A4">
        <w:rPr>
          <w:rFonts w:ascii="Cambria" w:hAnsi="Cambria" w:cs="Times New Roman"/>
          <w:sz w:val="20"/>
          <w:szCs w:val="20"/>
        </w:rPr>
        <w:t xml:space="preserve">-resistant </w:t>
      </w:r>
      <w:r w:rsidR="004008A4" w:rsidRPr="005201F8">
        <w:rPr>
          <w:rFonts w:ascii="Cambria" w:hAnsi="Cambria" w:cs="Times New Roman"/>
          <w:i/>
          <w:sz w:val="20"/>
          <w:szCs w:val="20"/>
        </w:rPr>
        <w:t>E. coli</w:t>
      </w:r>
      <w:r w:rsidR="004008A4" w:rsidRPr="004008A4">
        <w:rPr>
          <w:rFonts w:ascii="Cambria" w:hAnsi="Cambria" w:cs="Times New Roman"/>
          <w:sz w:val="20"/>
          <w:szCs w:val="20"/>
        </w:rPr>
        <w:t xml:space="preserve"> from 6% to </w:t>
      </w:r>
      <w:r w:rsidR="004008A4">
        <w:rPr>
          <w:rFonts w:ascii="Cambria" w:hAnsi="Cambria" w:cs="Times New Roman"/>
          <w:sz w:val="20"/>
          <w:szCs w:val="20"/>
        </w:rPr>
        <w:t>more than 90% after 7 days [81] as incomplete intestinal may</w:t>
      </w:r>
      <w:r w:rsidR="004008A4" w:rsidRPr="004008A4">
        <w:rPr>
          <w:rFonts w:ascii="Cambria" w:hAnsi="Cambria" w:cs="Times New Roman"/>
          <w:sz w:val="20"/>
          <w:szCs w:val="20"/>
        </w:rPr>
        <w:t xml:space="preserve"> led to sub</w:t>
      </w:r>
      <w:r w:rsidR="004008A4">
        <w:rPr>
          <w:rFonts w:ascii="Cambria" w:hAnsi="Cambria" w:cs="Times New Roman"/>
          <w:sz w:val="20"/>
          <w:szCs w:val="20"/>
        </w:rPr>
        <w:t xml:space="preserve">-therapeutic </w:t>
      </w:r>
      <w:r w:rsidR="004008A4" w:rsidRPr="004008A4">
        <w:rPr>
          <w:rFonts w:ascii="Cambria" w:hAnsi="Cambria" w:cs="Times New Roman"/>
          <w:sz w:val="20"/>
          <w:szCs w:val="20"/>
        </w:rPr>
        <w:t xml:space="preserve">doses of antibiotics in the </w:t>
      </w:r>
      <w:proofErr w:type="spellStart"/>
      <w:r w:rsidR="004008A4" w:rsidRPr="004008A4">
        <w:rPr>
          <w:rFonts w:ascii="Cambria" w:hAnsi="Cambria" w:cs="Times New Roman"/>
          <w:sz w:val="20"/>
          <w:szCs w:val="20"/>
        </w:rPr>
        <w:t>fa</w:t>
      </w:r>
      <w:r w:rsidR="004008A4">
        <w:rPr>
          <w:rFonts w:ascii="Cambria" w:hAnsi="Cambria" w:cs="Times New Roman"/>
          <w:sz w:val="20"/>
          <w:szCs w:val="20"/>
        </w:rPr>
        <w:t>eces</w:t>
      </w:r>
      <w:proofErr w:type="spellEnd"/>
      <w:r w:rsidR="004008A4">
        <w:rPr>
          <w:rFonts w:ascii="Cambria" w:hAnsi="Cambria" w:cs="Times New Roman"/>
          <w:sz w:val="20"/>
          <w:szCs w:val="20"/>
        </w:rPr>
        <w:t xml:space="preserve">, </w:t>
      </w:r>
      <w:r w:rsidR="004008A4">
        <w:rPr>
          <w:rFonts w:ascii="Cambria" w:hAnsi="Cambria" w:cs="Times New Roman"/>
          <w:sz w:val="20"/>
          <w:szCs w:val="20"/>
        </w:rPr>
        <w:lastRenderedPageBreak/>
        <w:t xml:space="preserve">resulting in evolutionary </w:t>
      </w:r>
      <w:r w:rsidR="004008A4" w:rsidRPr="004008A4">
        <w:rPr>
          <w:rFonts w:ascii="Cambria" w:hAnsi="Cambria" w:cs="Times New Roman"/>
          <w:sz w:val="20"/>
          <w:szCs w:val="20"/>
        </w:rPr>
        <w:t>pressure for intestinal b</w:t>
      </w:r>
      <w:r w:rsidR="004008A4">
        <w:rPr>
          <w:rFonts w:ascii="Cambria" w:hAnsi="Cambria" w:cs="Times New Roman"/>
          <w:sz w:val="20"/>
          <w:szCs w:val="20"/>
        </w:rPr>
        <w:t xml:space="preserve">acteria such as </w:t>
      </w:r>
      <w:r w:rsidR="004008A4" w:rsidRPr="005201F8">
        <w:rPr>
          <w:rFonts w:ascii="Cambria" w:hAnsi="Cambria" w:cs="Times New Roman"/>
          <w:i/>
          <w:sz w:val="20"/>
          <w:szCs w:val="20"/>
        </w:rPr>
        <w:t>E. coli</w:t>
      </w:r>
      <w:r w:rsidR="004008A4">
        <w:rPr>
          <w:rFonts w:ascii="Cambria" w:hAnsi="Cambria" w:cs="Times New Roman"/>
          <w:sz w:val="20"/>
          <w:szCs w:val="20"/>
        </w:rPr>
        <w:t xml:space="preserve"> towards </w:t>
      </w:r>
      <w:r w:rsidR="004008A4" w:rsidRPr="004008A4">
        <w:rPr>
          <w:rFonts w:ascii="Cambria" w:hAnsi="Cambria" w:cs="Times New Roman"/>
          <w:sz w:val="20"/>
          <w:szCs w:val="20"/>
        </w:rPr>
        <w:t>antibiotic resistance [</w:t>
      </w:r>
      <w:r w:rsidR="004008A4">
        <w:rPr>
          <w:rFonts w:ascii="Cambria" w:hAnsi="Cambria" w:cs="Times New Roman"/>
          <w:sz w:val="20"/>
          <w:szCs w:val="20"/>
        </w:rPr>
        <w:t>82, 83</w:t>
      </w:r>
      <w:r w:rsidR="004008A4" w:rsidRPr="004008A4">
        <w:rPr>
          <w:rFonts w:ascii="Cambria" w:hAnsi="Cambria" w:cs="Times New Roman"/>
          <w:sz w:val="20"/>
          <w:szCs w:val="20"/>
        </w:rPr>
        <w:t>].</w:t>
      </w:r>
      <w:r w:rsidR="005201F8">
        <w:rPr>
          <w:rFonts w:ascii="Cambria" w:hAnsi="Cambria" w:cs="Times New Roman"/>
          <w:sz w:val="20"/>
          <w:szCs w:val="20"/>
        </w:rPr>
        <w:t xml:space="preserve"> I reckoned that the same may happen in the presence of food additives. </w:t>
      </w:r>
      <w:r w:rsidR="00D80BB6">
        <w:rPr>
          <w:rFonts w:ascii="Cambria" w:hAnsi="Cambria" w:cs="Times New Roman"/>
          <w:sz w:val="20"/>
          <w:szCs w:val="20"/>
        </w:rPr>
        <w:t xml:space="preserve">Three additives; sodium chloride (salt, common </w:t>
      </w:r>
      <w:proofErr w:type="spellStart"/>
      <w:r w:rsidR="00D80BB6">
        <w:rPr>
          <w:rFonts w:ascii="Cambria" w:hAnsi="Cambria" w:cs="Times New Roman"/>
          <w:sz w:val="20"/>
          <w:szCs w:val="20"/>
        </w:rPr>
        <w:t>flavouring</w:t>
      </w:r>
      <w:proofErr w:type="spellEnd"/>
      <w:r w:rsidR="00D80BB6">
        <w:rPr>
          <w:rFonts w:ascii="Cambria" w:hAnsi="Cambria" w:cs="Times New Roman"/>
          <w:sz w:val="20"/>
          <w:szCs w:val="20"/>
        </w:rPr>
        <w:t xml:space="preserve">), monosodium glutamate (MSG, common flavor enhancer), and benzoic acid (common preservative); each with 2 concentrations (high and low) were used. In addition, 3 low concentrations and 3 high concentrations were combined into a combined high </w:t>
      </w:r>
      <w:r w:rsidR="00A14803">
        <w:rPr>
          <w:rFonts w:ascii="Cambria" w:hAnsi="Cambria" w:cs="Times New Roman"/>
          <w:sz w:val="20"/>
          <w:szCs w:val="20"/>
        </w:rPr>
        <w:t xml:space="preserve">and low concentration treatments </w:t>
      </w:r>
      <w:r w:rsidR="00D80BB6">
        <w:rPr>
          <w:rFonts w:ascii="Cambria" w:hAnsi="Cambria" w:cs="Times New Roman"/>
          <w:sz w:val="20"/>
          <w:szCs w:val="20"/>
        </w:rPr>
        <w:t>were tested, giving a total of 8 treatments. Sub-culturing was performed 3 days a week on Monday, Wednesday, and Friday, where cell density readings were taken. At every 3</w:t>
      </w:r>
      <w:r w:rsidR="00D80BB6" w:rsidRPr="00D80BB6">
        <w:rPr>
          <w:rFonts w:ascii="Cambria" w:hAnsi="Cambria" w:cs="Times New Roman"/>
          <w:sz w:val="20"/>
          <w:szCs w:val="20"/>
          <w:vertAlign w:val="superscript"/>
        </w:rPr>
        <w:t>rd</w:t>
      </w:r>
      <w:r w:rsidR="00D80BB6">
        <w:rPr>
          <w:rFonts w:ascii="Cambria" w:hAnsi="Cambria" w:cs="Times New Roman"/>
          <w:sz w:val="20"/>
          <w:szCs w:val="20"/>
        </w:rPr>
        <w:t xml:space="preserve"> sub-culture, generation time </w:t>
      </w:r>
      <w:r w:rsidR="00A14803">
        <w:rPr>
          <w:rFonts w:ascii="Cambria" w:hAnsi="Cambria" w:cs="Times New Roman"/>
          <w:sz w:val="20"/>
          <w:szCs w:val="20"/>
        </w:rPr>
        <w:t>was</w:t>
      </w:r>
      <w:r w:rsidR="00D80BB6">
        <w:rPr>
          <w:rFonts w:ascii="Cambria" w:hAnsi="Cambria" w:cs="Times New Roman"/>
          <w:sz w:val="20"/>
          <w:szCs w:val="20"/>
        </w:rPr>
        <w:t xml:space="preserve"> measured. At every 5</w:t>
      </w:r>
      <w:r w:rsidR="00D80BB6" w:rsidRPr="00D80BB6">
        <w:rPr>
          <w:rFonts w:ascii="Cambria" w:hAnsi="Cambria" w:cs="Times New Roman"/>
          <w:sz w:val="20"/>
          <w:szCs w:val="20"/>
          <w:vertAlign w:val="superscript"/>
        </w:rPr>
        <w:t>th</w:t>
      </w:r>
      <w:r w:rsidR="00D80BB6">
        <w:rPr>
          <w:rFonts w:ascii="Cambria" w:hAnsi="Cambria" w:cs="Times New Roman"/>
          <w:sz w:val="20"/>
          <w:szCs w:val="20"/>
        </w:rPr>
        <w:t xml:space="preserve"> to 7</w:t>
      </w:r>
      <w:r w:rsidR="00D80BB6" w:rsidRPr="00D80BB6">
        <w:rPr>
          <w:rFonts w:ascii="Cambria" w:hAnsi="Cambria" w:cs="Times New Roman"/>
          <w:sz w:val="20"/>
          <w:szCs w:val="20"/>
          <w:vertAlign w:val="superscript"/>
        </w:rPr>
        <w:t>th</w:t>
      </w:r>
      <w:r w:rsidR="00D80BB6">
        <w:rPr>
          <w:rFonts w:ascii="Cambria" w:hAnsi="Cambria" w:cs="Times New Roman"/>
          <w:sz w:val="20"/>
          <w:szCs w:val="20"/>
        </w:rPr>
        <w:t xml:space="preserve"> sub-culture, cells from one culture were swapped to another culture and generation time was measured to estimate fitness in new environments after potential adaptation. At every 12</w:t>
      </w:r>
      <w:r w:rsidR="00D80BB6" w:rsidRPr="00D80BB6">
        <w:rPr>
          <w:rFonts w:ascii="Cambria" w:hAnsi="Cambria" w:cs="Times New Roman"/>
          <w:sz w:val="20"/>
          <w:szCs w:val="20"/>
          <w:vertAlign w:val="superscript"/>
        </w:rPr>
        <w:t>th</w:t>
      </w:r>
      <w:r w:rsidR="00D80BB6">
        <w:rPr>
          <w:rFonts w:ascii="Cambria" w:hAnsi="Cambria" w:cs="Times New Roman"/>
          <w:sz w:val="20"/>
          <w:szCs w:val="20"/>
        </w:rPr>
        <w:t xml:space="preserve"> sub-culture, DNA fingerprinting was carried out to give indication whether any observed phenotypical adaptations (evident by decreasing or increasing generation time) had a genetic basis. Hence, this project was experimentally simple but logistically and operationally demanding.</w:t>
      </w:r>
    </w:p>
    <w:p w:rsidR="003729CC" w:rsidRDefault="003729CC" w:rsidP="004008A4">
      <w:pPr>
        <w:spacing w:after="0" w:line="360" w:lineRule="auto"/>
        <w:jc w:val="both"/>
        <w:rPr>
          <w:rFonts w:ascii="Cambria" w:hAnsi="Cambria" w:cs="Times New Roman"/>
          <w:sz w:val="20"/>
          <w:szCs w:val="20"/>
        </w:rPr>
      </w:pPr>
    </w:p>
    <w:p w:rsidR="003729CC" w:rsidRDefault="003729CC" w:rsidP="004008A4">
      <w:pPr>
        <w:spacing w:after="0" w:line="360" w:lineRule="auto"/>
        <w:jc w:val="both"/>
        <w:rPr>
          <w:rFonts w:ascii="Cambria" w:hAnsi="Cambria" w:cs="Times New Roman"/>
          <w:sz w:val="20"/>
          <w:szCs w:val="20"/>
        </w:rPr>
      </w:pPr>
      <w:r>
        <w:rPr>
          <w:rFonts w:ascii="Cambria" w:hAnsi="Cambria" w:cs="Times New Roman"/>
          <w:sz w:val="20"/>
          <w:szCs w:val="20"/>
        </w:rPr>
        <w:t xml:space="preserve">This project was undertaken by CH Lee, JSH </w:t>
      </w:r>
      <w:proofErr w:type="spellStart"/>
      <w:r>
        <w:rPr>
          <w:rFonts w:ascii="Cambria" w:hAnsi="Cambria" w:cs="Times New Roman"/>
          <w:sz w:val="20"/>
          <w:szCs w:val="20"/>
        </w:rPr>
        <w:t>Oon</w:t>
      </w:r>
      <w:proofErr w:type="spellEnd"/>
      <w:r>
        <w:rPr>
          <w:rFonts w:ascii="Cambria" w:hAnsi="Cambria" w:cs="Times New Roman"/>
          <w:sz w:val="20"/>
          <w:szCs w:val="20"/>
        </w:rPr>
        <w:t>, and KC Lee. Their FYP was supposed to</w:t>
      </w:r>
      <w:r w:rsidR="00A37A57">
        <w:rPr>
          <w:rFonts w:ascii="Cambria" w:hAnsi="Cambria" w:cs="Times New Roman"/>
          <w:sz w:val="20"/>
          <w:szCs w:val="20"/>
        </w:rPr>
        <w:t xml:space="preserve"> start at the end of April 2009. </w:t>
      </w:r>
      <w:r>
        <w:rPr>
          <w:rFonts w:ascii="Cambria" w:hAnsi="Cambria" w:cs="Times New Roman"/>
          <w:sz w:val="20"/>
          <w:szCs w:val="20"/>
        </w:rPr>
        <w:t xml:space="preserve">Many experimental ideas; such as, using live-dead staining; were suggested </w:t>
      </w:r>
      <w:r w:rsidR="00A37A57">
        <w:rPr>
          <w:rFonts w:ascii="Cambria" w:hAnsi="Cambria" w:cs="Times New Roman"/>
          <w:sz w:val="20"/>
          <w:szCs w:val="20"/>
        </w:rPr>
        <w:t xml:space="preserve">during our initial discussion </w:t>
      </w:r>
      <w:r>
        <w:rPr>
          <w:rFonts w:ascii="Cambria" w:hAnsi="Cambria" w:cs="Times New Roman"/>
          <w:sz w:val="20"/>
          <w:szCs w:val="20"/>
        </w:rPr>
        <w:t>and each idea was subjected to cost-benefit analysis as experimental time can be of short supply.</w:t>
      </w:r>
      <w:r w:rsidR="00755598">
        <w:rPr>
          <w:rFonts w:ascii="Cambria" w:hAnsi="Cambria" w:cs="Times New Roman"/>
          <w:sz w:val="20"/>
          <w:szCs w:val="20"/>
        </w:rPr>
        <w:t xml:space="preserve"> Hence, the students had a good grasp of the project before the start of the experiment and despite so, some mistakes were made in the initial stages and the entire culture experiment had to be repeated. I felt that more mistakes, resulting in greater time loss, were likely if in depth discussion and thought p</w:t>
      </w:r>
      <w:r w:rsidR="00A37A57">
        <w:rPr>
          <w:rFonts w:ascii="Cambria" w:hAnsi="Cambria" w:cs="Times New Roman"/>
          <w:sz w:val="20"/>
          <w:szCs w:val="20"/>
        </w:rPr>
        <w:t>rocess had not been carried out adequately.</w:t>
      </w:r>
    </w:p>
    <w:p w:rsidR="005201F8" w:rsidRDefault="005201F8" w:rsidP="004008A4">
      <w:pPr>
        <w:spacing w:after="0" w:line="360" w:lineRule="auto"/>
        <w:jc w:val="both"/>
        <w:rPr>
          <w:rFonts w:ascii="Cambria" w:hAnsi="Cambria" w:cs="Times New Roman"/>
          <w:sz w:val="20"/>
          <w:szCs w:val="20"/>
        </w:rPr>
      </w:pPr>
    </w:p>
    <w:p w:rsidR="00A620A6" w:rsidRDefault="003341C1" w:rsidP="004008A4">
      <w:pPr>
        <w:spacing w:after="0" w:line="360" w:lineRule="auto"/>
        <w:jc w:val="both"/>
        <w:rPr>
          <w:rFonts w:ascii="Cambria" w:hAnsi="Cambria" w:cs="Times New Roman"/>
          <w:sz w:val="20"/>
          <w:szCs w:val="20"/>
        </w:rPr>
      </w:pPr>
      <w:r>
        <w:rPr>
          <w:rFonts w:ascii="Cambria" w:hAnsi="Cambria" w:cs="Times New Roman"/>
          <w:sz w:val="20"/>
          <w:szCs w:val="20"/>
        </w:rPr>
        <w:t xml:space="preserve">I spent a significant amount of my time with my project group, often </w:t>
      </w:r>
      <w:r w:rsidR="00A37A57">
        <w:rPr>
          <w:rFonts w:ascii="Cambria" w:hAnsi="Cambria" w:cs="Times New Roman"/>
          <w:sz w:val="20"/>
          <w:szCs w:val="20"/>
        </w:rPr>
        <w:t>having</w:t>
      </w:r>
      <w:r>
        <w:rPr>
          <w:rFonts w:ascii="Cambria" w:hAnsi="Cambria" w:cs="Times New Roman"/>
          <w:sz w:val="20"/>
          <w:szCs w:val="20"/>
        </w:rPr>
        <w:t xml:space="preserve"> lunch and dinner together. I am blessed with students who have the time availability (financially </w:t>
      </w:r>
      <w:r w:rsidR="00A37A57">
        <w:rPr>
          <w:rFonts w:ascii="Cambria" w:hAnsi="Cambria" w:cs="Times New Roman"/>
          <w:sz w:val="20"/>
          <w:szCs w:val="20"/>
        </w:rPr>
        <w:t>sound and not having</w:t>
      </w:r>
      <w:r>
        <w:rPr>
          <w:rFonts w:ascii="Cambria" w:hAnsi="Cambria" w:cs="Times New Roman"/>
          <w:sz w:val="20"/>
          <w:szCs w:val="20"/>
        </w:rPr>
        <w:t xml:space="preserve"> to work extensively to make ends meet) and enthusiasm to be willing to stay back after class to discuss their project, analyze the data, and write drafts after drafts of their report. I had the group start drafting their project report, starting from literature review, barely 3 months into their year</w:t>
      </w:r>
      <w:r w:rsidR="00DE6A80">
        <w:rPr>
          <w:rFonts w:ascii="Cambria" w:hAnsi="Cambria" w:cs="Times New Roman"/>
          <w:sz w:val="20"/>
          <w:szCs w:val="20"/>
        </w:rPr>
        <w:t xml:space="preserve">-long project. I had chased KC Lee for his draft for nearly a month when CH Lee and JSH </w:t>
      </w:r>
      <w:proofErr w:type="spellStart"/>
      <w:r w:rsidR="00DE6A80">
        <w:rPr>
          <w:rFonts w:ascii="Cambria" w:hAnsi="Cambria" w:cs="Times New Roman"/>
          <w:sz w:val="20"/>
          <w:szCs w:val="20"/>
        </w:rPr>
        <w:t>Oon</w:t>
      </w:r>
      <w:proofErr w:type="spellEnd"/>
      <w:r w:rsidR="00DE6A80">
        <w:rPr>
          <w:rFonts w:ascii="Cambria" w:hAnsi="Cambria" w:cs="Times New Roman"/>
          <w:sz w:val="20"/>
          <w:szCs w:val="20"/>
        </w:rPr>
        <w:t xml:space="preserve"> were onto their second or third draft. Eventually, KC Lee submitted his draft to me and to my </w:t>
      </w:r>
      <w:r w:rsidR="00A14803">
        <w:rPr>
          <w:rFonts w:ascii="Cambria" w:hAnsi="Cambria" w:cs="Times New Roman"/>
          <w:sz w:val="20"/>
          <w:szCs w:val="20"/>
        </w:rPr>
        <w:t>surprise;</w:t>
      </w:r>
      <w:r w:rsidR="00DE6A80">
        <w:rPr>
          <w:rFonts w:ascii="Cambria" w:hAnsi="Cambria" w:cs="Times New Roman"/>
          <w:sz w:val="20"/>
          <w:szCs w:val="20"/>
        </w:rPr>
        <w:t xml:space="preserve"> it was well-written and only required minor edits. I had seen KC Lee’s former laboratory reports before and the draft he gave me after more than a month was miles better. This project was tedious but i</w:t>
      </w:r>
      <w:r w:rsidR="00755598">
        <w:rPr>
          <w:rFonts w:ascii="Cambria" w:hAnsi="Cambria" w:cs="Times New Roman"/>
          <w:sz w:val="20"/>
          <w:szCs w:val="20"/>
        </w:rPr>
        <w:t xml:space="preserve">n the end, we found that </w:t>
      </w:r>
      <w:r w:rsidR="00755598" w:rsidRPr="00755598">
        <w:rPr>
          <w:rFonts w:ascii="Cambria" w:hAnsi="Cambria" w:cs="Times New Roman"/>
          <w:i/>
          <w:sz w:val="20"/>
          <w:szCs w:val="20"/>
        </w:rPr>
        <w:t>E. coli</w:t>
      </w:r>
      <w:r w:rsidR="00755598">
        <w:rPr>
          <w:rFonts w:ascii="Cambria" w:hAnsi="Cambria" w:cs="Times New Roman"/>
          <w:sz w:val="20"/>
          <w:szCs w:val="20"/>
        </w:rPr>
        <w:t xml:space="preserve"> can adapt to various additive media as generation time decreased over passages. However, our results suggest that the cells adapted to their specific media as swapping the media resulted in increased generation time. This is even for the case where cells in high concentration were swapped into low concentration of the same additive. DNA fingerprinting suggests mutations were involved in adaptation; yet, the fingerprints converged over passages </w:t>
      </w:r>
      <w:r w:rsidR="002D2DFB">
        <w:rPr>
          <w:rFonts w:ascii="Cambria" w:hAnsi="Cambria" w:cs="Times New Roman"/>
          <w:sz w:val="20"/>
          <w:szCs w:val="20"/>
        </w:rPr>
        <w:t>suggesting that there is a presence of g</w:t>
      </w:r>
      <w:r w:rsidR="005201F8">
        <w:rPr>
          <w:rFonts w:ascii="Cambria" w:hAnsi="Cambria" w:cs="Times New Roman"/>
          <w:sz w:val="20"/>
          <w:szCs w:val="20"/>
        </w:rPr>
        <w:t xml:space="preserve">lobal stress response </w:t>
      </w:r>
      <w:r w:rsidR="002D2DFB">
        <w:rPr>
          <w:rFonts w:ascii="Cambria" w:hAnsi="Cambria" w:cs="Times New Roman"/>
          <w:sz w:val="20"/>
          <w:szCs w:val="20"/>
        </w:rPr>
        <w:t xml:space="preserve">which had been suggested by previous studies </w:t>
      </w:r>
      <w:r w:rsidR="005201F8">
        <w:rPr>
          <w:rFonts w:ascii="Cambria" w:hAnsi="Cambria" w:cs="Times New Roman"/>
          <w:sz w:val="20"/>
          <w:szCs w:val="20"/>
        </w:rPr>
        <w:t>[84, 85].</w:t>
      </w:r>
      <w:r>
        <w:rPr>
          <w:rFonts w:ascii="Cambria" w:hAnsi="Cambria" w:cs="Times New Roman"/>
          <w:sz w:val="20"/>
          <w:szCs w:val="20"/>
        </w:rPr>
        <w:t xml:space="preserve"> The amount of</w:t>
      </w:r>
      <w:r w:rsidR="002D2DFB">
        <w:rPr>
          <w:rFonts w:ascii="Cambria" w:hAnsi="Cambria" w:cs="Times New Roman"/>
          <w:sz w:val="20"/>
          <w:szCs w:val="20"/>
        </w:rPr>
        <w:t xml:space="preserve"> work </w:t>
      </w:r>
      <w:r>
        <w:rPr>
          <w:rFonts w:ascii="Cambria" w:hAnsi="Cambria" w:cs="Times New Roman"/>
          <w:sz w:val="20"/>
          <w:szCs w:val="20"/>
        </w:rPr>
        <w:t xml:space="preserve">sustained over extended period </w:t>
      </w:r>
      <w:r w:rsidR="002D2DFB">
        <w:rPr>
          <w:rFonts w:ascii="Cambria" w:hAnsi="Cambria" w:cs="Times New Roman"/>
          <w:sz w:val="20"/>
          <w:szCs w:val="20"/>
        </w:rPr>
        <w:t>resulted in 2 peer-reviewed publications [46, 47]</w:t>
      </w:r>
      <w:r>
        <w:rPr>
          <w:rFonts w:ascii="Cambria" w:hAnsi="Cambria" w:cs="Times New Roman"/>
          <w:sz w:val="20"/>
          <w:szCs w:val="20"/>
        </w:rPr>
        <w:t xml:space="preserve"> from this project</w:t>
      </w:r>
      <w:r w:rsidR="002D2DFB">
        <w:rPr>
          <w:rFonts w:ascii="Cambria" w:hAnsi="Cambria" w:cs="Times New Roman"/>
          <w:sz w:val="20"/>
          <w:szCs w:val="20"/>
        </w:rPr>
        <w:t>.</w:t>
      </w:r>
    </w:p>
    <w:p w:rsidR="00165F4E" w:rsidRDefault="00165F4E" w:rsidP="004008A4">
      <w:pPr>
        <w:spacing w:after="0" w:line="360" w:lineRule="auto"/>
        <w:jc w:val="both"/>
        <w:rPr>
          <w:rFonts w:ascii="Cambria" w:hAnsi="Cambria" w:cs="Times New Roman"/>
          <w:sz w:val="20"/>
          <w:szCs w:val="20"/>
        </w:rPr>
      </w:pPr>
    </w:p>
    <w:p w:rsidR="00165F4E" w:rsidRDefault="00165F4E" w:rsidP="004008A4">
      <w:pPr>
        <w:spacing w:after="0" w:line="360" w:lineRule="auto"/>
        <w:jc w:val="both"/>
        <w:rPr>
          <w:rFonts w:ascii="Cambria" w:hAnsi="Cambria" w:cs="Times New Roman"/>
          <w:sz w:val="20"/>
          <w:szCs w:val="20"/>
        </w:rPr>
      </w:pPr>
      <w:r>
        <w:rPr>
          <w:rFonts w:ascii="Cambria" w:hAnsi="Cambria" w:cs="Times New Roman"/>
          <w:sz w:val="20"/>
          <w:szCs w:val="20"/>
        </w:rPr>
        <w:lastRenderedPageBreak/>
        <w:t xml:space="preserve">This project was continued for another academic year with a new group of students </w:t>
      </w:r>
      <w:r w:rsidR="006162C2">
        <w:rPr>
          <w:rFonts w:ascii="Cambria" w:hAnsi="Cambria" w:cs="Times New Roman"/>
          <w:sz w:val="20"/>
          <w:szCs w:val="20"/>
        </w:rPr>
        <w:t xml:space="preserve">– BZL Loo, ZQ Aw, and SXZ Low – extending the sub-culture from passage 70 to 150. </w:t>
      </w:r>
      <w:r w:rsidR="00CF0B29">
        <w:rPr>
          <w:rFonts w:ascii="Cambria" w:hAnsi="Cambria" w:cs="Times New Roman"/>
          <w:sz w:val="20"/>
          <w:szCs w:val="20"/>
        </w:rPr>
        <w:t xml:space="preserve">The transition was relatively easy as JSH </w:t>
      </w:r>
      <w:proofErr w:type="spellStart"/>
      <w:r w:rsidR="00CF0B29">
        <w:rPr>
          <w:rFonts w:ascii="Cambria" w:hAnsi="Cambria" w:cs="Times New Roman"/>
          <w:sz w:val="20"/>
          <w:szCs w:val="20"/>
        </w:rPr>
        <w:t>Oon</w:t>
      </w:r>
      <w:proofErr w:type="spellEnd"/>
      <w:r w:rsidR="00CF0B29">
        <w:rPr>
          <w:rFonts w:ascii="Cambria" w:hAnsi="Cambria" w:cs="Times New Roman"/>
          <w:sz w:val="20"/>
          <w:szCs w:val="20"/>
        </w:rPr>
        <w:t xml:space="preserve"> had kindly guided the new group before he was due for his mandatory national service and the protocol had been developed. In fact, BZL Loo, ZQ Aw, and SXZ Low continued the laboratory notebook that CH Lee, JSH </w:t>
      </w:r>
      <w:proofErr w:type="spellStart"/>
      <w:r w:rsidR="00CF0B29">
        <w:rPr>
          <w:rFonts w:ascii="Cambria" w:hAnsi="Cambria" w:cs="Times New Roman"/>
          <w:sz w:val="20"/>
          <w:szCs w:val="20"/>
        </w:rPr>
        <w:t>Oon</w:t>
      </w:r>
      <w:proofErr w:type="spellEnd"/>
      <w:r w:rsidR="00CF0B29">
        <w:rPr>
          <w:rFonts w:ascii="Cambria" w:hAnsi="Cambria" w:cs="Times New Roman"/>
          <w:sz w:val="20"/>
          <w:szCs w:val="20"/>
        </w:rPr>
        <w:t xml:space="preserve">, and KC Lee used; which enabled them to have a good sense of the data logging requirements. My personal guidance had been consistent – we had a formal meeting every Friday, when generation time were taken, where we discussed the progress of the project and resolve any issues faced. </w:t>
      </w:r>
      <w:r w:rsidR="00F3452A">
        <w:rPr>
          <w:rFonts w:ascii="Cambria" w:hAnsi="Cambria" w:cs="Times New Roman"/>
          <w:sz w:val="20"/>
          <w:szCs w:val="20"/>
        </w:rPr>
        <w:t xml:space="preserve">I recalled that I enjoyed the process of guiding the group to compare between their results and that of the previous group [47]. </w:t>
      </w:r>
      <w:r w:rsidR="00CF0B29">
        <w:rPr>
          <w:rFonts w:ascii="Cambria" w:hAnsi="Cambria" w:cs="Times New Roman"/>
          <w:sz w:val="20"/>
          <w:szCs w:val="20"/>
        </w:rPr>
        <w:t>This work resulted in a succeeding manuscript [50]</w:t>
      </w:r>
      <w:r w:rsidR="006162C2">
        <w:rPr>
          <w:rFonts w:ascii="Cambria" w:hAnsi="Cambria" w:cs="Times New Roman"/>
          <w:sz w:val="20"/>
          <w:szCs w:val="20"/>
        </w:rPr>
        <w:t xml:space="preserve"> where </w:t>
      </w:r>
      <w:r w:rsidR="00F3452A">
        <w:rPr>
          <w:rFonts w:ascii="Cambria" w:hAnsi="Cambria" w:cs="Times New Roman"/>
          <w:sz w:val="20"/>
          <w:szCs w:val="20"/>
        </w:rPr>
        <w:t>two</w:t>
      </w:r>
      <w:r w:rsidR="006162C2">
        <w:rPr>
          <w:rFonts w:ascii="Cambria" w:hAnsi="Cambria" w:cs="Times New Roman"/>
          <w:sz w:val="20"/>
          <w:szCs w:val="20"/>
        </w:rPr>
        <w:t xml:space="preserve"> interesting observations emerged. Firstly, the rates of adaptation (in terms of decline in generation time) were reduced compared to pre-70</w:t>
      </w:r>
      <w:r w:rsidR="006162C2" w:rsidRPr="006162C2">
        <w:rPr>
          <w:rFonts w:ascii="Cambria" w:hAnsi="Cambria" w:cs="Times New Roman"/>
          <w:sz w:val="20"/>
          <w:szCs w:val="20"/>
          <w:vertAlign w:val="superscript"/>
        </w:rPr>
        <w:t>th</w:t>
      </w:r>
      <w:r w:rsidR="006162C2">
        <w:rPr>
          <w:rFonts w:ascii="Cambria" w:hAnsi="Cambria" w:cs="Times New Roman"/>
          <w:sz w:val="20"/>
          <w:szCs w:val="20"/>
        </w:rPr>
        <w:t xml:space="preserve"> passage [47], suggesting that the adaptations were approaching plateau. </w:t>
      </w:r>
      <w:r w:rsidR="00F3452A">
        <w:rPr>
          <w:rFonts w:ascii="Cambria" w:hAnsi="Cambria" w:cs="Times New Roman"/>
          <w:sz w:val="20"/>
          <w:szCs w:val="20"/>
        </w:rPr>
        <w:t xml:space="preserve">I taught the group to estimate 95% confidence interval of their linear regression (decline in generation time across passages) using Jack-knife resampling. </w:t>
      </w:r>
      <w:r w:rsidR="006162C2">
        <w:rPr>
          <w:rFonts w:ascii="Cambria" w:hAnsi="Cambria" w:cs="Times New Roman"/>
          <w:sz w:val="20"/>
          <w:szCs w:val="20"/>
        </w:rPr>
        <w:t>Secondly, the cells adapted to different concentrations of the same chemical additives as though they were different additives rather than different concentrations of the same additives, suggesting possibility of adaptation into an ecological niche</w:t>
      </w:r>
      <w:r w:rsidR="00F3452A">
        <w:rPr>
          <w:rFonts w:ascii="Cambria" w:hAnsi="Cambria" w:cs="Times New Roman"/>
          <w:sz w:val="20"/>
          <w:szCs w:val="20"/>
        </w:rPr>
        <w:t xml:space="preserve"> (also known as ecological specialization)</w:t>
      </w:r>
      <w:r w:rsidR="006162C2">
        <w:rPr>
          <w:rFonts w:ascii="Cambria" w:hAnsi="Cambria" w:cs="Times New Roman"/>
          <w:sz w:val="20"/>
          <w:szCs w:val="20"/>
        </w:rPr>
        <w:t xml:space="preserve">. </w:t>
      </w:r>
      <w:r w:rsidR="00F3452A">
        <w:rPr>
          <w:rFonts w:ascii="Cambria" w:hAnsi="Cambria" w:cs="Times New Roman"/>
          <w:sz w:val="20"/>
          <w:szCs w:val="20"/>
        </w:rPr>
        <w:t xml:space="preserve">This was supported by DNA fingerprinting suggesting that the cells diverged genetically. </w:t>
      </w:r>
    </w:p>
    <w:p w:rsidR="00F3452A" w:rsidRDefault="00F3452A" w:rsidP="004008A4">
      <w:pPr>
        <w:spacing w:after="0" w:line="360" w:lineRule="auto"/>
        <w:jc w:val="both"/>
        <w:rPr>
          <w:rFonts w:ascii="Cambria" w:hAnsi="Cambria" w:cs="Times New Roman"/>
          <w:sz w:val="20"/>
          <w:szCs w:val="20"/>
        </w:rPr>
      </w:pPr>
    </w:p>
    <w:p w:rsidR="00F3452A" w:rsidRDefault="00F3452A" w:rsidP="004008A4">
      <w:pPr>
        <w:spacing w:after="0" w:line="360" w:lineRule="auto"/>
        <w:jc w:val="both"/>
        <w:rPr>
          <w:rFonts w:ascii="Cambria" w:hAnsi="Cambria" w:cs="Times New Roman"/>
          <w:sz w:val="20"/>
          <w:szCs w:val="20"/>
        </w:rPr>
      </w:pPr>
      <w:r>
        <w:rPr>
          <w:rFonts w:ascii="Cambria" w:hAnsi="Cambria" w:cs="Times New Roman"/>
          <w:sz w:val="20"/>
          <w:szCs w:val="20"/>
        </w:rPr>
        <w:t xml:space="preserve">Near to the end of BZL Loo, ZQ Aw, and SXZ Low’s FYP, I was wondering whether there will be any worth continuing this adaptation study as it was becoming obvious that the rate of interesting observations is likely to decrease. </w:t>
      </w:r>
      <w:r w:rsidR="007771D2">
        <w:rPr>
          <w:rFonts w:ascii="Cambria" w:hAnsi="Cambria" w:cs="Times New Roman"/>
          <w:sz w:val="20"/>
          <w:szCs w:val="20"/>
        </w:rPr>
        <w:t>I had also thought that should I carry on this project for the next academic year, I might look at loss of adaptation instead. However, t</w:t>
      </w:r>
      <w:r>
        <w:rPr>
          <w:rFonts w:ascii="Cambria" w:hAnsi="Cambria" w:cs="Times New Roman"/>
          <w:sz w:val="20"/>
          <w:szCs w:val="20"/>
        </w:rPr>
        <w:t>hat was the point of time that I left</w:t>
      </w:r>
      <w:r w:rsidR="00A87C61">
        <w:rPr>
          <w:rFonts w:ascii="Cambria" w:hAnsi="Cambria" w:cs="Times New Roman"/>
          <w:sz w:val="20"/>
          <w:szCs w:val="20"/>
        </w:rPr>
        <w:t xml:space="preserve"> the</w:t>
      </w:r>
      <w:r>
        <w:rPr>
          <w:rFonts w:ascii="Cambria" w:hAnsi="Cambria" w:cs="Times New Roman"/>
          <w:sz w:val="20"/>
          <w:szCs w:val="20"/>
        </w:rPr>
        <w:t xml:space="preserve"> Singapore Polytechnic.</w:t>
      </w:r>
    </w:p>
    <w:p w:rsidR="00204CAC" w:rsidRDefault="00204CAC" w:rsidP="004008A4">
      <w:pPr>
        <w:spacing w:after="0" w:line="360" w:lineRule="auto"/>
        <w:jc w:val="both"/>
        <w:rPr>
          <w:rFonts w:ascii="Cambria" w:hAnsi="Cambria" w:cs="Times New Roman"/>
          <w:sz w:val="20"/>
          <w:szCs w:val="20"/>
        </w:rPr>
      </w:pPr>
    </w:p>
    <w:p w:rsidR="00204CAC" w:rsidRDefault="00204CAC" w:rsidP="004008A4">
      <w:pPr>
        <w:spacing w:after="0" w:line="360" w:lineRule="auto"/>
        <w:jc w:val="both"/>
        <w:rPr>
          <w:rFonts w:ascii="Cambria" w:hAnsi="Cambria" w:cs="Times New Roman"/>
          <w:sz w:val="20"/>
          <w:szCs w:val="20"/>
        </w:rPr>
      </w:pPr>
      <w:r>
        <w:rPr>
          <w:rFonts w:ascii="Cambria" w:hAnsi="Cambria" w:cs="Times New Roman"/>
          <w:sz w:val="20"/>
          <w:szCs w:val="20"/>
        </w:rPr>
        <w:t xml:space="preserve">In addition, </w:t>
      </w:r>
      <w:r w:rsidR="008C535A">
        <w:rPr>
          <w:rFonts w:ascii="Cambria" w:hAnsi="Cambria" w:cs="Times New Roman"/>
          <w:sz w:val="20"/>
          <w:szCs w:val="20"/>
        </w:rPr>
        <w:t>two</w:t>
      </w:r>
      <w:r>
        <w:rPr>
          <w:rFonts w:ascii="Cambria" w:hAnsi="Cambria" w:cs="Times New Roman"/>
          <w:sz w:val="20"/>
          <w:szCs w:val="20"/>
        </w:rPr>
        <w:t xml:space="preserve"> side project</w:t>
      </w:r>
      <w:r w:rsidR="008C535A">
        <w:rPr>
          <w:rFonts w:ascii="Cambria" w:hAnsi="Cambria" w:cs="Times New Roman"/>
          <w:sz w:val="20"/>
          <w:szCs w:val="20"/>
        </w:rPr>
        <w:t>s</w:t>
      </w:r>
      <w:r>
        <w:rPr>
          <w:rFonts w:ascii="Cambria" w:hAnsi="Cambria" w:cs="Times New Roman"/>
          <w:sz w:val="20"/>
          <w:szCs w:val="20"/>
        </w:rPr>
        <w:t xml:space="preserve"> had emerged out of this adaptation project. As I was </w:t>
      </w:r>
      <w:r w:rsidR="00A87C61">
        <w:rPr>
          <w:rFonts w:ascii="Cambria" w:hAnsi="Cambria" w:cs="Times New Roman"/>
          <w:sz w:val="20"/>
          <w:szCs w:val="20"/>
        </w:rPr>
        <w:t>searching</w:t>
      </w:r>
      <w:r>
        <w:rPr>
          <w:rFonts w:ascii="Cambria" w:hAnsi="Cambria" w:cs="Times New Roman"/>
          <w:sz w:val="20"/>
          <w:szCs w:val="20"/>
        </w:rPr>
        <w:t xml:space="preserve"> for methods to measure genetic distance based on DNA fingerprinting, I came across a list of other potential distance measures and I had implemented most, if not all, of them into a Python module [86]. Subsequently, another student, ZE </w:t>
      </w:r>
      <w:proofErr w:type="spellStart"/>
      <w:r>
        <w:rPr>
          <w:rFonts w:ascii="Cambria" w:hAnsi="Cambria" w:cs="Times New Roman"/>
          <w:sz w:val="20"/>
          <w:szCs w:val="20"/>
        </w:rPr>
        <w:t>Chay</w:t>
      </w:r>
      <w:proofErr w:type="spellEnd"/>
      <w:r>
        <w:rPr>
          <w:rFonts w:ascii="Cambria" w:hAnsi="Cambria" w:cs="Times New Roman"/>
          <w:sz w:val="20"/>
          <w:szCs w:val="20"/>
        </w:rPr>
        <w:t xml:space="preserve"> (from the same batch as CH Lee), approached me indicating that he wanted to learn Python programming and work on something while waiting for his time for enlistment into national service</w:t>
      </w:r>
      <w:r w:rsidR="00A87C61">
        <w:rPr>
          <w:rFonts w:ascii="Cambria" w:hAnsi="Cambria" w:cs="Times New Roman"/>
          <w:sz w:val="20"/>
          <w:szCs w:val="20"/>
        </w:rPr>
        <w:t xml:space="preserve"> (mandatory conscription for all Singaporean males)</w:t>
      </w:r>
      <w:r>
        <w:rPr>
          <w:rFonts w:ascii="Cambria" w:hAnsi="Cambria" w:cs="Times New Roman"/>
          <w:sz w:val="20"/>
          <w:szCs w:val="20"/>
        </w:rPr>
        <w:t xml:space="preserve">. </w:t>
      </w:r>
      <w:r w:rsidR="005E4E01">
        <w:rPr>
          <w:rFonts w:ascii="Cambria" w:hAnsi="Cambria" w:cs="Times New Roman"/>
          <w:sz w:val="20"/>
          <w:szCs w:val="20"/>
        </w:rPr>
        <w:t xml:space="preserve">I got him to earn Python programming online and given my interests in statistics, his first project </w:t>
      </w:r>
      <w:r w:rsidR="00645ECD">
        <w:rPr>
          <w:rFonts w:ascii="Cambria" w:hAnsi="Cambria" w:cs="Times New Roman"/>
          <w:sz w:val="20"/>
          <w:szCs w:val="20"/>
        </w:rPr>
        <w:t xml:space="preserve">(a practice project) </w:t>
      </w:r>
      <w:r w:rsidR="005E4E01">
        <w:rPr>
          <w:rFonts w:ascii="Cambria" w:hAnsi="Cambria" w:cs="Times New Roman"/>
          <w:sz w:val="20"/>
          <w:szCs w:val="20"/>
        </w:rPr>
        <w:t xml:space="preserve">was to implement statistical testing routines in Python, which resulted in a code paper [48]. </w:t>
      </w:r>
      <w:r w:rsidR="00645ECD">
        <w:rPr>
          <w:rFonts w:ascii="Cambria" w:hAnsi="Cambria" w:cs="Times New Roman"/>
          <w:sz w:val="20"/>
          <w:szCs w:val="20"/>
        </w:rPr>
        <w:t xml:space="preserve">Upon gaining more confidence with Python programming, I got ZE </w:t>
      </w:r>
      <w:proofErr w:type="spellStart"/>
      <w:r w:rsidR="00645ECD">
        <w:rPr>
          <w:rFonts w:ascii="Cambria" w:hAnsi="Cambria" w:cs="Times New Roman"/>
          <w:sz w:val="20"/>
          <w:szCs w:val="20"/>
        </w:rPr>
        <w:t>Chay</w:t>
      </w:r>
      <w:proofErr w:type="spellEnd"/>
      <w:r w:rsidR="00645ECD">
        <w:rPr>
          <w:rFonts w:ascii="Cambria" w:hAnsi="Cambria" w:cs="Times New Roman"/>
          <w:sz w:val="20"/>
          <w:szCs w:val="20"/>
        </w:rPr>
        <w:t xml:space="preserve"> to examine 20 other distance measures for their applicability in DNA fingerprinting using the DNA fingerprinting data from CH Lee, JSH </w:t>
      </w:r>
      <w:proofErr w:type="spellStart"/>
      <w:r w:rsidR="00645ECD">
        <w:rPr>
          <w:rFonts w:ascii="Cambria" w:hAnsi="Cambria" w:cs="Times New Roman"/>
          <w:sz w:val="20"/>
          <w:szCs w:val="20"/>
        </w:rPr>
        <w:t>Oon</w:t>
      </w:r>
      <w:proofErr w:type="spellEnd"/>
      <w:r w:rsidR="00645ECD">
        <w:rPr>
          <w:rFonts w:ascii="Cambria" w:hAnsi="Cambria" w:cs="Times New Roman"/>
          <w:sz w:val="20"/>
          <w:szCs w:val="20"/>
        </w:rPr>
        <w:t xml:space="preserve">, and KC Lee’s FYP where </w:t>
      </w:r>
      <w:proofErr w:type="spellStart"/>
      <w:r w:rsidR="00645ECD">
        <w:rPr>
          <w:rFonts w:ascii="Cambria" w:hAnsi="Cambria" w:cs="Times New Roman"/>
          <w:sz w:val="20"/>
          <w:szCs w:val="20"/>
        </w:rPr>
        <w:t>Nei</w:t>
      </w:r>
      <w:proofErr w:type="spellEnd"/>
      <w:r w:rsidR="00645ECD">
        <w:rPr>
          <w:rFonts w:ascii="Cambria" w:hAnsi="Cambria" w:cs="Times New Roman"/>
          <w:sz w:val="20"/>
          <w:szCs w:val="20"/>
        </w:rPr>
        <w:t xml:space="preserve"> and Li’s distance measure [87] was used. </w:t>
      </w:r>
      <w:proofErr w:type="spellStart"/>
      <w:r w:rsidR="00645ECD">
        <w:rPr>
          <w:rFonts w:ascii="Cambria" w:hAnsi="Cambria" w:cs="Times New Roman"/>
          <w:sz w:val="20"/>
          <w:szCs w:val="20"/>
        </w:rPr>
        <w:t>Nei</w:t>
      </w:r>
      <w:proofErr w:type="spellEnd"/>
      <w:r w:rsidR="00645ECD">
        <w:rPr>
          <w:rFonts w:ascii="Cambria" w:hAnsi="Cambria" w:cs="Times New Roman"/>
          <w:sz w:val="20"/>
          <w:szCs w:val="20"/>
        </w:rPr>
        <w:t xml:space="preserve"> and Li’s distance [87] is identical to Dice’s distance [88]. We found that </w:t>
      </w:r>
      <w:r w:rsidR="00C53258">
        <w:rPr>
          <w:rFonts w:ascii="Cambria" w:hAnsi="Cambria" w:cs="Times New Roman"/>
          <w:sz w:val="20"/>
          <w:szCs w:val="20"/>
        </w:rPr>
        <w:t>certain distance measures; such as Simpson’s distance [89], have negligible correlation (r = 0.008) with Dice’s distance [88]; hence, not suitable as substitute for Dice’s distance [88]. Russel and Rao’s distance measure [90], on the other hand, is highly correlated (r = 0.998) with Dice’s distance [88]; thus, a suitable substitute for Dice’s distance [88]. A manuscript was published on these findings [49].</w:t>
      </w:r>
    </w:p>
    <w:p w:rsidR="008C535A" w:rsidRDefault="008C535A" w:rsidP="004008A4">
      <w:pPr>
        <w:spacing w:after="0" w:line="360" w:lineRule="auto"/>
        <w:jc w:val="both"/>
        <w:rPr>
          <w:rFonts w:ascii="Cambria" w:hAnsi="Cambria" w:cs="Times New Roman"/>
          <w:sz w:val="20"/>
          <w:szCs w:val="20"/>
        </w:rPr>
      </w:pPr>
    </w:p>
    <w:p w:rsidR="0007380F" w:rsidRDefault="008C535A" w:rsidP="004008A4">
      <w:pPr>
        <w:spacing w:after="0" w:line="360" w:lineRule="auto"/>
        <w:jc w:val="both"/>
        <w:rPr>
          <w:rFonts w:ascii="Cambria" w:hAnsi="Cambria" w:cs="Times New Roman"/>
          <w:sz w:val="20"/>
          <w:szCs w:val="20"/>
        </w:rPr>
      </w:pPr>
      <w:r>
        <w:rPr>
          <w:rFonts w:ascii="Cambria" w:hAnsi="Cambria" w:cs="Times New Roman"/>
          <w:sz w:val="20"/>
          <w:szCs w:val="20"/>
        </w:rPr>
        <w:t xml:space="preserve">Another side project originated at the early phases of the main adaptation project. </w:t>
      </w:r>
      <w:r w:rsidR="004E24D0">
        <w:rPr>
          <w:rFonts w:ascii="Cambria" w:hAnsi="Cambria" w:cs="Times New Roman"/>
          <w:sz w:val="20"/>
          <w:szCs w:val="20"/>
        </w:rPr>
        <w:t xml:space="preserve">One of the key “amazement” of </w:t>
      </w:r>
      <w:proofErr w:type="spellStart"/>
      <w:r w:rsidR="004E24D0">
        <w:rPr>
          <w:rFonts w:ascii="Cambria" w:hAnsi="Cambria" w:cs="Times New Roman"/>
          <w:sz w:val="20"/>
          <w:szCs w:val="20"/>
        </w:rPr>
        <w:t>Lenski’s</w:t>
      </w:r>
      <w:proofErr w:type="spellEnd"/>
      <w:r w:rsidR="004E24D0">
        <w:rPr>
          <w:rFonts w:ascii="Cambria" w:hAnsi="Cambria" w:cs="Times New Roman"/>
          <w:sz w:val="20"/>
          <w:szCs w:val="20"/>
        </w:rPr>
        <w:t xml:space="preserve"> long-term experimental evolution is the number of generations that </w:t>
      </w:r>
      <w:r w:rsidR="004E24D0" w:rsidRPr="004E24D0">
        <w:rPr>
          <w:rFonts w:ascii="Cambria" w:hAnsi="Cambria" w:cs="Times New Roman"/>
          <w:i/>
          <w:sz w:val="20"/>
          <w:szCs w:val="20"/>
        </w:rPr>
        <w:t>E. coli</w:t>
      </w:r>
      <w:r w:rsidR="004E24D0">
        <w:rPr>
          <w:rFonts w:ascii="Cambria" w:hAnsi="Cambria" w:cs="Times New Roman"/>
          <w:sz w:val="20"/>
          <w:szCs w:val="20"/>
        </w:rPr>
        <w:t xml:space="preserve"> had undergone [77-80] and measuring the number of generations is crucial for this very purpose. We used optical density as an indirect measure of cell density. However, </w:t>
      </w:r>
      <w:proofErr w:type="spellStart"/>
      <w:r w:rsidR="004E24D0" w:rsidRPr="004E24D0">
        <w:rPr>
          <w:rFonts w:ascii="Cambria" w:hAnsi="Cambria" w:cs="Times New Roman"/>
          <w:sz w:val="20"/>
          <w:szCs w:val="20"/>
        </w:rPr>
        <w:t>Sezonov</w:t>
      </w:r>
      <w:proofErr w:type="spellEnd"/>
      <w:r w:rsidR="004E24D0" w:rsidRPr="004E24D0">
        <w:rPr>
          <w:rFonts w:ascii="Cambria" w:hAnsi="Cambria" w:cs="Times New Roman"/>
          <w:sz w:val="20"/>
          <w:szCs w:val="20"/>
        </w:rPr>
        <w:t xml:space="preserve"> et al.</w:t>
      </w:r>
      <w:r w:rsidR="004E24D0">
        <w:rPr>
          <w:rFonts w:ascii="Cambria" w:hAnsi="Cambria" w:cs="Times New Roman"/>
          <w:sz w:val="20"/>
          <w:szCs w:val="20"/>
        </w:rPr>
        <w:t xml:space="preserve"> [91] </w:t>
      </w:r>
      <w:r w:rsidR="00E00387">
        <w:rPr>
          <w:rFonts w:ascii="Cambria" w:hAnsi="Cambria" w:cs="Times New Roman"/>
          <w:sz w:val="20"/>
          <w:szCs w:val="20"/>
        </w:rPr>
        <w:t xml:space="preserve">studied </w:t>
      </w:r>
      <w:r w:rsidR="00E00387" w:rsidRPr="00E00387">
        <w:rPr>
          <w:rFonts w:ascii="Cambria" w:hAnsi="Cambria" w:cs="Times New Roman"/>
          <w:i/>
          <w:sz w:val="20"/>
          <w:szCs w:val="20"/>
        </w:rPr>
        <w:t>E. coli</w:t>
      </w:r>
      <w:r w:rsidR="00E00387">
        <w:rPr>
          <w:rFonts w:ascii="Cambria" w:hAnsi="Cambria" w:cs="Times New Roman"/>
          <w:sz w:val="20"/>
          <w:szCs w:val="20"/>
        </w:rPr>
        <w:t xml:space="preserve"> K-12</w:t>
      </w:r>
      <w:r w:rsidR="00E00387" w:rsidRPr="00E00387">
        <w:rPr>
          <w:rFonts w:ascii="Cambria" w:hAnsi="Cambria" w:cs="Times New Roman"/>
          <w:sz w:val="20"/>
          <w:szCs w:val="20"/>
        </w:rPr>
        <w:t xml:space="preserve"> in Luria-</w:t>
      </w:r>
      <w:proofErr w:type="spellStart"/>
      <w:r w:rsidR="00E00387" w:rsidRPr="00E00387">
        <w:rPr>
          <w:rFonts w:ascii="Cambria" w:hAnsi="Cambria" w:cs="Times New Roman"/>
          <w:sz w:val="20"/>
          <w:szCs w:val="20"/>
        </w:rPr>
        <w:t>Bertani</w:t>
      </w:r>
      <w:proofErr w:type="spellEnd"/>
      <w:r w:rsidR="00E00387" w:rsidRPr="00E00387">
        <w:rPr>
          <w:rFonts w:ascii="Cambria" w:hAnsi="Cambria" w:cs="Times New Roman"/>
          <w:sz w:val="20"/>
          <w:szCs w:val="20"/>
        </w:rPr>
        <w:t xml:space="preserve"> broth (LB) and found that the average cell mass decreases after optical density (OD 600) more than 0.3. After which, a decreasing growth rate was observed, which the authors </w:t>
      </w:r>
      <w:r w:rsidR="00E00387">
        <w:rPr>
          <w:rFonts w:ascii="Cambria" w:hAnsi="Cambria" w:cs="Times New Roman"/>
          <w:sz w:val="20"/>
          <w:szCs w:val="20"/>
        </w:rPr>
        <w:t xml:space="preserve">[91] </w:t>
      </w:r>
      <w:r w:rsidR="00E00387" w:rsidRPr="00E00387">
        <w:rPr>
          <w:rFonts w:ascii="Cambria" w:hAnsi="Cambria" w:cs="Times New Roman"/>
          <w:sz w:val="20"/>
          <w:szCs w:val="20"/>
        </w:rPr>
        <w:t xml:space="preserve">attributed the depletion of fermentable sugars. However, LB is able to sustain extended periods of cell growth but at a slower growth rate due to the high availability of amino acids, which the cells could utilize as a carbon source. </w:t>
      </w:r>
      <w:r w:rsidR="00E00387">
        <w:rPr>
          <w:rFonts w:ascii="Cambria" w:hAnsi="Cambria" w:cs="Times New Roman"/>
          <w:sz w:val="20"/>
          <w:szCs w:val="20"/>
        </w:rPr>
        <w:t>This resulted in the need to correct for decreased cell size when optical density is used as proxy for measuring cell numbers, such as in this project. However, this raised two questions. Firstly, is depletion of sugars the cause of reduced cell growth in other common media; such as, nutrient broth</w:t>
      </w:r>
      <w:r w:rsidR="0035236A">
        <w:rPr>
          <w:rFonts w:ascii="Cambria" w:hAnsi="Cambria" w:cs="Times New Roman"/>
          <w:sz w:val="20"/>
          <w:szCs w:val="20"/>
        </w:rPr>
        <w:t xml:space="preserve"> (NB)</w:t>
      </w:r>
      <w:r w:rsidR="00E00387">
        <w:rPr>
          <w:rFonts w:ascii="Cambria" w:hAnsi="Cambria" w:cs="Times New Roman"/>
          <w:sz w:val="20"/>
          <w:szCs w:val="20"/>
        </w:rPr>
        <w:t xml:space="preserve">; which was used in this project? Secondly, if there is decreased cell mass at high optical density, is it possible to use DNA content as a proxy to estimate cell numbers? </w:t>
      </w:r>
    </w:p>
    <w:p w:rsidR="0007380F" w:rsidRDefault="0007380F" w:rsidP="004008A4">
      <w:pPr>
        <w:spacing w:after="0" w:line="360" w:lineRule="auto"/>
        <w:jc w:val="both"/>
        <w:rPr>
          <w:rFonts w:ascii="Cambria" w:hAnsi="Cambria" w:cs="Times New Roman"/>
          <w:sz w:val="20"/>
          <w:szCs w:val="20"/>
        </w:rPr>
      </w:pPr>
    </w:p>
    <w:p w:rsidR="008C535A" w:rsidRPr="00206D36" w:rsidRDefault="0035236A" w:rsidP="004008A4">
      <w:pPr>
        <w:spacing w:after="0" w:line="360" w:lineRule="auto"/>
        <w:jc w:val="both"/>
        <w:rPr>
          <w:rFonts w:ascii="Cambria" w:hAnsi="Cambria" w:cs="Times New Roman"/>
          <w:sz w:val="20"/>
          <w:szCs w:val="20"/>
        </w:rPr>
      </w:pPr>
      <w:r>
        <w:rPr>
          <w:rFonts w:ascii="Cambria" w:hAnsi="Cambria" w:cs="Times New Roman"/>
          <w:sz w:val="20"/>
          <w:szCs w:val="20"/>
        </w:rPr>
        <w:t>We performed media exhaustion experiment by repeated harvesting and re-inoculation of fresh cultures into LB, NB, and brain heart infusion (BHI), for 11 weeks and found that the sustainable cell counts (by spread plate counting) declined steadily to plateau by 8</w:t>
      </w:r>
      <w:r w:rsidRPr="0035236A">
        <w:rPr>
          <w:rFonts w:ascii="Cambria" w:hAnsi="Cambria" w:cs="Times New Roman"/>
          <w:sz w:val="20"/>
          <w:szCs w:val="20"/>
          <w:vertAlign w:val="superscript"/>
        </w:rPr>
        <w:t>th</w:t>
      </w:r>
      <w:r>
        <w:rPr>
          <w:rFonts w:ascii="Cambria" w:hAnsi="Cambria" w:cs="Times New Roman"/>
          <w:sz w:val="20"/>
          <w:szCs w:val="20"/>
        </w:rPr>
        <w:t xml:space="preserve"> week after peaking at 4</w:t>
      </w:r>
      <w:r w:rsidRPr="0035236A">
        <w:rPr>
          <w:rFonts w:ascii="Cambria" w:hAnsi="Cambria" w:cs="Times New Roman"/>
          <w:sz w:val="20"/>
          <w:szCs w:val="20"/>
          <w:vertAlign w:val="superscript"/>
        </w:rPr>
        <w:t>th</w:t>
      </w:r>
      <w:r>
        <w:rPr>
          <w:rFonts w:ascii="Cambria" w:hAnsi="Cambria" w:cs="Times New Roman"/>
          <w:sz w:val="20"/>
          <w:szCs w:val="20"/>
        </w:rPr>
        <w:t xml:space="preserve"> week. The pH of the media were neutral after 11 weeks (7.1 &lt; pH &lt;7.7). However, addition of glucose into LB, NB, or BHI rescued the media; thereby, confirming that lack of sugar is the major reason for growth decline [91].</w:t>
      </w:r>
      <w:r w:rsidR="00890B2F">
        <w:rPr>
          <w:rFonts w:ascii="Cambria" w:hAnsi="Cambria" w:cs="Times New Roman"/>
          <w:sz w:val="20"/>
          <w:szCs w:val="20"/>
        </w:rPr>
        <w:t xml:space="preserve"> We also found low correlations between optical density and viable plate counts (r</w:t>
      </w:r>
      <w:r w:rsidR="00890B2F" w:rsidRPr="00890B2F">
        <w:rPr>
          <w:rFonts w:ascii="Cambria" w:hAnsi="Cambria" w:cs="Times New Roman"/>
          <w:sz w:val="20"/>
          <w:szCs w:val="20"/>
          <w:vertAlign w:val="superscript"/>
        </w:rPr>
        <w:t>2</w:t>
      </w:r>
      <w:r w:rsidR="00890B2F">
        <w:rPr>
          <w:rFonts w:ascii="Cambria" w:hAnsi="Cambria" w:cs="Times New Roman"/>
          <w:sz w:val="20"/>
          <w:szCs w:val="20"/>
        </w:rPr>
        <w:t xml:space="preserve"> &lt; 0.2), suggesting </w:t>
      </w:r>
      <w:r w:rsidR="0007380F">
        <w:rPr>
          <w:rFonts w:ascii="Cambria" w:hAnsi="Cambria" w:cs="Times New Roman"/>
          <w:sz w:val="20"/>
          <w:szCs w:val="20"/>
        </w:rPr>
        <w:t xml:space="preserve">a change in cell size [91]. Using the genomic sequence of </w:t>
      </w:r>
      <w:r w:rsidR="0007380F" w:rsidRPr="0007380F">
        <w:rPr>
          <w:rFonts w:ascii="Cambria" w:hAnsi="Cambria" w:cs="Times New Roman"/>
          <w:i/>
          <w:sz w:val="20"/>
          <w:szCs w:val="20"/>
        </w:rPr>
        <w:t>E. coli</w:t>
      </w:r>
      <w:r w:rsidR="0007380F">
        <w:rPr>
          <w:rFonts w:ascii="Cambria" w:hAnsi="Cambria" w:cs="Times New Roman"/>
          <w:sz w:val="20"/>
          <w:szCs w:val="20"/>
        </w:rPr>
        <w:t xml:space="preserve"> ATCC 8739, the </w:t>
      </w:r>
      <w:r w:rsidR="0007380F" w:rsidRPr="0007380F">
        <w:rPr>
          <w:rFonts w:ascii="Cambria" w:hAnsi="Cambria" w:cs="Times New Roman"/>
          <w:sz w:val="20"/>
          <w:szCs w:val="20"/>
        </w:rPr>
        <w:t xml:space="preserve">genomic DNA content per million cells can be </w:t>
      </w:r>
      <w:r w:rsidR="00597922">
        <w:rPr>
          <w:rFonts w:ascii="Cambria" w:hAnsi="Cambria" w:cs="Times New Roman"/>
          <w:sz w:val="20"/>
          <w:szCs w:val="20"/>
        </w:rPr>
        <w:t>estimated at</w:t>
      </w:r>
      <w:r w:rsidR="0007380F" w:rsidRPr="0007380F">
        <w:rPr>
          <w:rFonts w:ascii="Cambria" w:hAnsi="Cambria" w:cs="Times New Roman"/>
          <w:sz w:val="20"/>
          <w:szCs w:val="20"/>
        </w:rPr>
        <w:t xml:space="preserve"> 515.35 nanograms (ng). By extracting g</w:t>
      </w:r>
      <w:r w:rsidR="0007380F">
        <w:rPr>
          <w:rFonts w:ascii="Cambria" w:hAnsi="Cambria" w:cs="Times New Roman"/>
          <w:sz w:val="20"/>
          <w:szCs w:val="20"/>
        </w:rPr>
        <w:t>enomic DNA from different aliqu</w:t>
      </w:r>
      <w:r w:rsidR="0007380F" w:rsidRPr="0007380F">
        <w:rPr>
          <w:rFonts w:ascii="Cambria" w:hAnsi="Cambria" w:cs="Times New Roman"/>
          <w:sz w:val="20"/>
          <w:szCs w:val="20"/>
        </w:rPr>
        <w:t xml:space="preserve">ots of cells with known cell density and </w:t>
      </w:r>
      <w:r w:rsidR="00597922">
        <w:rPr>
          <w:rFonts w:ascii="Cambria" w:hAnsi="Cambria" w:cs="Times New Roman"/>
          <w:sz w:val="20"/>
          <w:szCs w:val="20"/>
        </w:rPr>
        <w:t>quantifying the extracted DNA</w:t>
      </w:r>
      <w:r w:rsidR="0007380F" w:rsidRPr="0007380F">
        <w:rPr>
          <w:rFonts w:ascii="Cambria" w:hAnsi="Cambria" w:cs="Times New Roman"/>
          <w:sz w:val="20"/>
          <w:szCs w:val="20"/>
        </w:rPr>
        <w:t>, we extracted an a</w:t>
      </w:r>
      <w:r w:rsidR="00597922">
        <w:rPr>
          <w:rFonts w:ascii="Cambria" w:hAnsi="Cambria" w:cs="Times New Roman"/>
          <w:sz w:val="20"/>
          <w:szCs w:val="20"/>
        </w:rPr>
        <w:t>verage of 527 ng of genomic DNA</w:t>
      </w:r>
      <w:r w:rsidR="0007380F" w:rsidRPr="0007380F">
        <w:rPr>
          <w:rFonts w:ascii="Cambria" w:hAnsi="Cambria" w:cs="Times New Roman"/>
          <w:sz w:val="20"/>
          <w:szCs w:val="20"/>
        </w:rPr>
        <w:t xml:space="preserve"> per million cells, with a standard error of 10.605 ng, which is </w:t>
      </w:r>
      <w:r w:rsidR="00597922">
        <w:rPr>
          <w:rFonts w:ascii="Cambria" w:hAnsi="Cambria" w:cs="Times New Roman"/>
          <w:sz w:val="20"/>
          <w:szCs w:val="20"/>
        </w:rPr>
        <w:t>not significantly different from the estimated</w:t>
      </w:r>
      <w:r w:rsidR="0007380F" w:rsidRPr="0007380F">
        <w:rPr>
          <w:rFonts w:ascii="Cambria" w:hAnsi="Cambria" w:cs="Times New Roman"/>
          <w:sz w:val="20"/>
          <w:szCs w:val="20"/>
        </w:rPr>
        <w:t xml:space="preserve"> genomic DNA content.</w:t>
      </w:r>
      <w:r w:rsidR="0007380F">
        <w:rPr>
          <w:rFonts w:ascii="Cambria" w:hAnsi="Cambria" w:cs="Times New Roman"/>
          <w:sz w:val="20"/>
          <w:szCs w:val="20"/>
        </w:rPr>
        <w:t xml:space="preserve"> </w:t>
      </w:r>
      <w:r w:rsidR="00597922">
        <w:rPr>
          <w:rFonts w:ascii="Cambria" w:hAnsi="Cambria" w:cs="Times New Roman"/>
          <w:sz w:val="20"/>
          <w:szCs w:val="20"/>
        </w:rPr>
        <w:t>With</w:t>
      </w:r>
      <w:r w:rsidR="0007380F">
        <w:rPr>
          <w:rFonts w:ascii="Cambria" w:hAnsi="Cambria" w:cs="Times New Roman"/>
          <w:sz w:val="20"/>
          <w:szCs w:val="20"/>
        </w:rPr>
        <w:t xml:space="preserve"> the amount of extracted genomic DNA, we are able to estimate the number of cells and this is highly correlated (r</w:t>
      </w:r>
      <w:r w:rsidR="0007380F" w:rsidRPr="0007380F">
        <w:rPr>
          <w:rFonts w:ascii="Cambria" w:hAnsi="Cambria" w:cs="Times New Roman"/>
          <w:sz w:val="20"/>
          <w:szCs w:val="20"/>
          <w:vertAlign w:val="superscript"/>
        </w:rPr>
        <w:t>2</w:t>
      </w:r>
      <w:r w:rsidR="0007380F">
        <w:rPr>
          <w:rFonts w:ascii="Cambria" w:hAnsi="Cambria" w:cs="Times New Roman"/>
          <w:sz w:val="20"/>
          <w:szCs w:val="20"/>
        </w:rPr>
        <w:t xml:space="preserve"> = 0.93) to the results from viable plate count. Hence, we demonstrated that lack of sugars results in growth depletion in LB, NB, and BHI; and cell size changes at different cell densities; and DNA content can be a proxy to estimate cell numbers; thus, publishing a manuscript in the process [51].</w:t>
      </w:r>
      <w:r w:rsidR="008329B1">
        <w:rPr>
          <w:rFonts w:ascii="Cambria" w:hAnsi="Cambria" w:cs="Times New Roman"/>
          <w:sz w:val="20"/>
          <w:szCs w:val="20"/>
        </w:rPr>
        <w:t xml:space="preserve"> The attraction of this side project is the time contributed is minor compared to the amount of time contributed to the main project. </w:t>
      </w:r>
      <w:r w:rsidR="00A14803">
        <w:rPr>
          <w:rFonts w:ascii="Cambria" w:hAnsi="Cambria" w:cs="Times New Roman"/>
          <w:sz w:val="20"/>
          <w:szCs w:val="20"/>
        </w:rPr>
        <w:t>In fact, this was considered low priority project that we nearly dumped. Looking back, I am glad that we persisted on.</w:t>
      </w:r>
    </w:p>
    <w:p w:rsidR="004954F1" w:rsidRPr="004954F1" w:rsidRDefault="004954F1" w:rsidP="00B07E7C">
      <w:pPr>
        <w:spacing w:after="0" w:line="360" w:lineRule="auto"/>
        <w:jc w:val="both"/>
        <w:rPr>
          <w:rFonts w:asciiTheme="majorHAnsi" w:hAnsiTheme="majorHAnsi" w:cs="Times New Roman"/>
          <w:sz w:val="20"/>
          <w:szCs w:val="20"/>
        </w:rPr>
      </w:pPr>
    </w:p>
    <w:p w:rsidR="0030298A" w:rsidRPr="0030298A" w:rsidRDefault="00CD2D7E" w:rsidP="00B07E7C">
      <w:pPr>
        <w:pStyle w:val="ListParagraph"/>
        <w:numPr>
          <w:ilvl w:val="1"/>
          <w:numId w:val="1"/>
        </w:numPr>
        <w:spacing w:after="0" w:line="360" w:lineRule="auto"/>
        <w:ind w:left="720"/>
        <w:jc w:val="both"/>
        <w:rPr>
          <w:rFonts w:ascii="Cambria" w:hAnsi="Cambria" w:cs="Times New Roman"/>
          <w:b/>
          <w:sz w:val="20"/>
          <w:szCs w:val="20"/>
        </w:rPr>
      </w:pPr>
      <w:r>
        <w:rPr>
          <w:rFonts w:ascii="Cambria" w:hAnsi="Cambria" w:cs="Times New Roman"/>
          <w:b/>
          <w:sz w:val="20"/>
          <w:szCs w:val="20"/>
        </w:rPr>
        <w:t xml:space="preserve">Experimental Evolution: </w:t>
      </w:r>
      <w:proofErr w:type="spellStart"/>
      <w:r>
        <w:rPr>
          <w:rFonts w:ascii="Cambria" w:hAnsi="Cambria" w:cs="Times New Roman"/>
          <w:b/>
          <w:sz w:val="20"/>
          <w:szCs w:val="20"/>
        </w:rPr>
        <w:t>Halophilization</w:t>
      </w:r>
      <w:proofErr w:type="spellEnd"/>
    </w:p>
    <w:p w:rsidR="00DD4035" w:rsidRDefault="009A0F2A" w:rsidP="00B07E7C">
      <w:pPr>
        <w:spacing w:after="0" w:line="360" w:lineRule="auto"/>
        <w:jc w:val="both"/>
        <w:rPr>
          <w:rFonts w:ascii="Cambria" w:hAnsi="Cambria" w:cs="Times New Roman"/>
          <w:sz w:val="20"/>
          <w:szCs w:val="20"/>
        </w:rPr>
      </w:pPr>
      <w:r>
        <w:rPr>
          <w:rFonts w:ascii="Cambria" w:hAnsi="Cambria" w:cs="Times New Roman"/>
          <w:sz w:val="20"/>
          <w:szCs w:val="20"/>
        </w:rPr>
        <w:t xml:space="preserve">This project stemmed from the first food additive project by CH Lee et al. </w:t>
      </w:r>
      <w:r w:rsidR="00A14803">
        <w:rPr>
          <w:rFonts w:ascii="Cambria" w:hAnsi="Cambria" w:cs="Times New Roman"/>
          <w:sz w:val="20"/>
          <w:szCs w:val="20"/>
        </w:rPr>
        <w:t xml:space="preserve">At that point in time, I was quite certain that </w:t>
      </w:r>
      <w:r w:rsidR="00A14803" w:rsidRPr="00A14803">
        <w:rPr>
          <w:rFonts w:ascii="Cambria" w:hAnsi="Cambria" w:cs="Times New Roman"/>
          <w:i/>
          <w:sz w:val="20"/>
          <w:szCs w:val="20"/>
        </w:rPr>
        <w:t>E. coli</w:t>
      </w:r>
      <w:r w:rsidR="00A14803">
        <w:rPr>
          <w:rFonts w:ascii="Cambria" w:hAnsi="Cambria" w:cs="Times New Roman"/>
          <w:sz w:val="20"/>
          <w:szCs w:val="20"/>
        </w:rPr>
        <w:t xml:space="preserve"> is able to adapt to various environmental conditions should sufficient time be given. Hence, I was considering a FYP project to </w:t>
      </w:r>
      <w:r w:rsidR="00D101BF">
        <w:rPr>
          <w:rFonts w:ascii="Cambria" w:hAnsi="Cambria" w:cs="Times New Roman"/>
          <w:sz w:val="20"/>
          <w:szCs w:val="20"/>
        </w:rPr>
        <w:t xml:space="preserve">stress the cells. A few options were considered; including, increased </w:t>
      </w:r>
      <w:r w:rsidR="00D101BF">
        <w:rPr>
          <w:rFonts w:ascii="Cambria" w:hAnsi="Cambria" w:cs="Times New Roman"/>
          <w:sz w:val="20"/>
          <w:szCs w:val="20"/>
        </w:rPr>
        <w:lastRenderedPageBreak/>
        <w:t>temperature, reduced oxygen, and increased preservatives (such as, benzoic acid). However, all these ch</w:t>
      </w:r>
      <w:r w:rsidR="00A87C61">
        <w:rPr>
          <w:rFonts w:ascii="Cambria" w:hAnsi="Cambria" w:cs="Times New Roman"/>
          <w:sz w:val="20"/>
          <w:szCs w:val="20"/>
        </w:rPr>
        <w:t>oices were not feasible due to resource constraints</w:t>
      </w:r>
      <w:r w:rsidR="00D101BF">
        <w:rPr>
          <w:rFonts w:ascii="Cambria" w:hAnsi="Cambria" w:cs="Times New Roman"/>
          <w:sz w:val="20"/>
          <w:szCs w:val="20"/>
        </w:rPr>
        <w:t xml:space="preserve">. For example, the laboratory for running FYPs is also used as a teaching laboratory; hence, it is not possible for me secure an incubator at a constantly higher temperature, neither was reduced oxygen a feasible option. Increased benzoic acid seems feasible but my source of benzoic acid was a gift from my fellow faculty in food technology; hence, purchasing or requesting for more benzoic acid could be logistically challenging. </w:t>
      </w:r>
      <w:r w:rsidR="00FC6C5B">
        <w:rPr>
          <w:rFonts w:ascii="Cambria" w:hAnsi="Cambria" w:cs="Times New Roman"/>
          <w:sz w:val="20"/>
          <w:szCs w:val="20"/>
        </w:rPr>
        <w:t>The most feasible option appeared to be salt (sodium chloride</w:t>
      </w:r>
      <w:r w:rsidR="00AD2C80">
        <w:rPr>
          <w:rFonts w:ascii="Cambria" w:hAnsi="Cambria" w:cs="Times New Roman"/>
          <w:sz w:val="20"/>
          <w:szCs w:val="20"/>
        </w:rPr>
        <w:t xml:space="preserve">, </w:t>
      </w:r>
      <w:proofErr w:type="spellStart"/>
      <w:r w:rsidR="00AD2C80">
        <w:rPr>
          <w:rFonts w:ascii="Cambria" w:hAnsi="Cambria" w:cs="Times New Roman"/>
          <w:sz w:val="20"/>
          <w:szCs w:val="20"/>
        </w:rPr>
        <w:t>NaCl</w:t>
      </w:r>
      <w:proofErr w:type="spellEnd"/>
      <w:r w:rsidR="00FC6C5B">
        <w:rPr>
          <w:rFonts w:ascii="Cambria" w:hAnsi="Cambria" w:cs="Times New Roman"/>
          <w:sz w:val="20"/>
          <w:szCs w:val="20"/>
        </w:rPr>
        <w:t xml:space="preserve">) stress as sodium chloride is economically sustainable and is also a common food preservative. </w:t>
      </w:r>
      <w:r w:rsidR="00AD2C80">
        <w:rPr>
          <w:rFonts w:ascii="Cambria" w:hAnsi="Cambria" w:cs="Times New Roman"/>
          <w:sz w:val="20"/>
          <w:szCs w:val="20"/>
        </w:rPr>
        <w:t>Hence, this project is called “</w:t>
      </w:r>
      <w:proofErr w:type="spellStart"/>
      <w:r w:rsidR="00AD2C80">
        <w:rPr>
          <w:rFonts w:ascii="Cambria" w:hAnsi="Cambria" w:cs="Times New Roman"/>
          <w:sz w:val="20"/>
          <w:szCs w:val="20"/>
        </w:rPr>
        <w:t>halophilization</w:t>
      </w:r>
      <w:proofErr w:type="spellEnd"/>
      <w:r w:rsidR="00AD2C80">
        <w:rPr>
          <w:rFonts w:ascii="Cambria" w:hAnsi="Cambria" w:cs="Times New Roman"/>
          <w:sz w:val="20"/>
          <w:szCs w:val="20"/>
        </w:rPr>
        <w:t xml:space="preserve">”. The intention was gradual increase of salt concentration, from 1% </w:t>
      </w:r>
      <w:proofErr w:type="spellStart"/>
      <w:r w:rsidR="00AD2C80">
        <w:rPr>
          <w:rFonts w:ascii="Cambria" w:hAnsi="Cambria" w:cs="Times New Roman"/>
          <w:sz w:val="20"/>
          <w:szCs w:val="20"/>
        </w:rPr>
        <w:t>NaCl</w:t>
      </w:r>
      <w:proofErr w:type="spellEnd"/>
      <w:r w:rsidR="00AD2C80">
        <w:rPr>
          <w:rFonts w:ascii="Cambria" w:hAnsi="Cambria" w:cs="Times New Roman"/>
          <w:sz w:val="20"/>
          <w:szCs w:val="20"/>
        </w:rPr>
        <w:t xml:space="preserve"> (by CH Lee et al.), at the rate of about 1% per month. Initial work by </w:t>
      </w:r>
      <w:proofErr w:type="spellStart"/>
      <w:r w:rsidR="00AD2C80">
        <w:rPr>
          <w:rFonts w:ascii="Cambria" w:hAnsi="Cambria" w:cs="Times New Roman"/>
          <w:sz w:val="20"/>
          <w:szCs w:val="20"/>
        </w:rPr>
        <w:t>Doudoroff</w:t>
      </w:r>
      <w:proofErr w:type="spellEnd"/>
      <w:r w:rsidR="00AD2C80">
        <w:rPr>
          <w:rFonts w:ascii="Cambria" w:hAnsi="Cambria" w:cs="Times New Roman"/>
          <w:sz w:val="20"/>
          <w:szCs w:val="20"/>
        </w:rPr>
        <w:t xml:space="preserve"> [92] suggested that 7% </w:t>
      </w:r>
      <w:proofErr w:type="spellStart"/>
      <w:r w:rsidR="00AD2C80">
        <w:rPr>
          <w:rFonts w:ascii="Cambria" w:hAnsi="Cambria" w:cs="Times New Roman"/>
          <w:sz w:val="20"/>
          <w:szCs w:val="20"/>
        </w:rPr>
        <w:t>NaCl</w:t>
      </w:r>
      <w:proofErr w:type="spellEnd"/>
      <w:r w:rsidR="00FC6C5B">
        <w:rPr>
          <w:rFonts w:ascii="Cambria" w:hAnsi="Cambria" w:cs="Times New Roman"/>
          <w:sz w:val="20"/>
          <w:szCs w:val="20"/>
        </w:rPr>
        <w:t xml:space="preserve"> </w:t>
      </w:r>
      <w:r w:rsidR="00AD2C80">
        <w:rPr>
          <w:rFonts w:ascii="Cambria" w:hAnsi="Cambria" w:cs="Times New Roman"/>
          <w:sz w:val="20"/>
          <w:szCs w:val="20"/>
        </w:rPr>
        <w:t>is bacteriostatic.</w:t>
      </w:r>
      <w:r w:rsidR="00DD4035">
        <w:rPr>
          <w:rFonts w:ascii="Cambria" w:hAnsi="Cambria" w:cs="Times New Roman"/>
          <w:sz w:val="20"/>
          <w:szCs w:val="20"/>
        </w:rPr>
        <w:t xml:space="preserve"> </w:t>
      </w:r>
    </w:p>
    <w:p w:rsidR="00DD4035" w:rsidRDefault="00DD4035" w:rsidP="00B07E7C">
      <w:pPr>
        <w:spacing w:after="0" w:line="360" w:lineRule="auto"/>
        <w:jc w:val="both"/>
        <w:rPr>
          <w:rFonts w:ascii="Cambria" w:hAnsi="Cambria" w:cs="Times New Roman"/>
          <w:sz w:val="20"/>
          <w:szCs w:val="20"/>
        </w:rPr>
      </w:pPr>
    </w:p>
    <w:p w:rsidR="003A796B" w:rsidRDefault="00DD4035" w:rsidP="00B07E7C">
      <w:pPr>
        <w:spacing w:after="0" w:line="360" w:lineRule="auto"/>
        <w:jc w:val="both"/>
        <w:rPr>
          <w:rFonts w:ascii="Cambria" w:hAnsi="Cambria" w:cs="Times New Roman"/>
          <w:sz w:val="20"/>
          <w:szCs w:val="20"/>
        </w:rPr>
      </w:pPr>
      <w:r>
        <w:rPr>
          <w:rFonts w:ascii="Cambria" w:hAnsi="Cambria" w:cs="Times New Roman"/>
          <w:sz w:val="20"/>
          <w:szCs w:val="20"/>
        </w:rPr>
        <w:t xml:space="preserve">I recalled discussing this project with CH Lee, JSH </w:t>
      </w:r>
      <w:proofErr w:type="spellStart"/>
      <w:r>
        <w:rPr>
          <w:rFonts w:ascii="Cambria" w:hAnsi="Cambria" w:cs="Times New Roman"/>
          <w:sz w:val="20"/>
          <w:szCs w:val="20"/>
        </w:rPr>
        <w:t>Oon</w:t>
      </w:r>
      <w:proofErr w:type="spellEnd"/>
      <w:r>
        <w:rPr>
          <w:rFonts w:ascii="Cambria" w:hAnsi="Cambria" w:cs="Times New Roman"/>
          <w:sz w:val="20"/>
          <w:szCs w:val="20"/>
        </w:rPr>
        <w:t xml:space="preserve">, and KC Lee, and the response was positive. JSH </w:t>
      </w:r>
      <w:proofErr w:type="spellStart"/>
      <w:r>
        <w:rPr>
          <w:rFonts w:ascii="Cambria" w:hAnsi="Cambria" w:cs="Times New Roman"/>
          <w:sz w:val="20"/>
          <w:szCs w:val="20"/>
        </w:rPr>
        <w:t>Oon</w:t>
      </w:r>
      <w:proofErr w:type="spellEnd"/>
      <w:r>
        <w:rPr>
          <w:rFonts w:ascii="Cambria" w:hAnsi="Cambria" w:cs="Times New Roman"/>
          <w:sz w:val="20"/>
          <w:szCs w:val="20"/>
        </w:rPr>
        <w:t xml:space="preserve"> was interested to kick start this project and another graduating diploma student, WC Ng (JSH </w:t>
      </w:r>
      <w:proofErr w:type="spellStart"/>
      <w:r>
        <w:rPr>
          <w:rFonts w:ascii="Cambria" w:hAnsi="Cambria" w:cs="Times New Roman"/>
          <w:sz w:val="20"/>
          <w:szCs w:val="20"/>
        </w:rPr>
        <w:t>Oon’s</w:t>
      </w:r>
      <w:proofErr w:type="spellEnd"/>
      <w:r>
        <w:rPr>
          <w:rFonts w:ascii="Cambria" w:hAnsi="Cambria" w:cs="Times New Roman"/>
          <w:sz w:val="20"/>
          <w:szCs w:val="20"/>
        </w:rPr>
        <w:t xml:space="preserve"> classmate), was interested to work on something while waiting for national service. At that time, the school hosted several interns from Assumption University, </w:t>
      </w:r>
      <w:r w:rsidRPr="00A14803">
        <w:rPr>
          <w:rFonts w:ascii="Cambria" w:hAnsi="Cambria" w:cs="Times New Roman"/>
          <w:sz w:val="20"/>
          <w:szCs w:val="20"/>
        </w:rPr>
        <w:t>Thailand</w:t>
      </w:r>
      <w:r>
        <w:rPr>
          <w:rFonts w:ascii="Cambria" w:hAnsi="Cambria" w:cs="Times New Roman"/>
          <w:sz w:val="20"/>
          <w:szCs w:val="20"/>
        </w:rPr>
        <w:t xml:space="preserve">, and I was privileged to have 3 interns attached to me </w:t>
      </w:r>
      <w:r w:rsidR="003A796B">
        <w:rPr>
          <w:rFonts w:ascii="Cambria" w:hAnsi="Cambria" w:cs="Times New Roman"/>
          <w:sz w:val="20"/>
          <w:szCs w:val="20"/>
        </w:rPr>
        <w:t xml:space="preserve">for about 10 weeks – G. </w:t>
      </w:r>
      <w:proofErr w:type="spellStart"/>
      <w:r w:rsidR="00A14803">
        <w:rPr>
          <w:rFonts w:ascii="Cambria" w:hAnsi="Cambria" w:cs="Times New Roman"/>
          <w:sz w:val="20"/>
          <w:szCs w:val="20"/>
        </w:rPr>
        <w:t>Pairoh</w:t>
      </w:r>
      <w:proofErr w:type="spellEnd"/>
      <w:r w:rsidR="00A14803">
        <w:rPr>
          <w:rFonts w:ascii="Cambria" w:hAnsi="Cambria" w:cs="Times New Roman"/>
          <w:sz w:val="20"/>
          <w:szCs w:val="20"/>
        </w:rPr>
        <w:t xml:space="preserve">, S.  </w:t>
      </w:r>
      <w:proofErr w:type="spellStart"/>
      <w:r w:rsidR="00A14803">
        <w:rPr>
          <w:rFonts w:ascii="Cambria" w:hAnsi="Cambria" w:cs="Times New Roman"/>
          <w:sz w:val="20"/>
          <w:szCs w:val="20"/>
        </w:rPr>
        <w:t>Charoenlustavee</w:t>
      </w:r>
      <w:proofErr w:type="spellEnd"/>
      <w:r w:rsidR="00A14803">
        <w:rPr>
          <w:rFonts w:ascii="Cambria" w:hAnsi="Cambria" w:cs="Times New Roman"/>
          <w:sz w:val="20"/>
          <w:szCs w:val="20"/>
        </w:rPr>
        <w:t xml:space="preserve">, and N.  </w:t>
      </w:r>
      <w:proofErr w:type="spellStart"/>
      <w:r w:rsidR="00A14803">
        <w:rPr>
          <w:rFonts w:ascii="Cambria" w:hAnsi="Cambria" w:cs="Times New Roman"/>
          <w:sz w:val="20"/>
          <w:szCs w:val="20"/>
        </w:rPr>
        <w:t>To</w:t>
      </w:r>
      <w:r>
        <w:rPr>
          <w:rFonts w:ascii="Cambria" w:hAnsi="Cambria" w:cs="Times New Roman"/>
          <w:sz w:val="20"/>
          <w:szCs w:val="20"/>
        </w:rPr>
        <w:t>ngpradith</w:t>
      </w:r>
      <w:proofErr w:type="spellEnd"/>
      <w:r>
        <w:rPr>
          <w:rFonts w:ascii="Cambria" w:hAnsi="Cambria" w:cs="Times New Roman"/>
          <w:sz w:val="20"/>
          <w:szCs w:val="20"/>
        </w:rPr>
        <w:t xml:space="preserve">. </w:t>
      </w:r>
      <w:r w:rsidR="00074A7F">
        <w:rPr>
          <w:rFonts w:ascii="Cambria" w:hAnsi="Cambria" w:cs="Times New Roman"/>
          <w:sz w:val="20"/>
          <w:szCs w:val="20"/>
        </w:rPr>
        <w:t xml:space="preserve">I decided to carry out 4 </w:t>
      </w:r>
      <w:proofErr w:type="spellStart"/>
      <w:r w:rsidR="00074A7F">
        <w:rPr>
          <w:rFonts w:ascii="Cambria" w:hAnsi="Cambria" w:cs="Times New Roman"/>
          <w:sz w:val="20"/>
          <w:szCs w:val="20"/>
        </w:rPr>
        <w:t>halophilization</w:t>
      </w:r>
      <w:proofErr w:type="spellEnd"/>
      <w:r w:rsidR="00074A7F">
        <w:rPr>
          <w:rFonts w:ascii="Cambria" w:hAnsi="Cambria" w:cs="Times New Roman"/>
          <w:sz w:val="20"/>
          <w:szCs w:val="20"/>
        </w:rPr>
        <w:t xml:space="preserve"> replicates in parallel, which proved to be instrumental in one of our findings. </w:t>
      </w:r>
      <w:r>
        <w:rPr>
          <w:rFonts w:ascii="Cambria" w:hAnsi="Cambria" w:cs="Times New Roman"/>
          <w:sz w:val="20"/>
          <w:szCs w:val="20"/>
        </w:rPr>
        <w:t xml:space="preserve">Together, we started this project. </w:t>
      </w:r>
      <w:r w:rsidR="003A796B">
        <w:rPr>
          <w:rFonts w:ascii="Cambria" w:hAnsi="Cambria" w:cs="Times New Roman"/>
          <w:sz w:val="20"/>
          <w:szCs w:val="20"/>
        </w:rPr>
        <w:t xml:space="preserve">This project was eventually undertaken </w:t>
      </w:r>
      <w:r w:rsidR="00074A7F">
        <w:rPr>
          <w:rFonts w:ascii="Cambria" w:hAnsi="Cambria" w:cs="Times New Roman"/>
          <w:sz w:val="20"/>
          <w:szCs w:val="20"/>
        </w:rPr>
        <w:t xml:space="preserve">by JZR Lim, JA How, and DJW Goh; whom were cohort mates of ZQ Aw, SXZ Low, and BZL Loo of the second adaptation project. At the point in time when this project was started, DJW Goh was doing his internship in the same laboratory under another lecturer; hence, witnessed the initiation of this </w:t>
      </w:r>
      <w:proofErr w:type="spellStart"/>
      <w:r w:rsidR="00074A7F">
        <w:rPr>
          <w:rFonts w:ascii="Cambria" w:hAnsi="Cambria" w:cs="Times New Roman"/>
          <w:sz w:val="20"/>
          <w:szCs w:val="20"/>
        </w:rPr>
        <w:t>halophilization</w:t>
      </w:r>
      <w:proofErr w:type="spellEnd"/>
      <w:r w:rsidR="00074A7F">
        <w:rPr>
          <w:rFonts w:ascii="Cambria" w:hAnsi="Cambria" w:cs="Times New Roman"/>
          <w:sz w:val="20"/>
          <w:szCs w:val="20"/>
        </w:rPr>
        <w:t xml:space="preserve"> project. JZR Lim recounted their thought process and their choice to consider this project for their FYP:</w:t>
      </w:r>
    </w:p>
    <w:p w:rsidR="003A796B" w:rsidRPr="003A796B" w:rsidRDefault="003A796B" w:rsidP="003A796B">
      <w:pPr>
        <w:spacing w:after="0" w:line="360" w:lineRule="auto"/>
        <w:ind w:left="426" w:right="571"/>
        <w:jc w:val="both"/>
        <w:rPr>
          <w:rFonts w:ascii="Cambria" w:hAnsi="Cambria" w:cs="Times New Roman"/>
          <w:i/>
          <w:sz w:val="20"/>
          <w:szCs w:val="20"/>
        </w:rPr>
      </w:pPr>
      <w:r>
        <w:rPr>
          <w:rFonts w:ascii="Cambria" w:hAnsi="Cambria" w:cs="Times New Roman"/>
          <w:sz w:val="20"/>
          <w:szCs w:val="20"/>
        </w:rPr>
        <w:t>“</w:t>
      </w:r>
      <w:r w:rsidRPr="003A796B">
        <w:rPr>
          <w:rFonts w:ascii="Cambria" w:hAnsi="Cambria" w:cs="Times New Roman"/>
          <w:i/>
          <w:sz w:val="20"/>
          <w:szCs w:val="20"/>
        </w:rPr>
        <w:t xml:space="preserve">I only had one consideration approaching FYP which may come across as single minded, but I had the strong belief that the project never really mattered so much as the supervisor I was working with. This could be attributed in a small way towards my disinterest towards sciences or inability to differentiate the bigger picture of the topics given, but for me </w:t>
      </w:r>
      <w:r>
        <w:rPr>
          <w:rFonts w:ascii="Cambria" w:hAnsi="Cambria" w:cs="Times New Roman"/>
          <w:i/>
          <w:sz w:val="20"/>
          <w:szCs w:val="20"/>
        </w:rPr>
        <w:t>the reality was this was a long-</w:t>
      </w:r>
      <w:r w:rsidRPr="003A796B">
        <w:rPr>
          <w:rFonts w:ascii="Cambria" w:hAnsi="Cambria" w:cs="Times New Roman"/>
          <w:i/>
          <w:sz w:val="20"/>
          <w:szCs w:val="20"/>
        </w:rPr>
        <w:t>term project that would push and pull individuals within a group, thus the strongest bond we have should not be the interest towards the given topic but the relationship with the project supervisor. (Interest in a subject would not in any way insulate from poor working relationships with group members or supervisors). The best project handled by the most inept fool would amount to nothing, was what I believe I said to them. I viewed the project in terms of concentric circles of relationships, with the group within the core circle of trust and the supervisor as someone who should be brought into this circle to work with collaboratively.</w:t>
      </w:r>
    </w:p>
    <w:p w:rsidR="003A796B" w:rsidRPr="003A796B" w:rsidRDefault="003A796B" w:rsidP="003A796B">
      <w:pPr>
        <w:spacing w:after="0" w:line="360" w:lineRule="auto"/>
        <w:ind w:left="426" w:right="571"/>
        <w:jc w:val="both"/>
        <w:rPr>
          <w:rFonts w:ascii="Cambria" w:hAnsi="Cambria" w:cs="Times New Roman"/>
          <w:i/>
          <w:sz w:val="20"/>
          <w:szCs w:val="20"/>
        </w:rPr>
      </w:pPr>
      <w:r w:rsidRPr="003A796B">
        <w:rPr>
          <w:rFonts w:ascii="Cambria" w:hAnsi="Cambria" w:cs="Times New Roman"/>
          <w:i/>
          <w:sz w:val="20"/>
          <w:szCs w:val="20"/>
        </w:rPr>
        <w:t xml:space="preserve"> </w:t>
      </w:r>
    </w:p>
    <w:p w:rsidR="003A796B" w:rsidRPr="003A796B" w:rsidRDefault="003A796B" w:rsidP="003A796B">
      <w:pPr>
        <w:spacing w:after="0" w:line="360" w:lineRule="auto"/>
        <w:ind w:left="426" w:right="571"/>
        <w:jc w:val="both"/>
        <w:rPr>
          <w:rFonts w:ascii="Cambria" w:hAnsi="Cambria" w:cs="Times New Roman"/>
          <w:i/>
          <w:sz w:val="20"/>
          <w:szCs w:val="20"/>
        </w:rPr>
      </w:pPr>
      <w:r w:rsidRPr="003A796B">
        <w:rPr>
          <w:rFonts w:ascii="Cambria" w:hAnsi="Cambria" w:cs="Times New Roman"/>
          <w:i/>
          <w:sz w:val="20"/>
          <w:szCs w:val="20"/>
        </w:rPr>
        <w:t xml:space="preserve">The shortlist ultimately was between </w:t>
      </w:r>
      <w:proofErr w:type="spellStart"/>
      <w:r w:rsidRPr="003A796B">
        <w:rPr>
          <w:rFonts w:ascii="Cambria" w:hAnsi="Cambria" w:cs="Times New Roman"/>
          <w:i/>
          <w:sz w:val="20"/>
          <w:szCs w:val="20"/>
        </w:rPr>
        <w:t>Mr</w:t>
      </w:r>
      <w:proofErr w:type="spellEnd"/>
      <w:r w:rsidRPr="003A796B">
        <w:rPr>
          <w:rFonts w:ascii="Cambria" w:hAnsi="Cambria" w:cs="Times New Roman"/>
          <w:i/>
          <w:sz w:val="20"/>
          <w:szCs w:val="20"/>
        </w:rPr>
        <w:t xml:space="preserve"> Goh and </w:t>
      </w:r>
      <w:proofErr w:type="spellStart"/>
      <w:r w:rsidRPr="003A796B">
        <w:rPr>
          <w:rFonts w:ascii="Cambria" w:hAnsi="Cambria" w:cs="Times New Roman"/>
          <w:i/>
          <w:sz w:val="20"/>
          <w:szCs w:val="20"/>
        </w:rPr>
        <w:t>Dr</w:t>
      </w:r>
      <w:proofErr w:type="spellEnd"/>
      <w:r w:rsidRPr="003A796B">
        <w:rPr>
          <w:rFonts w:ascii="Cambria" w:hAnsi="Cambria" w:cs="Times New Roman"/>
          <w:i/>
          <w:sz w:val="20"/>
          <w:szCs w:val="20"/>
        </w:rPr>
        <w:t xml:space="preserve"> Maurice Ling. Jian Ann</w:t>
      </w:r>
      <w:r>
        <w:rPr>
          <w:rFonts w:ascii="Cambria" w:hAnsi="Cambria" w:cs="Times New Roman"/>
          <w:i/>
          <w:sz w:val="20"/>
          <w:szCs w:val="20"/>
        </w:rPr>
        <w:t xml:space="preserve"> [JA How]</w:t>
      </w:r>
      <w:r w:rsidR="00074A7F">
        <w:rPr>
          <w:rFonts w:ascii="Cambria" w:hAnsi="Cambria" w:cs="Times New Roman"/>
          <w:i/>
          <w:sz w:val="20"/>
          <w:szCs w:val="20"/>
        </w:rPr>
        <w:t xml:space="preserve"> </w:t>
      </w:r>
      <w:r w:rsidRPr="003A796B">
        <w:rPr>
          <w:rFonts w:ascii="Cambria" w:hAnsi="Cambria" w:cs="Times New Roman"/>
          <w:i/>
          <w:sz w:val="20"/>
          <w:szCs w:val="20"/>
        </w:rPr>
        <w:t>/</w:t>
      </w:r>
      <w:r w:rsidR="00074A7F">
        <w:rPr>
          <w:rFonts w:ascii="Cambria" w:hAnsi="Cambria" w:cs="Times New Roman"/>
          <w:i/>
          <w:sz w:val="20"/>
          <w:szCs w:val="20"/>
        </w:rPr>
        <w:t xml:space="preserve"> </w:t>
      </w:r>
      <w:r w:rsidRPr="003A796B">
        <w:rPr>
          <w:rFonts w:ascii="Cambria" w:hAnsi="Cambria" w:cs="Times New Roman"/>
          <w:i/>
          <w:sz w:val="20"/>
          <w:szCs w:val="20"/>
        </w:rPr>
        <w:t xml:space="preserve">Desmond </w:t>
      </w:r>
      <w:r>
        <w:rPr>
          <w:rFonts w:ascii="Cambria" w:hAnsi="Cambria" w:cs="Times New Roman"/>
          <w:i/>
          <w:sz w:val="20"/>
          <w:szCs w:val="20"/>
        </w:rPr>
        <w:t xml:space="preserve">[DJW Goh] </w:t>
      </w:r>
      <w:r w:rsidRPr="003A796B">
        <w:rPr>
          <w:rFonts w:ascii="Cambria" w:hAnsi="Cambria" w:cs="Times New Roman"/>
          <w:i/>
          <w:sz w:val="20"/>
          <w:szCs w:val="20"/>
        </w:rPr>
        <w:t xml:space="preserve">were in </w:t>
      </w:r>
      <w:proofErr w:type="spellStart"/>
      <w:r w:rsidRPr="003A796B">
        <w:rPr>
          <w:rFonts w:ascii="Cambria" w:hAnsi="Cambria" w:cs="Times New Roman"/>
          <w:i/>
          <w:sz w:val="20"/>
          <w:szCs w:val="20"/>
        </w:rPr>
        <w:t>favour</w:t>
      </w:r>
      <w:proofErr w:type="spellEnd"/>
      <w:r w:rsidRPr="003A796B">
        <w:rPr>
          <w:rFonts w:ascii="Cambria" w:hAnsi="Cambria" w:cs="Times New Roman"/>
          <w:i/>
          <w:sz w:val="20"/>
          <w:szCs w:val="20"/>
        </w:rPr>
        <w:t xml:space="preserve"> of </w:t>
      </w:r>
      <w:proofErr w:type="spellStart"/>
      <w:r w:rsidRPr="003A796B">
        <w:rPr>
          <w:rFonts w:ascii="Cambria" w:hAnsi="Cambria" w:cs="Times New Roman"/>
          <w:i/>
          <w:sz w:val="20"/>
          <w:szCs w:val="20"/>
        </w:rPr>
        <w:t>Mr</w:t>
      </w:r>
      <w:proofErr w:type="spellEnd"/>
      <w:r w:rsidRPr="003A796B">
        <w:rPr>
          <w:rFonts w:ascii="Cambria" w:hAnsi="Cambria" w:cs="Times New Roman"/>
          <w:i/>
          <w:sz w:val="20"/>
          <w:szCs w:val="20"/>
        </w:rPr>
        <w:t xml:space="preserve"> Goh but I was in </w:t>
      </w:r>
      <w:proofErr w:type="spellStart"/>
      <w:r w:rsidRPr="003A796B">
        <w:rPr>
          <w:rFonts w:ascii="Cambria" w:hAnsi="Cambria" w:cs="Times New Roman"/>
          <w:i/>
          <w:sz w:val="20"/>
          <w:szCs w:val="20"/>
        </w:rPr>
        <w:t>favour</w:t>
      </w:r>
      <w:proofErr w:type="spellEnd"/>
      <w:r w:rsidRPr="003A796B">
        <w:rPr>
          <w:rFonts w:ascii="Cambria" w:hAnsi="Cambria" w:cs="Times New Roman"/>
          <w:i/>
          <w:sz w:val="20"/>
          <w:szCs w:val="20"/>
        </w:rPr>
        <w:t xml:space="preserve"> of </w:t>
      </w:r>
      <w:proofErr w:type="spellStart"/>
      <w:r w:rsidRPr="003A796B">
        <w:rPr>
          <w:rFonts w:ascii="Cambria" w:hAnsi="Cambria" w:cs="Times New Roman"/>
          <w:i/>
          <w:sz w:val="20"/>
          <w:szCs w:val="20"/>
        </w:rPr>
        <w:t>Dr</w:t>
      </w:r>
      <w:proofErr w:type="spellEnd"/>
      <w:r w:rsidRPr="003A796B">
        <w:rPr>
          <w:rFonts w:ascii="Cambria" w:hAnsi="Cambria" w:cs="Times New Roman"/>
          <w:i/>
          <w:sz w:val="20"/>
          <w:szCs w:val="20"/>
        </w:rPr>
        <w:t xml:space="preserve"> Ling, and having worked with </w:t>
      </w:r>
      <w:proofErr w:type="spellStart"/>
      <w:r w:rsidRPr="003A796B">
        <w:rPr>
          <w:rFonts w:ascii="Cambria" w:hAnsi="Cambria" w:cs="Times New Roman"/>
          <w:i/>
          <w:sz w:val="20"/>
          <w:szCs w:val="20"/>
        </w:rPr>
        <w:t>Dr</w:t>
      </w:r>
      <w:proofErr w:type="spellEnd"/>
      <w:r w:rsidRPr="003A796B">
        <w:rPr>
          <w:rFonts w:ascii="Cambria" w:hAnsi="Cambria" w:cs="Times New Roman"/>
          <w:i/>
          <w:sz w:val="20"/>
          <w:szCs w:val="20"/>
        </w:rPr>
        <w:t xml:space="preserve"> Ling prior and having seen firsthand his efficiency and effectiveness in getting tasks done and how he </w:t>
      </w:r>
      <w:r w:rsidRPr="003A796B">
        <w:rPr>
          <w:rFonts w:ascii="Cambria" w:hAnsi="Cambria" w:cs="Times New Roman"/>
          <w:i/>
          <w:sz w:val="20"/>
          <w:szCs w:val="20"/>
        </w:rPr>
        <w:lastRenderedPageBreak/>
        <w:t xml:space="preserve">entrusts his subordinates with the authority to get things done, along with his ability to convey clear, concise, precise instructions and meticulous attention to detail, it was clear to me </w:t>
      </w:r>
      <w:proofErr w:type="spellStart"/>
      <w:r w:rsidRPr="003A796B">
        <w:rPr>
          <w:rFonts w:ascii="Cambria" w:hAnsi="Cambria" w:cs="Times New Roman"/>
          <w:i/>
          <w:sz w:val="20"/>
          <w:szCs w:val="20"/>
        </w:rPr>
        <w:t>Dr</w:t>
      </w:r>
      <w:proofErr w:type="spellEnd"/>
      <w:r w:rsidRPr="003A796B">
        <w:rPr>
          <w:rFonts w:ascii="Cambria" w:hAnsi="Cambria" w:cs="Times New Roman"/>
          <w:i/>
          <w:sz w:val="20"/>
          <w:szCs w:val="20"/>
        </w:rPr>
        <w:t xml:space="preserve"> Ling was someone I wanted to work with – even though I had no clue what the project was about at that point. I did make a point to speak with him personally to find out more regarding the project, but the key decisional choices were based solely on potential working relationships and consistency</w:t>
      </w:r>
      <w:r>
        <w:rPr>
          <w:rFonts w:ascii="Cambria" w:hAnsi="Cambria" w:cs="Times New Roman"/>
          <w:i/>
          <w:sz w:val="20"/>
          <w:szCs w:val="20"/>
        </w:rPr>
        <w:t xml:space="preserve"> </w:t>
      </w:r>
      <w:r w:rsidRPr="003A796B">
        <w:rPr>
          <w:rFonts w:ascii="Cambria" w:hAnsi="Cambria" w:cs="Times New Roman"/>
          <w:i/>
          <w:sz w:val="20"/>
          <w:szCs w:val="20"/>
        </w:rPr>
        <w:t>/</w:t>
      </w:r>
      <w:r>
        <w:rPr>
          <w:rFonts w:ascii="Cambria" w:hAnsi="Cambria" w:cs="Times New Roman"/>
          <w:i/>
          <w:sz w:val="20"/>
          <w:szCs w:val="20"/>
        </w:rPr>
        <w:t xml:space="preserve"> </w:t>
      </w:r>
      <w:r w:rsidRPr="003A796B">
        <w:rPr>
          <w:rFonts w:ascii="Cambria" w:hAnsi="Cambria" w:cs="Times New Roman"/>
          <w:i/>
          <w:sz w:val="20"/>
          <w:szCs w:val="20"/>
        </w:rPr>
        <w:t>reliability</w:t>
      </w:r>
      <w:r>
        <w:rPr>
          <w:rFonts w:ascii="Cambria" w:hAnsi="Cambria" w:cs="Times New Roman"/>
          <w:i/>
          <w:sz w:val="20"/>
          <w:szCs w:val="20"/>
        </w:rPr>
        <w:t xml:space="preserve"> </w:t>
      </w:r>
      <w:r w:rsidRPr="003A796B">
        <w:rPr>
          <w:rFonts w:ascii="Cambria" w:hAnsi="Cambria" w:cs="Times New Roman"/>
          <w:i/>
          <w:sz w:val="20"/>
          <w:szCs w:val="20"/>
        </w:rPr>
        <w:t>/</w:t>
      </w:r>
      <w:r>
        <w:rPr>
          <w:rFonts w:ascii="Cambria" w:hAnsi="Cambria" w:cs="Times New Roman"/>
          <w:i/>
          <w:sz w:val="20"/>
          <w:szCs w:val="20"/>
        </w:rPr>
        <w:t xml:space="preserve"> </w:t>
      </w:r>
      <w:r w:rsidRPr="003A796B">
        <w:rPr>
          <w:rFonts w:ascii="Cambria" w:hAnsi="Cambria" w:cs="Times New Roman"/>
          <w:i/>
          <w:sz w:val="20"/>
          <w:szCs w:val="20"/>
        </w:rPr>
        <w:t>efficiency of the supervisor in consideration.</w:t>
      </w:r>
    </w:p>
    <w:p w:rsidR="003A796B" w:rsidRPr="003A796B" w:rsidRDefault="003A796B" w:rsidP="003A796B">
      <w:pPr>
        <w:spacing w:after="0" w:line="360" w:lineRule="auto"/>
        <w:ind w:left="426" w:right="571"/>
        <w:jc w:val="both"/>
        <w:rPr>
          <w:rFonts w:ascii="Cambria" w:hAnsi="Cambria" w:cs="Times New Roman"/>
          <w:i/>
          <w:sz w:val="20"/>
          <w:szCs w:val="20"/>
        </w:rPr>
      </w:pPr>
      <w:r w:rsidRPr="003A796B">
        <w:rPr>
          <w:rFonts w:ascii="Cambria" w:hAnsi="Cambria" w:cs="Times New Roman"/>
          <w:i/>
          <w:sz w:val="20"/>
          <w:szCs w:val="20"/>
        </w:rPr>
        <w:t xml:space="preserve"> </w:t>
      </w:r>
    </w:p>
    <w:p w:rsidR="003A796B" w:rsidRPr="0030298A" w:rsidRDefault="003A796B" w:rsidP="003A796B">
      <w:pPr>
        <w:spacing w:after="0" w:line="360" w:lineRule="auto"/>
        <w:ind w:left="426" w:right="571"/>
        <w:jc w:val="both"/>
        <w:rPr>
          <w:rFonts w:ascii="Cambria" w:hAnsi="Cambria" w:cs="Times New Roman"/>
          <w:sz w:val="20"/>
          <w:szCs w:val="20"/>
        </w:rPr>
      </w:pPr>
      <w:r w:rsidRPr="003A796B">
        <w:rPr>
          <w:rFonts w:ascii="Cambria" w:hAnsi="Cambria" w:cs="Times New Roman"/>
          <w:i/>
          <w:sz w:val="20"/>
          <w:szCs w:val="20"/>
        </w:rPr>
        <w:t>I successfully persuaded my teammates to work with Dr. Ling and choose him as our primary option in the ballot. When the close friends of Desmond and Jian Ann, Samuel</w:t>
      </w:r>
      <w:r>
        <w:rPr>
          <w:rFonts w:ascii="Cambria" w:hAnsi="Cambria" w:cs="Times New Roman"/>
          <w:i/>
          <w:sz w:val="20"/>
          <w:szCs w:val="20"/>
        </w:rPr>
        <w:t xml:space="preserve"> [SXZ Low]</w:t>
      </w:r>
      <w:r w:rsidR="00074A7F">
        <w:rPr>
          <w:rFonts w:ascii="Cambria" w:hAnsi="Cambria" w:cs="Times New Roman"/>
          <w:i/>
          <w:sz w:val="20"/>
          <w:szCs w:val="20"/>
        </w:rPr>
        <w:t xml:space="preserve"> </w:t>
      </w:r>
      <w:r w:rsidRPr="003A796B">
        <w:rPr>
          <w:rFonts w:ascii="Cambria" w:hAnsi="Cambria" w:cs="Times New Roman"/>
          <w:i/>
          <w:sz w:val="20"/>
          <w:szCs w:val="20"/>
        </w:rPr>
        <w:t>/</w:t>
      </w:r>
      <w:r w:rsidR="00074A7F">
        <w:rPr>
          <w:rFonts w:ascii="Cambria" w:hAnsi="Cambria" w:cs="Times New Roman"/>
          <w:i/>
          <w:sz w:val="20"/>
          <w:szCs w:val="20"/>
        </w:rPr>
        <w:t xml:space="preserve"> </w:t>
      </w:r>
      <w:r w:rsidRPr="003A796B">
        <w:rPr>
          <w:rFonts w:ascii="Cambria" w:hAnsi="Cambria" w:cs="Times New Roman"/>
          <w:i/>
          <w:sz w:val="20"/>
          <w:szCs w:val="20"/>
        </w:rPr>
        <w:t xml:space="preserve">Bryan </w:t>
      </w:r>
      <w:r>
        <w:rPr>
          <w:rFonts w:ascii="Cambria" w:hAnsi="Cambria" w:cs="Times New Roman"/>
          <w:i/>
          <w:sz w:val="20"/>
          <w:szCs w:val="20"/>
        </w:rPr>
        <w:t xml:space="preserve">[BZL Loo] </w:t>
      </w:r>
      <w:r w:rsidRPr="003A796B">
        <w:rPr>
          <w:rFonts w:ascii="Cambria" w:hAnsi="Cambria" w:cs="Times New Roman"/>
          <w:i/>
          <w:sz w:val="20"/>
          <w:szCs w:val="20"/>
        </w:rPr>
        <w:t xml:space="preserve">didn’t manage to get their balloted option of </w:t>
      </w:r>
      <w:proofErr w:type="spellStart"/>
      <w:r w:rsidRPr="003A796B">
        <w:rPr>
          <w:rFonts w:ascii="Cambria" w:hAnsi="Cambria" w:cs="Times New Roman"/>
          <w:i/>
          <w:sz w:val="20"/>
          <w:szCs w:val="20"/>
        </w:rPr>
        <w:t>Mr</w:t>
      </w:r>
      <w:proofErr w:type="spellEnd"/>
      <w:r w:rsidRPr="003A796B">
        <w:rPr>
          <w:rFonts w:ascii="Cambria" w:hAnsi="Cambria" w:cs="Times New Roman"/>
          <w:i/>
          <w:sz w:val="20"/>
          <w:szCs w:val="20"/>
        </w:rPr>
        <w:t xml:space="preserve"> Goh, I saw it as an opportunity to bring everyone together by suggestion and vouching for </w:t>
      </w:r>
      <w:proofErr w:type="spellStart"/>
      <w:r w:rsidRPr="003A796B">
        <w:rPr>
          <w:rFonts w:ascii="Cambria" w:hAnsi="Cambria" w:cs="Times New Roman"/>
          <w:i/>
          <w:sz w:val="20"/>
          <w:szCs w:val="20"/>
        </w:rPr>
        <w:t>Dr</w:t>
      </w:r>
      <w:proofErr w:type="spellEnd"/>
      <w:r w:rsidRPr="003A796B">
        <w:rPr>
          <w:rFonts w:ascii="Cambria" w:hAnsi="Cambria" w:cs="Times New Roman"/>
          <w:i/>
          <w:sz w:val="20"/>
          <w:szCs w:val="20"/>
        </w:rPr>
        <w:t xml:space="preserve"> Ling to them, and I recall Desmond aiding me in trying to pull them in with us</w:t>
      </w:r>
      <w:r w:rsidRPr="003A796B">
        <w:rPr>
          <w:rFonts w:ascii="Cambria" w:hAnsi="Cambria" w:cs="Times New Roman"/>
          <w:sz w:val="20"/>
          <w:szCs w:val="20"/>
        </w:rPr>
        <w:t>.</w:t>
      </w:r>
      <w:r>
        <w:rPr>
          <w:rFonts w:ascii="Cambria" w:hAnsi="Cambria" w:cs="Times New Roman"/>
          <w:sz w:val="20"/>
          <w:szCs w:val="20"/>
        </w:rPr>
        <w:t>”</w:t>
      </w:r>
    </w:p>
    <w:p w:rsidR="0030298A" w:rsidRDefault="0030298A" w:rsidP="00B07E7C">
      <w:pPr>
        <w:spacing w:after="0" w:line="360" w:lineRule="auto"/>
        <w:rPr>
          <w:rFonts w:ascii="Cambria" w:hAnsi="Cambria" w:cs="Times New Roman"/>
          <w:sz w:val="20"/>
          <w:szCs w:val="20"/>
        </w:rPr>
      </w:pPr>
    </w:p>
    <w:p w:rsidR="00EF327A" w:rsidRDefault="00074A7F" w:rsidP="004C2C39">
      <w:pPr>
        <w:spacing w:after="0" w:line="360" w:lineRule="auto"/>
        <w:jc w:val="both"/>
        <w:rPr>
          <w:rFonts w:ascii="Cambria" w:hAnsi="Cambria" w:cs="Times New Roman"/>
          <w:sz w:val="20"/>
          <w:szCs w:val="20"/>
        </w:rPr>
      </w:pPr>
      <w:r>
        <w:rPr>
          <w:rFonts w:ascii="Cambria" w:hAnsi="Cambria" w:cs="Times New Roman"/>
          <w:sz w:val="20"/>
          <w:szCs w:val="20"/>
        </w:rPr>
        <w:t xml:space="preserve">JZR Lim, JA How, and DJW Goh were coached by JSH </w:t>
      </w:r>
      <w:proofErr w:type="spellStart"/>
      <w:r>
        <w:rPr>
          <w:rFonts w:ascii="Cambria" w:hAnsi="Cambria" w:cs="Times New Roman"/>
          <w:sz w:val="20"/>
          <w:szCs w:val="20"/>
        </w:rPr>
        <w:t>Oon</w:t>
      </w:r>
      <w:proofErr w:type="spellEnd"/>
      <w:r>
        <w:rPr>
          <w:rFonts w:ascii="Cambria" w:hAnsi="Cambria" w:cs="Times New Roman"/>
          <w:sz w:val="20"/>
          <w:szCs w:val="20"/>
        </w:rPr>
        <w:t xml:space="preserve"> and WC Ng during the first 2 weeks of experiments. </w:t>
      </w:r>
      <w:r w:rsidR="000956D3">
        <w:rPr>
          <w:rFonts w:ascii="Cambria" w:hAnsi="Cambria" w:cs="Times New Roman"/>
          <w:sz w:val="20"/>
          <w:szCs w:val="20"/>
        </w:rPr>
        <w:t xml:space="preserve">This project involved </w:t>
      </w:r>
      <w:r w:rsidR="004C2C39">
        <w:rPr>
          <w:rFonts w:ascii="Cambria" w:hAnsi="Cambria" w:cs="Times New Roman"/>
          <w:sz w:val="20"/>
          <w:szCs w:val="20"/>
        </w:rPr>
        <w:t xml:space="preserve">regular sub-culturing and generation time estimation; hence, we planned it to coincide with ZQ Aw, SXZ Low, and BZL Loo’s project so that both teams can work together. It was also helpful that SXZ Low, BZL Loo, JA How, and DJW Goh were in the same class; hence, identical lesson schedule. This also meant that JZR Lim and ZQ Aw could be backup for experiments if required. The same arrangement happened with CH Lee, JSH </w:t>
      </w:r>
      <w:proofErr w:type="spellStart"/>
      <w:r w:rsidR="004C2C39">
        <w:rPr>
          <w:rFonts w:ascii="Cambria" w:hAnsi="Cambria" w:cs="Times New Roman"/>
          <w:sz w:val="20"/>
          <w:szCs w:val="20"/>
        </w:rPr>
        <w:t>Oon</w:t>
      </w:r>
      <w:proofErr w:type="spellEnd"/>
      <w:r w:rsidR="004C2C39">
        <w:rPr>
          <w:rFonts w:ascii="Cambria" w:hAnsi="Cambria" w:cs="Times New Roman"/>
          <w:sz w:val="20"/>
          <w:szCs w:val="20"/>
        </w:rPr>
        <w:t xml:space="preserve">, and KC Lee as well, where CH Lee and JSH </w:t>
      </w:r>
      <w:proofErr w:type="spellStart"/>
      <w:r w:rsidR="004C2C39">
        <w:rPr>
          <w:rFonts w:ascii="Cambria" w:hAnsi="Cambria" w:cs="Times New Roman"/>
          <w:sz w:val="20"/>
          <w:szCs w:val="20"/>
        </w:rPr>
        <w:t>Oon</w:t>
      </w:r>
      <w:proofErr w:type="spellEnd"/>
      <w:r w:rsidR="004C2C39">
        <w:rPr>
          <w:rFonts w:ascii="Cambria" w:hAnsi="Cambria" w:cs="Times New Roman"/>
          <w:sz w:val="20"/>
          <w:szCs w:val="20"/>
        </w:rPr>
        <w:t xml:space="preserve"> were classmates and KC Lee acted as backup for experiments. As a result, project discussions were usually done together across both groups.</w:t>
      </w:r>
    </w:p>
    <w:p w:rsidR="00EF327A" w:rsidRDefault="00EF327A" w:rsidP="004C2C39">
      <w:pPr>
        <w:spacing w:after="0" w:line="360" w:lineRule="auto"/>
        <w:jc w:val="both"/>
        <w:rPr>
          <w:rFonts w:ascii="Cambria" w:hAnsi="Cambria" w:cs="Times New Roman"/>
          <w:sz w:val="20"/>
          <w:szCs w:val="20"/>
        </w:rPr>
      </w:pPr>
    </w:p>
    <w:p w:rsidR="00074A7F" w:rsidRDefault="00EF327A" w:rsidP="004C2C39">
      <w:pPr>
        <w:spacing w:after="0" w:line="360" w:lineRule="auto"/>
        <w:jc w:val="both"/>
        <w:rPr>
          <w:rFonts w:ascii="Cambria" w:hAnsi="Cambria" w:cs="Times New Roman"/>
          <w:sz w:val="20"/>
          <w:szCs w:val="20"/>
        </w:rPr>
      </w:pPr>
      <w:r>
        <w:rPr>
          <w:rFonts w:ascii="Cambria" w:hAnsi="Cambria" w:cs="Times New Roman"/>
          <w:sz w:val="20"/>
          <w:szCs w:val="20"/>
        </w:rPr>
        <w:t xml:space="preserve">Over the course of project, we managed to culture </w:t>
      </w:r>
      <w:r w:rsidRPr="00EF327A">
        <w:rPr>
          <w:rFonts w:ascii="Cambria" w:hAnsi="Cambria" w:cs="Times New Roman"/>
          <w:i/>
          <w:sz w:val="20"/>
          <w:szCs w:val="20"/>
        </w:rPr>
        <w:t>E. coli</w:t>
      </w:r>
      <w:r>
        <w:rPr>
          <w:rFonts w:ascii="Cambria" w:hAnsi="Cambria" w:cs="Times New Roman"/>
          <w:sz w:val="20"/>
          <w:szCs w:val="20"/>
        </w:rPr>
        <w:t xml:space="preserve"> to 8% </w:t>
      </w:r>
      <w:proofErr w:type="spellStart"/>
      <w:r>
        <w:rPr>
          <w:rFonts w:ascii="Cambria" w:hAnsi="Cambria" w:cs="Times New Roman"/>
          <w:sz w:val="20"/>
          <w:szCs w:val="20"/>
        </w:rPr>
        <w:t>NaCl</w:t>
      </w:r>
      <w:proofErr w:type="spellEnd"/>
      <w:r>
        <w:rPr>
          <w:rFonts w:ascii="Cambria" w:hAnsi="Cambria" w:cs="Times New Roman"/>
          <w:sz w:val="20"/>
          <w:szCs w:val="20"/>
        </w:rPr>
        <w:t xml:space="preserve">, which was above bacteriostatic level suggested by </w:t>
      </w:r>
      <w:proofErr w:type="spellStart"/>
      <w:r>
        <w:rPr>
          <w:rFonts w:ascii="Cambria" w:hAnsi="Cambria" w:cs="Times New Roman"/>
          <w:sz w:val="20"/>
          <w:szCs w:val="20"/>
        </w:rPr>
        <w:t>Doudoroff</w:t>
      </w:r>
      <w:proofErr w:type="spellEnd"/>
      <w:r>
        <w:rPr>
          <w:rFonts w:ascii="Cambria" w:hAnsi="Cambria" w:cs="Times New Roman"/>
          <w:sz w:val="20"/>
          <w:szCs w:val="20"/>
        </w:rPr>
        <w:t xml:space="preserve"> [92]. Despite so, minimum inhibitory concentration assay demonstrated that 8% </w:t>
      </w:r>
      <w:proofErr w:type="spellStart"/>
      <w:r>
        <w:rPr>
          <w:rFonts w:ascii="Cambria" w:hAnsi="Cambria" w:cs="Times New Roman"/>
          <w:sz w:val="20"/>
          <w:szCs w:val="20"/>
        </w:rPr>
        <w:t>NaCl</w:t>
      </w:r>
      <w:proofErr w:type="spellEnd"/>
      <w:r>
        <w:rPr>
          <w:rFonts w:ascii="Cambria" w:hAnsi="Cambria" w:cs="Times New Roman"/>
          <w:sz w:val="20"/>
          <w:szCs w:val="20"/>
        </w:rPr>
        <w:t xml:space="preserve"> adapted </w:t>
      </w:r>
      <w:r w:rsidRPr="00EF327A">
        <w:rPr>
          <w:rFonts w:ascii="Cambria" w:hAnsi="Cambria" w:cs="Times New Roman"/>
          <w:i/>
          <w:sz w:val="20"/>
          <w:szCs w:val="20"/>
        </w:rPr>
        <w:t>E. coli</w:t>
      </w:r>
      <w:r>
        <w:rPr>
          <w:rFonts w:ascii="Cambria" w:hAnsi="Cambria" w:cs="Times New Roman"/>
          <w:sz w:val="20"/>
          <w:szCs w:val="20"/>
        </w:rPr>
        <w:t xml:space="preserve"> could grow in concentrations as high as 11% </w:t>
      </w:r>
      <w:proofErr w:type="spellStart"/>
      <w:r>
        <w:rPr>
          <w:rFonts w:ascii="Cambria" w:hAnsi="Cambria" w:cs="Times New Roman"/>
          <w:sz w:val="20"/>
          <w:szCs w:val="20"/>
        </w:rPr>
        <w:t>NaCl</w:t>
      </w:r>
      <w:proofErr w:type="spellEnd"/>
      <w:r>
        <w:rPr>
          <w:rFonts w:ascii="Cambria" w:hAnsi="Cambria" w:cs="Times New Roman"/>
          <w:sz w:val="20"/>
          <w:szCs w:val="20"/>
        </w:rPr>
        <w:t xml:space="preserve">. Comparatively, 11% </w:t>
      </w:r>
      <w:proofErr w:type="spellStart"/>
      <w:r>
        <w:rPr>
          <w:rFonts w:ascii="Cambria" w:hAnsi="Cambria" w:cs="Times New Roman"/>
          <w:sz w:val="20"/>
          <w:szCs w:val="20"/>
        </w:rPr>
        <w:t>NaCl</w:t>
      </w:r>
      <w:proofErr w:type="spellEnd"/>
      <w:r>
        <w:rPr>
          <w:rFonts w:ascii="Cambria" w:hAnsi="Cambria" w:cs="Times New Roman"/>
          <w:sz w:val="20"/>
          <w:szCs w:val="20"/>
        </w:rPr>
        <w:t xml:space="preserve"> is half the saturation level of </w:t>
      </w:r>
      <w:proofErr w:type="spellStart"/>
      <w:r>
        <w:rPr>
          <w:rFonts w:ascii="Cambria" w:hAnsi="Cambria" w:cs="Times New Roman"/>
          <w:sz w:val="20"/>
          <w:szCs w:val="20"/>
        </w:rPr>
        <w:t>NaCl</w:t>
      </w:r>
      <w:proofErr w:type="spellEnd"/>
      <w:r>
        <w:rPr>
          <w:rFonts w:ascii="Cambria" w:hAnsi="Cambria" w:cs="Times New Roman"/>
          <w:sz w:val="20"/>
          <w:szCs w:val="20"/>
        </w:rPr>
        <w:t xml:space="preserve"> in water and about 3 times the salinity of sea water (average </w:t>
      </w:r>
      <w:proofErr w:type="spellStart"/>
      <w:r>
        <w:rPr>
          <w:rFonts w:ascii="Cambria" w:hAnsi="Cambria" w:cs="Times New Roman"/>
          <w:sz w:val="20"/>
          <w:szCs w:val="20"/>
        </w:rPr>
        <w:t>NaCl</w:t>
      </w:r>
      <w:proofErr w:type="spellEnd"/>
      <w:r>
        <w:rPr>
          <w:rFonts w:ascii="Cambria" w:hAnsi="Cambria" w:cs="Times New Roman"/>
          <w:sz w:val="20"/>
          <w:szCs w:val="20"/>
        </w:rPr>
        <w:t xml:space="preserve"> concentration in sea water is 3.5%). </w:t>
      </w:r>
      <w:r w:rsidR="00A87C61">
        <w:rPr>
          <w:rFonts w:ascii="Cambria" w:hAnsi="Cambria" w:cs="Times New Roman"/>
          <w:sz w:val="20"/>
          <w:szCs w:val="20"/>
        </w:rPr>
        <w:t xml:space="preserve">Hence, we had reduced the water activity requirement of </w:t>
      </w:r>
      <w:r w:rsidR="00A87C61">
        <w:rPr>
          <w:rFonts w:ascii="Cambria" w:hAnsi="Cambria" w:cs="Times New Roman"/>
          <w:i/>
          <w:sz w:val="20"/>
          <w:szCs w:val="20"/>
        </w:rPr>
        <w:t xml:space="preserve">E. </w:t>
      </w:r>
      <w:proofErr w:type="spellStart"/>
      <w:r w:rsidR="00A87C61">
        <w:rPr>
          <w:rFonts w:ascii="Cambria" w:hAnsi="Cambria" w:cs="Times New Roman"/>
          <w:i/>
          <w:sz w:val="20"/>
          <w:szCs w:val="20"/>
        </w:rPr>
        <w:t>coli</w:t>
      </w:r>
      <w:r w:rsidR="00A87C61">
        <w:rPr>
          <w:rFonts w:ascii="Cambria" w:hAnsi="Cambria" w:cs="Times New Roman"/>
          <w:sz w:val="20"/>
          <w:szCs w:val="20"/>
        </w:rPr>
        <w:t>.</w:t>
      </w:r>
      <w:r>
        <w:rPr>
          <w:rFonts w:ascii="Cambria" w:hAnsi="Cambria" w:cs="Times New Roman"/>
          <w:sz w:val="20"/>
          <w:szCs w:val="20"/>
        </w:rPr>
        <w:t>We</w:t>
      </w:r>
      <w:proofErr w:type="spellEnd"/>
      <w:r>
        <w:rPr>
          <w:rFonts w:ascii="Cambria" w:hAnsi="Cambria" w:cs="Times New Roman"/>
          <w:sz w:val="20"/>
          <w:szCs w:val="20"/>
        </w:rPr>
        <w:t xml:space="preserve"> were concerned about </w:t>
      </w:r>
      <w:r w:rsidR="00B06732" w:rsidRPr="00B06732">
        <w:rPr>
          <w:rFonts w:ascii="Cambria" w:hAnsi="Cambria" w:cs="Times New Roman"/>
          <w:i/>
          <w:sz w:val="20"/>
          <w:szCs w:val="20"/>
        </w:rPr>
        <w:t>Staphylococcus aureus</w:t>
      </w:r>
      <w:r w:rsidR="00B06732">
        <w:rPr>
          <w:rFonts w:ascii="Cambria" w:hAnsi="Cambria" w:cs="Times New Roman"/>
          <w:sz w:val="20"/>
          <w:szCs w:val="20"/>
        </w:rPr>
        <w:t xml:space="preserve"> contamination as </w:t>
      </w:r>
      <w:r w:rsidR="00B06732" w:rsidRPr="00B06732">
        <w:rPr>
          <w:rFonts w:ascii="Cambria" w:hAnsi="Cambria" w:cs="Times New Roman"/>
          <w:i/>
          <w:sz w:val="20"/>
          <w:szCs w:val="20"/>
        </w:rPr>
        <w:t>S. aureus</w:t>
      </w:r>
      <w:r w:rsidR="00B06732">
        <w:rPr>
          <w:rFonts w:ascii="Cambria" w:hAnsi="Cambria" w:cs="Times New Roman"/>
          <w:sz w:val="20"/>
          <w:szCs w:val="20"/>
        </w:rPr>
        <w:t xml:space="preserve"> is commonly found on human skin and is known to be highly salt tolerant [93</w:t>
      </w:r>
      <w:r w:rsidR="00FE6100">
        <w:rPr>
          <w:rFonts w:ascii="Cambria" w:hAnsi="Cambria" w:cs="Times New Roman"/>
          <w:sz w:val="20"/>
          <w:szCs w:val="20"/>
        </w:rPr>
        <w:t>, 94</w:t>
      </w:r>
      <w:r w:rsidR="00B06732">
        <w:rPr>
          <w:rFonts w:ascii="Cambria" w:hAnsi="Cambria" w:cs="Times New Roman"/>
          <w:sz w:val="20"/>
          <w:szCs w:val="20"/>
        </w:rPr>
        <w:t xml:space="preserve">]. To ensure that </w:t>
      </w:r>
      <w:r w:rsidR="00B06732" w:rsidRPr="00B06732">
        <w:rPr>
          <w:rFonts w:ascii="Cambria" w:hAnsi="Cambria" w:cs="Times New Roman"/>
          <w:i/>
          <w:sz w:val="20"/>
          <w:szCs w:val="20"/>
        </w:rPr>
        <w:t>S. aureus</w:t>
      </w:r>
      <w:r w:rsidR="00B06732">
        <w:rPr>
          <w:rFonts w:ascii="Cambria" w:hAnsi="Cambria" w:cs="Times New Roman"/>
          <w:sz w:val="20"/>
          <w:szCs w:val="20"/>
        </w:rPr>
        <w:t xml:space="preserve"> contamination was kept at bay, we cultured the cells on MacConkey agar before cryopreserved as glycerol stocks to ensure integrity of the glycerol stocks. We performed Gram staining regularly and used DNA fingerprinting to assay for contaminations. I recalled that we had to revert a few passages from glycerol stocks due to contaminations. </w:t>
      </w:r>
      <w:r w:rsidR="00B06732" w:rsidRPr="00B06732">
        <w:rPr>
          <w:rFonts w:ascii="Cambria" w:hAnsi="Cambria" w:cs="Times New Roman"/>
          <w:sz w:val="20"/>
          <w:szCs w:val="20"/>
        </w:rPr>
        <w:t xml:space="preserve">All four replicates </w:t>
      </w:r>
      <w:r w:rsidR="00B06732">
        <w:rPr>
          <w:rFonts w:ascii="Cambria" w:hAnsi="Cambria" w:cs="Times New Roman"/>
          <w:sz w:val="20"/>
          <w:szCs w:val="20"/>
        </w:rPr>
        <w:t>showed</w:t>
      </w:r>
      <w:r w:rsidR="00B06732" w:rsidRPr="00B06732">
        <w:rPr>
          <w:rFonts w:ascii="Cambria" w:hAnsi="Cambria" w:cs="Times New Roman"/>
          <w:sz w:val="20"/>
          <w:szCs w:val="20"/>
        </w:rPr>
        <w:t xml:space="preserve"> an increasing rate of generation time</w:t>
      </w:r>
      <w:r w:rsidR="00B06732">
        <w:rPr>
          <w:rFonts w:ascii="Cambria" w:hAnsi="Cambria" w:cs="Times New Roman"/>
          <w:sz w:val="20"/>
          <w:szCs w:val="20"/>
        </w:rPr>
        <w:t xml:space="preserve"> as the concentration of </w:t>
      </w:r>
      <w:proofErr w:type="spellStart"/>
      <w:r w:rsidR="00B06732">
        <w:rPr>
          <w:rFonts w:ascii="Cambria" w:hAnsi="Cambria" w:cs="Times New Roman"/>
          <w:sz w:val="20"/>
          <w:szCs w:val="20"/>
        </w:rPr>
        <w:t>NaCl</w:t>
      </w:r>
      <w:proofErr w:type="spellEnd"/>
      <w:r w:rsidR="00B06732">
        <w:rPr>
          <w:rFonts w:ascii="Cambria" w:hAnsi="Cambria" w:cs="Times New Roman"/>
          <w:sz w:val="20"/>
          <w:szCs w:val="20"/>
        </w:rPr>
        <w:t xml:space="preserve"> increases, suggesting osmotic stress to the</w:t>
      </w:r>
      <w:r w:rsidR="00DD0028">
        <w:rPr>
          <w:rFonts w:ascii="Cambria" w:hAnsi="Cambria" w:cs="Times New Roman"/>
          <w:sz w:val="20"/>
          <w:szCs w:val="20"/>
        </w:rPr>
        <w:t xml:space="preserve"> cells. Hence, there was a need to balance between culture survival and the rate of </w:t>
      </w:r>
      <w:proofErr w:type="spellStart"/>
      <w:r w:rsidR="00DD0028">
        <w:rPr>
          <w:rFonts w:ascii="Cambria" w:hAnsi="Cambria" w:cs="Times New Roman"/>
          <w:sz w:val="20"/>
          <w:szCs w:val="20"/>
        </w:rPr>
        <w:t>NaCl</w:t>
      </w:r>
      <w:proofErr w:type="spellEnd"/>
      <w:r w:rsidR="00DD0028">
        <w:rPr>
          <w:rFonts w:ascii="Cambria" w:hAnsi="Cambria" w:cs="Times New Roman"/>
          <w:sz w:val="20"/>
          <w:szCs w:val="20"/>
        </w:rPr>
        <w:t xml:space="preserve"> increase. As the cultures adapted to increasing </w:t>
      </w:r>
      <w:proofErr w:type="spellStart"/>
      <w:r w:rsidR="00DD0028">
        <w:rPr>
          <w:rFonts w:ascii="Cambria" w:hAnsi="Cambria" w:cs="Times New Roman"/>
          <w:sz w:val="20"/>
          <w:szCs w:val="20"/>
        </w:rPr>
        <w:t>NaCl</w:t>
      </w:r>
      <w:proofErr w:type="spellEnd"/>
      <w:r w:rsidR="00DD0028">
        <w:rPr>
          <w:rFonts w:ascii="Cambria" w:hAnsi="Cambria" w:cs="Times New Roman"/>
          <w:sz w:val="20"/>
          <w:szCs w:val="20"/>
        </w:rPr>
        <w:t xml:space="preserve"> concentrations, we wondered whether the cultures varied their salt optimality (increasingly able to grow in higher </w:t>
      </w:r>
      <w:proofErr w:type="spellStart"/>
      <w:r w:rsidR="00DD0028">
        <w:rPr>
          <w:rFonts w:ascii="Cambria" w:hAnsi="Cambria" w:cs="Times New Roman"/>
          <w:sz w:val="20"/>
          <w:szCs w:val="20"/>
        </w:rPr>
        <w:t>NaCl</w:t>
      </w:r>
      <w:proofErr w:type="spellEnd"/>
      <w:r w:rsidR="00DD0028">
        <w:rPr>
          <w:rFonts w:ascii="Cambria" w:hAnsi="Cambria" w:cs="Times New Roman"/>
          <w:sz w:val="20"/>
          <w:szCs w:val="20"/>
        </w:rPr>
        <w:t xml:space="preserve"> concentrations while reducing the ability to grow in lower </w:t>
      </w:r>
      <w:proofErr w:type="spellStart"/>
      <w:r w:rsidR="00DD0028">
        <w:rPr>
          <w:rFonts w:ascii="Cambria" w:hAnsi="Cambria" w:cs="Times New Roman"/>
          <w:sz w:val="20"/>
          <w:szCs w:val="20"/>
        </w:rPr>
        <w:t>NaCl</w:t>
      </w:r>
      <w:proofErr w:type="spellEnd"/>
      <w:r w:rsidR="00DD0028">
        <w:rPr>
          <w:rFonts w:ascii="Cambria" w:hAnsi="Cambria" w:cs="Times New Roman"/>
          <w:sz w:val="20"/>
          <w:szCs w:val="20"/>
        </w:rPr>
        <w:t xml:space="preserve"> concentrations) or broadening the range of salt tolerance (increasingly able to grow in higher </w:t>
      </w:r>
      <w:proofErr w:type="spellStart"/>
      <w:r w:rsidR="00DD0028">
        <w:rPr>
          <w:rFonts w:ascii="Cambria" w:hAnsi="Cambria" w:cs="Times New Roman"/>
          <w:sz w:val="20"/>
          <w:szCs w:val="20"/>
        </w:rPr>
        <w:t>NaCl</w:t>
      </w:r>
      <w:proofErr w:type="spellEnd"/>
      <w:r w:rsidR="00DD0028">
        <w:rPr>
          <w:rFonts w:ascii="Cambria" w:hAnsi="Cambria" w:cs="Times New Roman"/>
          <w:sz w:val="20"/>
          <w:szCs w:val="20"/>
        </w:rPr>
        <w:t xml:space="preserve"> concentrations while maintaining the ability to grow in lower </w:t>
      </w:r>
      <w:proofErr w:type="spellStart"/>
      <w:r w:rsidR="00DD0028">
        <w:rPr>
          <w:rFonts w:ascii="Cambria" w:hAnsi="Cambria" w:cs="Times New Roman"/>
          <w:sz w:val="20"/>
          <w:szCs w:val="20"/>
        </w:rPr>
        <w:t>NaCl</w:t>
      </w:r>
      <w:proofErr w:type="spellEnd"/>
      <w:r w:rsidR="00DD0028">
        <w:rPr>
          <w:rFonts w:ascii="Cambria" w:hAnsi="Cambria" w:cs="Times New Roman"/>
          <w:sz w:val="20"/>
          <w:szCs w:val="20"/>
        </w:rPr>
        <w:t xml:space="preserve"> concentrations). </w:t>
      </w:r>
      <w:r w:rsidR="00483D1B">
        <w:rPr>
          <w:rFonts w:ascii="Cambria" w:hAnsi="Cambria" w:cs="Times New Roman"/>
          <w:sz w:val="20"/>
          <w:szCs w:val="20"/>
        </w:rPr>
        <w:t xml:space="preserve">Interestingly, one of </w:t>
      </w:r>
      <w:r w:rsidR="00483D1B">
        <w:rPr>
          <w:rFonts w:ascii="Cambria" w:hAnsi="Cambria" w:cs="Times New Roman"/>
          <w:sz w:val="20"/>
          <w:szCs w:val="20"/>
        </w:rPr>
        <w:lastRenderedPageBreak/>
        <w:t>the cultures appeared to be broadening the range of salt tolerance while the other three cultures appeared to be varying their salt optimality. We published these findings [52, 53].</w:t>
      </w:r>
    </w:p>
    <w:p w:rsidR="00074A7F" w:rsidRPr="0030298A" w:rsidRDefault="00074A7F" w:rsidP="00B07E7C">
      <w:pPr>
        <w:spacing w:after="0" w:line="360" w:lineRule="auto"/>
        <w:rPr>
          <w:rFonts w:ascii="Cambria" w:hAnsi="Cambria" w:cs="Times New Roman"/>
          <w:sz w:val="20"/>
          <w:szCs w:val="20"/>
        </w:rPr>
      </w:pPr>
    </w:p>
    <w:p w:rsidR="0030298A" w:rsidRPr="0030298A" w:rsidRDefault="00CD2D7E" w:rsidP="00B07E7C">
      <w:pPr>
        <w:pStyle w:val="ListParagraph"/>
        <w:numPr>
          <w:ilvl w:val="1"/>
          <w:numId w:val="1"/>
        </w:numPr>
        <w:spacing w:after="0" w:line="360" w:lineRule="auto"/>
        <w:ind w:left="720"/>
        <w:jc w:val="both"/>
        <w:rPr>
          <w:rFonts w:ascii="Cambria" w:hAnsi="Cambria" w:cs="Times New Roman"/>
          <w:b/>
          <w:sz w:val="20"/>
          <w:szCs w:val="20"/>
        </w:rPr>
      </w:pPr>
      <w:r>
        <w:rPr>
          <w:rFonts w:ascii="Cambria" w:hAnsi="Cambria" w:cs="Times New Roman"/>
          <w:b/>
          <w:sz w:val="20"/>
          <w:szCs w:val="20"/>
        </w:rPr>
        <w:t>Evolution by Digital Organism</w:t>
      </w:r>
    </w:p>
    <w:p w:rsidR="00CE3F81" w:rsidRDefault="00FE6100" w:rsidP="00B07E7C">
      <w:pPr>
        <w:spacing w:after="0" w:line="360" w:lineRule="auto"/>
        <w:jc w:val="both"/>
        <w:rPr>
          <w:rFonts w:ascii="Cambria" w:hAnsi="Cambria" w:cs="Times New Roman"/>
          <w:sz w:val="20"/>
          <w:szCs w:val="20"/>
        </w:rPr>
      </w:pPr>
      <w:r>
        <w:rPr>
          <w:rFonts w:ascii="Cambria" w:hAnsi="Cambria" w:cs="Times New Roman"/>
          <w:sz w:val="20"/>
          <w:szCs w:val="20"/>
        </w:rPr>
        <w:t xml:space="preserve">I left </w:t>
      </w:r>
      <w:r w:rsidR="00A87C61">
        <w:rPr>
          <w:rFonts w:ascii="Cambria" w:hAnsi="Cambria" w:cs="Times New Roman"/>
          <w:sz w:val="20"/>
          <w:szCs w:val="20"/>
        </w:rPr>
        <w:t xml:space="preserve">the </w:t>
      </w:r>
      <w:r>
        <w:rPr>
          <w:rFonts w:ascii="Cambria" w:hAnsi="Cambria" w:cs="Times New Roman"/>
          <w:sz w:val="20"/>
          <w:szCs w:val="20"/>
        </w:rPr>
        <w:t>Singapore Polytechnic in December 2010 and one of the issues was the custodian of the glycerol stocks that I had left behind. Although I managed to hand-over the custodial duties to the school (approved by the director of the school)</w:t>
      </w:r>
      <w:r w:rsidR="008228F3">
        <w:rPr>
          <w:rFonts w:ascii="Cambria" w:hAnsi="Cambria" w:cs="Times New Roman"/>
          <w:sz w:val="20"/>
          <w:szCs w:val="20"/>
        </w:rPr>
        <w:t xml:space="preserve">, I was left wondering how much enthusiasm I will have if I am asked to restart this experimental evolution study. Unless I am certain of extended employment or if there was sufficient resource for third-party custodian, I would find it difficult to restart knowing the possibility of not being able to bring these glycerol stocks with me. This was the point where I wondered and started to examine alternative platforms for my evolutionary studies. One of the possibilities was to study evolution </w:t>
      </w:r>
      <w:r w:rsidR="008228F3" w:rsidRPr="00A44557">
        <w:rPr>
          <w:rFonts w:ascii="Cambria" w:hAnsi="Cambria" w:cs="Times New Roman"/>
          <w:i/>
          <w:sz w:val="20"/>
          <w:szCs w:val="20"/>
        </w:rPr>
        <w:t>in situ</w:t>
      </w:r>
      <w:r w:rsidR="008228F3">
        <w:rPr>
          <w:rFonts w:ascii="Cambria" w:hAnsi="Cambria" w:cs="Times New Roman"/>
          <w:sz w:val="20"/>
          <w:szCs w:val="20"/>
        </w:rPr>
        <w:t xml:space="preserve">, which was to observe natural evolution, much like Charles Darwin and Alfred Wallace. </w:t>
      </w:r>
      <w:r w:rsidR="00201224">
        <w:rPr>
          <w:rFonts w:ascii="Cambria" w:hAnsi="Cambria" w:cs="Times New Roman"/>
          <w:sz w:val="20"/>
          <w:szCs w:val="20"/>
        </w:rPr>
        <w:t xml:space="preserve">In this case, glycerol stocking is not logistically possible as there is no possible way to freeze an island for the purpose of preservation. </w:t>
      </w:r>
      <w:r w:rsidR="00A44557">
        <w:rPr>
          <w:rFonts w:ascii="Cambria" w:hAnsi="Cambria" w:cs="Times New Roman"/>
          <w:sz w:val="20"/>
          <w:szCs w:val="20"/>
        </w:rPr>
        <w:t xml:space="preserve">Another possibility was to run computer simulations of evolution using artificial life </w:t>
      </w:r>
      <w:r w:rsidR="00E31815">
        <w:rPr>
          <w:rFonts w:ascii="Cambria" w:hAnsi="Cambria" w:cs="Times New Roman"/>
          <w:sz w:val="20"/>
          <w:szCs w:val="20"/>
        </w:rPr>
        <w:t>(</w:t>
      </w:r>
      <w:proofErr w:type="spellStart"/>
      <w:r w:rsidR="00E31815">
        <w:rPr>
          <w:rFonts w:ascii="Cambria" w:hAnsi="Cambria" w:cs="Times New Roman"/>
          <w:sz w:val="20"/>
          <w:szCs w:val="20"/>
        </w:rPr>
        <w:t>ALife</w:t>
      </w:r>
      <w:proofErr w:type="spellEnd"/>
      <w:r w:rsidR="00E31815">
        <w:rPr>
          <w:rFonts w:ascii="Cambria" w:hAnsi="Cambria" w:cs="Times New Roman"/>
          <w:sz w:val="20"/>
          <w:szCs w:val="20"/>
        </w:rPr>
        <w:t xml:space="preserve">) </w:t>
      </w:r>
      <w:r w:rsidR="00A44557">
        <w:rPr>
          <w:rFonts w:ascii="Cambria" w:hAnsi="Cambria" w:cs="Times New Roman"/>
          <w:sz w:val="20"/>
          <w:szCs w:val="20"/>
        </w:rPr>
        <w:t xml:space="preserve">organisms, also known as digital organisms (DOs) [95]. </w:t>
      </w:r>
      <w:r w:rsidR="00E31815">
        <w:rPr>
          <w:rFonts w:ascii="Cambria" w:hAnsi="Cambria" w:cs="Times New Roman"/>
          <w:sz w:val="20"/>
          <w:szCs w:val="20"/>
        </w:rPr>
        <w:t xml:space="preserve">DOs or </w:t>
      </w:r>
      <w:proofErr w:type="spellStart"/>
      <w:r w:rsidR="00E31815">
        <w:rPr>
          <w:rFonts w:ascii="Cambria" w:hAnsi="Cambria" w:cs="Times New Roman"/>
          <w:sz w:val="20"/>
          <w:szCs w:val="20"/>
        </w:rPr>
        <w:t>ALife</w:t>
      </w:r>
      <w:proofErr w:type="spellEnd"/>
      <w:r w:rsidR="00E31815">
        <w:rPr>
          <w:rFonts w:ascii="Cambria" w:hAnsi="Cambria" w:cs="Times New Roman"/>
          <w:sz w:val="20"/>
          <w:szCs w:val="20"/>
        </w:rPr>
        <w:t xml:space="preserve"> are based on cellular automata, described by Christopher Langton [96], and had been used to study many aspects of evolution [97-103]. Studies using DOs had been supported by evolutionary biologist; such as, Thomas Ray, whom wrote one of the earliest artificial life simulators [97]; and even well-known experimental evolutionary biology; such as, Richard </w:t>
      </w:r>
      <w:proofErr w:type="spellStart"/>
      <w:r w:rsidR="00E31815">
        <w:rPr>
          <w:rFonts w:ascii="Cambria" w:hAnsi="Cambria" w:cs="Times New Roman"/>
          <w:sz w:val="20"/>
          <w:szCs w:val="20"/>
        </w:rPr>
        <w:t>Lenski</w:t>
      </w:r>
      <w:proofErr w:type="spellEnd"/>
      <w:r w:rsidR="00E31815">
        <w:rPr>
          <w:rFonts w:ascii="Cambria" w:hAnsi="Cambria" w:cs="Times New Roman"/>
          <w:sz w:val="20"/>
          <w:szCs w:val="20"/>
        </w:rPr>
        <w:t>; had used DOs in his studies [101</w:t>
      </w:r>
      <w:r w:rsidR="0059297D">
        <w:rPr>
          <w:rFonts w:ascii="Cambria" w:hAnsi="Cambria" w:cs="Times New Roman"/>
          <w:sz w:val="20"/>
          <w:szCs w:val="20"/>
        </w:rPr>
        <w:t>, 104</w:t>
      </w:r>
      <w:r w:rsidR="00E31815">
        <w:rPr>
          <w:rFonts w:ascii="Cambria" w:hAnsi="Cambria" w:cs="Times New Roman"/>
          <w:sz w:val="20"/>
          <w:szCs w:val="20"/>
        </w:rPr>
        <w:t>]</w:t>
      </w:r>
      <w:r w:rsidR="0059297D">
        <w:rPr>
          <w:rFonts w:ascii="Cambria" w:hAnsi="Cambria" w:cs="Times New Roman"/>
          <w:sz w:val="20"/>
          <w:szCs w:val="20"/>
        </w:rPr>
        <w:t>.</w:t>
      </w:r>
      <w:r w:rsidR="004804F0">
        <w:rPr>
          <w:rFonts w:ascii="Cambria" w:hAnsi="Cambria" w:cs="Times New Roman"/>
          <w:sz w:val="20"/>
          <w:szCs w:val="20"/>
        </w:rPr>
        <w:t xml:space="preserve"> In fact, Richard </w:t>
      </w:r>
      <w:proofErr w:type="spellStart"/>
      <w:r w:rsidR="004804F0">
        <w:rPr>
          <w:rFonts w:ascii="Cambria" w:hAnsi="Cambria" w:cs="Times New Roman"/>
          <w:sz w:val="20"/>
          <w:szCs w:val="20"/>
        </w:rPr>
        <w:t>Lenski</w:t>
      </w:r>
      <w:proofErr w:type="spellEnd"/>
      <w:r w:rsidR="004804F0">
        <w:rPr>
          <w:rFonts w:ascii="Cambria" w:hAnsi="Cambria" w:cs="Times New Roman"/>
          <w:sz w:val="20"/>
          <w:szCs w:val="20"/>
        </w:rPr>
        <w:t xml:space="preserve"> </w:t>
      </w:r>
      <w:r w:rsidR="00090CB3">
        <w:rPr>
          <w:rFonts w:ascii="Cambria" w:hAnsi="Cambria" w:cs="Times New Roman"/>
          <w:sz w:val="20"/>
          <w:szCs w:val="20"/>
        </w:rPr>
        <w:t xml:space="preserve">co-authored </w:t>
      </w:r>
      <w:proofErr w:type="spellStart"/>
      <w:r w:rsidR="00090CB3">
        <w:rPr>
          <w:rFonts w:ascii="Cambria" w:hAnsi="Cambria" w:cs="Times New Roman"/>
          <w:sz w:val="20"/>
          <w:szCs w:val="20"/>
        </w:rPr>
        <w:t>Avida</w:t>
      </w:r>
      <w:proofErr w:type="spellEnd"/>
      <w:r w:rsidR="00090CB3">
        <w:rPr>
          <w:rFonts w:ascii="Cambria" w:hAnsi="Cambria" w:cs="Times New Roman"/>
          <w:sz w:val="20"/>
          <w:szCs w:val="20"/>
        </w:rPr>
        <w:t xml:space="preserve">, a well-known artificial life simulators, with Charles </w:t>
      </w:r>
      <w:proofErr w:type="spellStart"/>
      <w:r w:rsidR="00090CB3">
        <w:rPr>
          <w:rFonts w:ascii="Cambria" w:hAnsi="Cambria" w:cs="Times New Roman"/>
          <w:sz w:val="20"/>
          <w:szCs w:val="20"/>
        </w:rPr>
        <w:t>Ofria</w:t>
      </w:r>
      <w:proofErr w:type="spellEnd"/>
      <w:r w:rsidR="00090CB3">
        <w:rPr>
          <w:rFonts w:ascii="Cambria" w:hAnsi="Cambria" w:cs="Times New Roman"/>
          <w:sz w:val="20"/>
          <w:szCs w:val="20"/>
        </w:rPr>
        <w:t xml:space="preserve"> [101]. The </w:t>
      </w:r>
      <w:r w:rsidR="007C3454">
        <w:rPr>
          <w:rFonts w:ascii="Cambria" w:hAnsi="Cambria" w:cs="Times New Roman"/>
          <w:sz w:val="20"/>
          <w:szCs w:val="20"/>
        </w:rPr>
        <w:t>premise</w:t>
      </w:r>
      <w:r w:rsidR="00090CB3">
        <w:rPr>
          <w:rFonts w:ascii="Cambria" w:hAnsi="Cambria" w:cs="Times New Roman"/>
          <w:sz w:val="20"/>
          <w:szCs w:val="20"/>
        </w:rPr>
        <w:t xml:space="preserve"> of studying evolution using DOs is intriguing to me compared </w:t>
      </w:r>
      <w:r w:rsidR="00040A70">
        <w:rPr>
          <w:rFonts w:ascii="Cambria" w:hAnsi="Cambria" w:cs="Times New Roman"/>
          <w:sz w:val="20"/>
          <w:szCs w:val="20"/>
        </w:rPr>
        <w:t>to observing natural evolution</w:t>
      </w:r>
      <w:r w:rsidR="007C3454">
        <w:rPr>
          <w:rFonts w:ascii="Cambria" w:hAnsi="Cambria" w:cs="Times New Roman"/>
          <w:sz w:val="20"/>
          <w:szCs w:val="20"/>
        </w:rPr>
        <w:t>. Essentially, working with DOs amount to creating one or more populations to test evolutionary hypotheses or events, which can be difficult to perform experimentally [105]. At the same time, it fits my interests in bio-inspired algorithms; such as, genetic algorithms</w:t>
      </w:r>
      <w:r w:rsidR="00CE3F81">
        <w:rPr>
          <w:rFonts w:ascii="Cambria" w:hAnsi="Cambria" w:cs="Times New Roman"/>
          <w:sz w:val="20"/>
          <w:szCs w:val="20"/>
        </w:rPr>
        <w:t xml:space="preserve"> [106]; and resolves the issue with glycerol stocks as “glycerol stocks” in</w:t>
      </w:r>
      <w:r w:rsidR="00201224">
        <w:rPr>
          <w:rFonts w:ascii="Cambria" w:hAnsi="Cambria" w:cs="Times New Roman"/>
          <w:sz w:val="20"/>
          <w:szCs w:val="20"/>
        </w:rPr>
        <w:t xml:space="preserve"> DO context are computer files, which can be duplicated and stored at various locations at ease. </w:t>
      </w:r>
      <w:r w:rsidR="00CE3F81">
        <w:rPr>
          <w:rFonts w:ascii="Cambria" w:hAnsi="Cambria" w:cs="Times New Roman"/>
          <w:sz w:val="20"/>
          <w:szCs w:val="20"/>
        </w:rPr>
        <w:t>I decided to write a DO library for Python</w:t>
      </w:r>
      <w:r w:rsidR="00457917">
        <w:rPr>
          <w:rFonts w:ascii="Cambria" w:hAnsi="Cambria" w:cs="Times New Roman"/>
          <w:sz w:val="20"/>
          <w:szCs w:val="20"/>
        </w:rPr>
        <w:t>, Digital Organism Simulation Environment (DOSE)</w:t>
      </w:r>
      <w:r w:rsidR="00CE3F81">
        <w:rPr>
          <w:rFonts w:ascii="Cambria" w:hAnsi="Cambria" w:cs="Times New Roman"/>
          <w:sz w:val="20"/>
          <w:szCs w:val="20"/>
        </w:rPr>
        <w:t xml:space="preserve"> [107, 108] during my leisure time in South Dakota, USA.</w:t>
      </w:r>
    </w:p>
    <w:p w:rsidR="00CE3F81" w:rsidRDefault="00CE3F81" w:rsidP="00B07E7C">
      <w:pPr>
        <w:spacing w:after="0" w:line="360" w:lineRule="auto"/>
        <w:jc w:val="both"/>
        <w:rPr>
          <w:rFonts w:ascii="Cambria" w:hAnsi="Cambria" w:cs="Times New Roman"/>
          <w:sz w:val="20"/>
          <w:szCs w:val="20"/>
        </w:rPr>
      </w:pPr>
    </w:p>
    <w:p w:rsidR="00457917" w:rsidRDefault="003E13D5" w:rsidP="00B07E7C">
      <w:pPr>
        <w:spacing w:after="0" w:line="360" w:lineRule="auto"/>
        <w:jc w:val="both"/>
        <w:rPr>
          <w:rFonts w:ascii="Cambria" w:hAnsi="Cambria" w:cs="Times New Roman"/>
          <w:sz w:val="20"/>
          <w:szCs w:val="20"/>
        </w:rPr>
      </w:pPr>
      <w:r>
        <w:rPr>
          <w:rFonts w:ascii="Cambria" w:hAnsi="Cambria" w:cs="Times New Roman"/>
          <w:sz w:val="20"/>
          <w:szCs w:val="20"/>
        </w:rPr>
        <w:t xml:space="preserve">As the Vice-President of Python User Group (Singapore), I was involved in the organization of </w:t>
      </w:r>
      <w:proofErr w:type="spellStart"/>
      <w:r>
        <w:rPr>
          <w:rFonts w:ascii="Cambria" w:hAnsi="Cambria" w:cs="Times New Roman"/>
          <w:sz w:val="20"/>
          <w:szCs w:val="20"/>
        </w:rPr>
        <w:t>PyCon</w:t>
      </w:r>
      <w:proofErr w:type="spellEnd"/>
      <w:r>
        <w:rPr>
          <w:rFonts w:ascii="Cambria" w:hAnsi="Cambria" w:cs="Times New Roman"/>
          <w:sz w:val="20"/>
          <w:szCs w:val="20"/>
        </w:rPr>
        <w:t xml:space="preserve"> Asia-Pacific (APAC) Conference since its inception in 2010. During the conference days of the Third </w:t>
      </w:r>
      <w:proofErr w:type="spellStart"/>
      <w:r>
        <w:rPr>
          <w:rFonts w:ascii="Cambria" w:hAnsi="Cambria" w:cs="Times New Roman"/>
          <w:sz w:val="20"/>
          <w:szCs w:val="20"/>
        </w:rPr>
        <w:t>PyCon</w:t>
      </w:r>
      <w:proofErr w:type="spellEnd"/>
      <w:r>
        <w:rPr>
          <w:rFonts w:ascii="Cambria" w:hAnsi="Cambria" w:cs="Times New Roman"/>
          <w:sz w:val="20"/>
          <w:szCs w:val="20"/>
        </w:rPr>
        <w:t xml:space="preserve"> APAC, I was introduced to Clarence Castillo, whom was a student volunteer from Republic Polytechnic, at</w:t>
      </w:r>
      <w:r w:rsidR="00457917">
        <w:rPr>
          <w:rFonts w:ascii="Cambria" w:hAnsi="Cambria" w:cs="Times New Roman"/>
          <w:sz w:val="20"/>
          <w:szCs w:val="20"/>
        </w:rPr>
        <w:t xml:space="preserve"> the conference. Clarence was pursuing a course </w:t>
      </w:r>
      <w:r>
        <w:rPr>
          <w:rFonts w:ascii="Cambria" w:hAnsi="Cambria" w:cs="Times New Roman"/>
          <w:sz w:val="20"/>
          <w:szCs w:val="20"/>
        </w:rPr>
        <w:t>in Diploma in Information Technology then.</w:t>
      </w:r>
      <w:r w:rsidR="00457917">
        <w:rPr>
          <w:rFonts w:ascii="Cambria" w:hAnsi="Cambria" w:cs="Times New Roman"/>
          <w:sz w:val="20"/>
          <w:szCs w:val="20"/>
        </w:rPr>
        <w:t xml:space="preserve"> While chatting with the student volunteers, I found that Clarence showed strong enthusiasm and interest in problem solving; hence, I was toying the possibility of taking Clarence as my protégé. I was surprised that Clarence has an underlying interest in biology and saw the uniqueness of using computer simulations to study evolution. </w:t>
      </w:r>
    </w:p>
    <w:p w:rsidR="00457917" w:rsidRDefault="00457917" w:rsidP="00B07E7C">
      <w:pPr>
        <w:spacing w:after="0" w:line="360" w:lineRule="auto"/>
        <w:jc w:val="both"/>
        <w:rPr>
          <w:rFonts w:ascii="Cambria" w:hAnsi="Cambria" w:cs="Times New Roman"/>
          <w:sz w:val="20"/>
          <w:szCs w:val="20"/>
        </w:rPr>
      </w:pPr>
    </w:p>
    <w:p w:rsidR="00E86294" w:rsidRDefault="00457917" w:rsidP="00B07E7C">
      <w:pPr>
        <w:spacing w:after="0" w:line="360" w:lineRule="auto"/>
        <w:jc w:val="both"/>
        <w:rPr>
          <w:rFonts w:ascii="Cambria" w:hAnsi="Cambria" w:cs="Times New Roman"/>
          <w:sz w:val="20"/>
          <w:szCs w:val="20"/>
        </w:rPr>
      </w:pPr>
      <w:r>
        <w:rPr>
          <w:rFonts w:ascii="Cambria" w:hAnsi="Cambria" w:cs="Times New Roman"/>
          <w:sz w:val="20"/>
          <w:szCs w:val="20"/>
        </w:rPr>
        <w:t xml:space="preserve">My original implementation of DOSE </w:t>
      </w:r>
      <w:r w:rsidR="00A0388F">
        <w:rPr>
          <w:rFonts w:ascii="Cambria" w:hAnsi="Cambria" w:cs="Times New Roman"/>
          <w:sz w:val="20"/>
          <w:szCs w:val="20"/>
        </w:rPr>
        <w:t xml:space="preserve">[107, 108] was rather rudimentary on hindsight and needed code refactoring, as well as feature enhancements. Clarence happily took up this challenge and painstaking read </w:t>
      </w:r>
      <w:r w:rsidR="00A0388F">
        <w:rPr>
          <w:rFonts w:ascii="Cambria" w:hAnsi="Cambria" w:cs="Times New Roman"/>
          <w:sz w:val="20"/>
          <w:szCs w:val="20"/>
        </w:rPr>
        <w:lastRenderedPageBreak/>
        <w:t>each line of my code to understand its operations. The goal was to simplify the use of DOSE. The main enhancement was to add a 3-dimensional “world structure” onto the DOs. This enabled movements of DOs within the world and could be used to generate multiple habitats or homing ranges, which was not possible in a “world-less” population</w:t>
      </w:r>
      <w:r w:rsidR="00CE3E06">
        <w:rPr>
          <w:rFonts w:ascii="Cambria" w:hAnsi="Cambria" w:cs="Times New Roman"/>
          <w:sz w:val="20"/>
          <w:szCs w:val="20"/>
        </w:rPr>
        <w:t xml:space="preserve">. </w:t>
      </w:r>
      <w:r w:rsidR="00A0388F">
        <w:rPr>
          <w:rFonts w:ascii="Cambria" w:hAnsi="Cambria" w:cs="Times New Roman"/>
          <w:sz w:val="20"/>
          <w:szCs w:val="20"/>
        </w:rPr>
        <w:t xml:space="preserve">After a few months of work, DOSE was finally ready for use. </w:t>
      </w:r>
    </w:p>
    <w:p w:rsidR="00E86294" w:rsidRDefault="00E86294" w:rsidP="00B07E7C">
      <w:pPr>
        <w:spacing w:after="0" w:line="360" w:lineRule="auto"/>
        <w:jc w:val="both"/>
        <w:rPr>
          <w:rFonts w:ascii="Cambria" w:hAnsi="Cambria" w:cs="Times New Roman"/>
          <w:sz w:val="20"/>
          <w:szCs w:val="20"/>
        </w:rPr>
      </w:pPr>
    </w:p>
    <w:p w:rsidR="00CE3F81" w:rsidRDefault="00A0388F" w:rsidP="00B07E7C">
      <w:pPr>
        <w:spacing w:after="0" w:line="360" w:lineRule="auto"/>
        <w:jc w:val="both"/>
        <w:rPr>
          <w:rFonts w:ascii="Cambria" w:hAnsi="Cambria" w:cs="Times New Roman"/>
          <w:sz w:val="20"/>
          <w:szCs w:val="20"/>
        </w:rPr>
      </w:pPr>
      <w:r>
        <w:rPr>
          <w:rFonts w:ascii="Cambria" w:hAnsi="Cambria" w:cs="Times New Roman"/>
          <w:sz w:val="20"/>
          <w:szCs w:val="20"/>
        </w:rPr>
        <w:t xml:space="preserve">We tested our product using a case study </w:t>
      </w:r>
      <w:r w:rsidR="00CE3E06">
        <w:rPr>
          <w:rFonts w:ascii="Cambria" w:hAnsi="Cambria" w:cs="Times New Roman"/>
          <w:sz w:val="20"/>
          <w:szCs w:val="20"/>
        </w:rPr>
        <w:t xml:space="preserve">to examine the effects of migration on population genetic diversity. Three migration schemes were tested – in case one, the DOs remained in their own habitat (no migration); in case two, DOs can migrate to adjacent habitats (adjacent migration); and in case three, DOs can migrate across habitats (long migration). No migration can represent isolated tribes or villages. Adjacent migration can represent nomadic movements while long migration resembles transcontinental migrations observed today. The social aspect to this work would be that in the present day where transcontinental mating and resettlement are commonplace, are we turning into a global village </w:t>
      </w:r>
      <w:r w:rsidR="00E86294">
        <w:rPr>
          <w:rFonts w:ascii="Cambria" w:hAnsi="Cambria" w:cs="Times New Roman"/>
          <w:sz w:val="20"/>
          <w:szCs w:val="20"/>
        </w:rPr>
        <w:t>genetically</w:t>
      </w:r>
      <w:r w:rsidR="00CE3E06">
        <w:rPr>
          <w:rFonts w:ascii="Cambria" w:hAnsi="Cambria" w:cs="Times New Roman"/>
          <w:sz w:val="20"/>
          <w:szCs w:val="20"/>
        </w:rPr>
        <w:t xml:space="preserve">? </w:t>
      </w:r>
      <w:r w:rsidR="00E86294">
        <w:rPr>
          <w:rFonts w:ascii="Cambria" w:hAnsi="Cambria" w:cs="Times New Roman"/>
          <w:sz w:val="20"/>
          <w:szCs w:val="20"/>
        </w:rPr>
        <w:t>Our simulation results suggest that adjacent migration increased the overall inter-habitat diversity but long distance migration reduced inter-habitat diversity, suggesting that we are indeed turning into a global village from the genetic point of view. This con</w:t>
      </w:r>
      <w:r w:rsidR="00571616">
        <w:rPr>
          <w:rFonts w:ascii="Cambria" w:hAnsi="Cambria" w:cs="Times New Roman"/>
          <w:sz w:val="20"/>
          <w:szCs w:val="20"/>
        </w:rPr>
        <w:t>curred with findings from both</w:t>
      </w:r>
      <w:bookmarkStart w:id="0" w:name="_GoBack"/>
      <w:bookmarkEnd w:id="0"/>
      <w:r w:rsidR="00E86294">
        <w:rPr>
          <w:rFonts w:ascii="Cambria" w:hAnsi="Cambria" w:cs="Times New Roman"/>
          <w:sz w:val="20"/>
          <w:szCs w:val="20"/>
        </w:rPr>
        <w:t xml:space="preserve"> hoverfly [109] and human studies [110]. We published the enhanced version of DOSE [54] and I </w:t>
      </w:r>
      <w:r w:rsidR="00106AA6">
        <w:rPr>
          <w:rFonts w:ascii="Cambria" w:hAnsi="Cambria" w:cs="Times New Roman"/>
          <w:sz w:val="20"/>
          <w:szCs w:val="20"/>
        </w:rPr>
        <w:t xml:space="preserve">took the pleasure in informing Dr. </w:t>
      </w:r>
      <w:proofErr w:type="spellStart"/>
      <w:r w:rsidR="00106AA6">
        <w:rPr>
          <w:rFonts w:ascii="Cambria" w:hAnsi="Cambria" w:cs="Times New Roman"/>
          <w:sz w:val="20"/>
          <w:szCs w:val="20"/>
        </w:rPr>
        <w:t>Liew</w:t>
      </w:r>
      <w:proofErr w:type="spellEnd"/>
      <w:r w:rsidR="00106AA6">
        <w:rPr>
          <w:rFonts w:ascii="Cambria" w:hAnsi="Cambria" w:cs="Times New Roman"/>
          <w:sz w:val="20"/>
          <w:szCs w:val="20"/>
        </w:rPr>
        <w:t xml:space="preserve"> </w:t>
      </w:r>
      <w:proofErr w:type="spellStart"/>
      <w:r w:rsidR="00106AA6">
        <w:rPr>
          <w:rFonts w:ascii="Cambria" w:hAnsi="Cambria" w:cs="Times New Roman"/>
          <w:sz w:val="20"/>
          <w:szCs w:val="20"/>
        </w:rPr>
        <w:t>Beng</w:t>
      </w:r>
      <w:proofErr w:type="spellEnd"/>
      <w:r w:rsidR="00106AA6">
        <w:rPr>
          <w:rFonts w:ascii="Cambria" w:hAnsi="Cambria" w:cs="Times New Roman"/>
          <w:sz w:val="20"/>
          <w:szCs w:val="20"/>
        </w:rPr>
        <w:t xml:space="preserve"> </w:t>
      </w:r>
      <w:proofErr w:type="spellStart"/>
      <w:r w:rsidR="00106AA6">
        <w:rPr>
          <w:rFonts w:ascii="Cambria" w:hAnsi="Cambria" w:cs="Times New Roman"/>
          <w:sz w:val="20"/>
          <w:szCs w:val="20"/>
        </w:rPr>
        <w:t>Keat</w:t>
      </w:r>
      <w:proofErr w:type="spellEnd"/>
      <w:r w:rsidR="00106AA6">
        <w:rPr>
          <w:rFonts w:ascii="Cambria" w:hAnsi="Cambria" w:cs="Times New Roman"/>
          <w:sz w:val="20"/>
          <w:szCs w:val="20"/>
        </w:rPr>
        <w:t xml:space="preserve">, President of Python User Group (Singapore) and Assistant Director of School of IT in Republic Polytechnic, where Clarence </w:t>
      </w:r>
      <w:r w:rsidR="00EC7062">
        <w:rPr>
          <w:rFonts w:ascii="Cambria" w:hAnsi="Cambria" w:cs="Times New Roman"/>
          <w:sz w:val="20"/>
          <w:szCs w:val="20"/>
        </w:rPr>
        <w:t>was pursuing a diploma under his charge – “</w:t>
      </w:r>
      <w:r w:rsidRPr="00EC7062">
        <w:rPr>
          <w:rFonts w:ascii="Cambria" w:hAnsi="Cambria" w:cs="Times New Roman"/>
          <w:i/>
          <w:sz w:val="20"/>
          <w:szCs w:val="20"/>
        </w:rPr>
        <w:t>As an educator, you will be pleased to know that Clarence had “sacrificed” much of online gaming time for this work and he is gearing for the second paper</w:t>
      </w:r>
      <w:r w:rsidRPr="00A0388F">
        <w:rPr>
          <w:rFonts w:ascii="Cambria" w:hAnsi="Cambria" w:cs="Times New Roman"/>
          <w:sz w:val="20"/>
          <w:szCs w:val="20"/>
        </w:rPr>
        <w:t>.</w:t>
      </w:r>
      <w:r>
        <w:rPr>
          <w:rFonts w:ascii="Cambria" w:hAnsi="Cambria" w:cs="Times New Roman"/>
          <w:sz w:val="20"/>
          <w:szCs w:val="20"/>
        </w:rPr>
        <w:t>”</w:t>
      </w:r>
    </w:p>
    <w:p w:rsidR="00A86FF4" w:rsidRDefault="00A86FF4" w:rsidP="00B07E7C">
      <w:pPr>
        <w:spacing w:after="0" w:line="360" w:lineRule="auto"/>
        <w:jc w:val="both"/>
        <w:rPr>
          <w:rFonts w:ascii="Cambria" w:hAnsi="Cambria" w:cs="Times New Roman"/>
          <w:sz w:val="20"/>
          <w:szCs w:val="20"/>
        </w:rPr>
      </w:pPr>
    </w:p>
    <w:p w:rsidR="00A86FF4" w:rsidRPr="0030298A" w:rsidRDefault="00A86FF4" w:rsidP="00B07E7C">
      <w:pPr>
        <w:spacing w:after="0" w:line="360" w:lineRule="auto"/>
        <w:jc w:val="both"/>
        <w:rPr>
          <w:rFonts w:ascii="Cambria" w:hAnsi="Cambria" w:cs="Times New Roman"/>
          <w:sz w:val="20"/>
          <w:szCs w:val="20"/>
        </w:rPr>
      </w:pPr>
      <w:r>
        <w:rPr>
          <w:rFonts w:ascii="Cambria" w:hAnsi="Cambria" w:cs="Times New Roman"/>
          <w:sz w:val="20"/>
          <w:szCs w:val="20"/>
        </w:rPr>
        <w:t>In the next project, we focused on using DOSE to study evolution and we chose to study antibiotic</w:t>
      </w:r>
      <w:r w:rsidR="00E24BC9">
        <w:rPr>
          <w:rFonts w:ascii="Cambria" w:hAnsi="Cambria" w:cs="Times New Roman"/>
          <w:sz w:val="20"/>
          <w:szCs w:val="20"/>
        </w:rPr>
        <w:t>s</w:t>
      </w:r>
      <w:r>
        <w:rPr>
          <w:rFonts w:ascii="Cambria" w:hAnsi="Cambria" w:cs="Times New Roman"/>
          <w:sz w:val="20"/>
          <w:szCs w:val="20"/>
        </w:rPr>
        <w:t xml:space="preserve"> resistance, which had been a theme in my work since </w:t>
      </w:r>
      <w:r w:rsidR="00E24BC9">
        <w:rPr>
          <w:rFonts w:ascii="Cambria" w:hAnsi="Cambria" w:cs="Times New Roman"/>
          <w:sz w:val="20"/>
          <w:szCs w:val="20"/>
        </w:rPr>
        <w:t xml:space="preserve">the food additive project by CH Lee et al. Antibiotics resistance is without doubt one of the major concerns in the medical industry and had reached crisis proportions [111]. </w:t>
      </w:r>
      <w:r w:rsidR="00483C17" w:rsidRPr="00483C17">
        <w:rPr>
          <w:rFonts w:ascii="Cambria" w:hAnsi="Cambria" w:cs="Times New Roman"/>
          <w:sz w:val="20"/>
          <w:szCs w:val="20"/>
        </w:rPr>
        <w:t xml:space="preserve">As chemical resistance (such as antibiotics resistance) is a result of selective pressure in the presence of the chemical, it can be expected that the prevalence of resistance will decrease following withdrawal </w:t>
      </w:r>
      <w:r w:rsidR="00802B7E">
        <w:rPr>
          <w:rFonts w:ascii="Cambria" w:hAnsi="Cambria" w:cs="Times New Roman"/>
          <w:sz w:val="20"/>
          <w:szCs w:val="20"/>
        </w:rPr>
        <w:t>and disuse of the chemical. A</w:t>
      </w:r>
      <w:r w:rsidR="00483C17" w:rsidRPr="00483C17">
        <w:rPr>
          <w:rFonts w:ascii="Cambria" w:hAnsi="Cambria" w:cs="Times New Roman"/>
          <w:sz w:val="20"/>
          <w:szCs w:val="20"/>
        </w:rPr>
        <w:t xml:space="preserve"> study shows that reduced antibi</w:t>
      </w:r>
      <w:r w:rsidR="00483C17">
        <w:rPr>
          <w:rFonts w:ascii="Cambria" w:hAnsi="Cambria" w:cs="Times New Roman"/>
          <w:sz w:val="20"/>
          <w:szCs w:val="20"/>
        </w:rPr>
        <w:t>otics use correlates with reduced of microbial resistance [112</w:t>
      </w:r>
      <w:r w:rsidR="00483C17" w:rsidRPr="00483C17">
        <w:rPr>
          <w:rFonts w:ascii="Cambria" w:hAnsi="Cambria" w:cs="Times New Roman"/>
          <w:sz w:val="20"/>
          <w:szCs w:val="20"/>
        </w:rPr>
        <w:t xml:space="preserve">] but </w:t>
      </w:r>
      <w:r w:rsidR="00483C17">
        <w:rPr>
          <w:rFonts w:ascii="Cambria" w:hAnsi="Cambria" w:cs="Times New Roman"/>
          <w:sz w:val="20"/>
          <w:szCs w:val="20"/>
        </w:rPr>
        <w:t>others</w:t>
      </w:r>
      <w:r w:rsidR="00483C17" w:rsidRPr="00483C17">
        <w:rPr>
          <w:rFonts w:ascii="Cambria" w:hAnsi="Cambria" w:cs="Times New Roman"/>
          <w:sz w:val="20"/>
          <w:szCs w:val="20"/>
        </w:rPr>
        <w:t xml:space="preserve"> re</w:t>
      </w:r>
      <w:r w:rsidR="00483C17">
        <w:rPr>
          <w:rFonts w:ascii="Cambria" w:hAnsi="Cambria" w:cs="Times New Roman"/>
          <w:sz w:val="20"/>
          <w:szCs w:val="20"/>
        </w:rPr>
        <w:t xml:space="preserve">ported contradictory results [113]. For example, </w:t>
      </w:r>
      <w:proofErr w:type="spellStart"/>
      <w:r w:rsidR="00483C17">
        <w:rPr>
          <w:rFonts w:ascii="Cambria" w:hAnsi="Cambria" w:cs="Times New Roman"/>
          <w:sz w:val="20"/>
          <w:szCs w:val="20"/>
        </w:rPr>
        <w:t>Enne</w:t>
      </w:r>
      <w:proofErr w:type="spellEnd"/>
      <w:r w:rsidR="00483C17">
        <w:rPr>
          <w:rFonts w:ascii="Cambria" w:hAnsi="Cambria" w:cs="Times New Roman"/>
          <w:sz w:val="20"/>
          <w:szCs w:val="20"/>
        </w:rPr>
        <w:t xml:space="preserve"> et al. [114</w:t>
      </w:r>
      <w:r w:rsidR="00483C17" w:rsidRPr="00483C17">
        <w:rPr>
          <w:rFonts w:ascii="Cambria" w:hAnsi="Cambria" w:cs="Times New Roman"/>
          <w:sz w:val="20"/>
          <w:szCs w:val="20"/>
        </w:rPr>
        <w:t xml:space="preserve">] report the persistence of resistant </w:t>
      </w:r>
      <w:r w:rsidR="00483C17" w:rsidRPr="00483C17">
        <w:rPr>
          <w:rFonts w:ascii="Cambria" w:hAnsi="Cambria" w:cs="Times New Roman"/>
          <w:i/>
          <w:sz w:val="20"/>
          <w:szCs w:val="20"/>
        </w:rPr>
        <w:t>E. coli</w:t>
      </w:r>
      <w:r w:rsidR="00483C17" w:rsidRPr="00483C17">
        <w:rPr>
          <w:rFonts w:ascii="Cambria" w:hAnsi="Cambria" w:cs="Times New Roman"/>
          <w:sz w:val="20"/>
          <w:szCs w:val="20"/>
        </w:rPr>
        <w:t xml:space="preserve"> 8 years after reduced of antibiotics use</w:t>
      </w:r>
      <w:r w:rsidR="00483C17">
        <w:rPr>
          <w:rFonts w:ascii="Cambria" w:hAnsi="Cambria" w:cs="Times New Roman"/>
          <w:sz w:val="20"/>
          <w:szCs w:val="20"/>
        </w:rPr>
        <w:t xml:space="preserve">. DO is the only means to study this phenomenon as it is neither responsible nor ethical to induce antibiotics resistance. In the first instance, we assumed no </w:t>
      </w:r>
      <w:r w:rsidR="00C56912">
        <w:rPr>
          <w:rFonts w:ascii="Cambria" w:hAnsi="Cambria" w:cs="Times New Roman"/>
          <w:sz w:val="20"/>
          <w:szCs w:val="20"/>
        </w:rPr>
        <w:t xml:space="preserve">fitness cost in maintaining resistance traits in the absence of selective pressure. </w:t>
      </w:r>
      <w:r w:rsidR="00C56912" w:rsidRPr="00C56912">
        <w:rPr>
          <w:rFonts w:ascii="Cambria" w:hAnsi="Cambria" w:cs="Times New Roman"/>
          <w:sz w:val="20"/>
          <w:szCs w:val="20"/>
        </w:rPr>
        <w:t>Our results show that selective pressure is likely to result in maximum resistance to the selective pressure. During de-selection</w:t>
      </w:r>
      <w:r w:rsidR="00C56912">
        <w:rPr>
          <w:rFonts w:ascii="Cambria" w:hAnsi="Cambria" w:cs="Times New Roman"/>
          <w:sz w:val="20"/>
          <w:szCs w:val="20"/>
        </w:rPr>
        <w:t>, mimicking</w:t>
      </w:r>
      <w:r w:rsidR="00C56912" w:rsidRPr="00C56912">
        <w:rPr>
          <w:rFonts w:ascii="Cambria" w:hAnsi="Cambria" w:cs="Times New Roman"/>
          <w:sz w:val="20"/>
          <w:szCs w:val="20"/>
        </w:rPr>
        <w:t xml:space="preserve"> disuse of the specific antibiotics, a large initial loss and prolonged stabilization of resistance are observed but resistance is not lost to the stage of pre-selection. This suggests that a pool of partial resistant organisms persist long after withdrawal of selective pressure at a relatively constant proportion.</w:t>
      </w:r>
      <w:r w:rsidR="00C56912">
        <w:rPr>
          <w:rFonts w:ascii="Cambria" w:hAnsi="Cambria" w:cs="Times New Roman"/>
          <w:sz w:val="20"/>
          <w:szCs w:val="20"/>
        </w:rPr>
        <w:t xml:space="preserve"> Hence, it is likely that</w:t>
      </w:r>
      <w:r w:rsidR="00C56912" w:rsidRPr="00C56912">
        <w:rPr>
          <w:rFonts w:ascii="Cambria" w:hAnsi="Cambria" w:cs="Times New Roman"/>
          <w:sz w:val="20"/>
          <w:szCs w:val="20"/>
        </w:rPr>
        <w:t xml:space="preserve"> contradictory results regarding the prevalence of resistance following withdrawal and disuse of the specific antibiotics may be a statistical variation about constant proportion. </w:t>
      </w:r>
      <w:r w:rsidR="00C56912">
        <w:rPr>
          <w:rFonts w:ascii="Cambria" w:hAnsi="Cambria" w:cs="Times New Roman"/>
          <w:sz w:val="20"/>
          <w:szCs w:val="20"/>
        </w:rPr>
        <w:t>In addition,</w:t>
      </w:r>
      <w:r w:rsidR="00C56912" w:rsidRPr="00C56912">
        <w:rPr>
          <w:rFonts w:ascii="Cambria" w:hAnsi="Cambria" w:cs="Times New Roman"/>
          <w:sz w:val="20"/>
          <w:szCs w:val="20"/>
        </w:rPr>
        <w:t xml:space="preserve"> subsequent re-introduction of the same selective pressure results in rapid re-gain of maximal resistance.</w:t>
      </w:r>
      <w:r w:rsidR="00C56912">
        <w:rPr>
          <w:rFonts w:ascii="Cambria" w:hAnsi="Cambria" w:cs="Times New Roman"/>
          <w:sz w:val="20"/>
          <w:szCs w:val="20"/>
        </w:rPr>
        <w:t xml:space="preserve"> Therefore, </w:t>
      </w:r>
      <w:r w:rsidR="00C56912" w:rsidRPr="00C56912">
        <w:rPr>
          <w:rFonts w:ascii="Cambria" w:hAnsi="Cambria" w:cs="Times New Roman"/>
          <w:sz w:val="20"/>
          <w:szCs w:val="20"/>
        </w:rPr>
        <w:t xml:space="preserve">complete elimination of </w:t>
      </w:r>
      <w:r w:rsidR="00C56912" w:rsidRPr="00C56912">
        <w:rPr>
          <w:rFonts w:ascii="Cambria" w:hAnsi="Cambria" w:cs="Times New Roman"/>
          <w:sz w:val="20"/>
          <w:szCs w:val="20"/>
        </w:rPr>
        <w:lastRenderedPageBreak/>
        <w:t>specific antibiotics resistance is unlikely after the disuse of antibiotics, once a resistant pool of micro-organism has been established.</w:t>
      </w:r>
      <w:r w:rsidR="00C56912">
        <w:rPr>
          <w:rFonts w:ascii="Cambria" w:hAnsi="Cambria" w:cs="Times New Roman"/>
          <w:sz w:val="20"/>
          <w:szCs w:val="20"/>
        </w:rPr>
        <w:t xml:space="preserve"> This was published [55]. In the second instance, we repeated the original study [55] but considered fitness cost in the maintenance of resistance traits in the absence of selective pressure. However, the conclusions are consistent with that of no fitness cost</w:t>
      </w:r>
      <w:r w:rsidR="00172F70">
        <w:rPr>
          <w:rFonts w:ascii="Cambria" w:hAnsi="Cambria" w:cs="Times New Roman"/>
          <w:sz w:val="20"/>
          <w:szCs w:val="20"/>
        </w:rPr>
        <w:t>, suggesting that</w:t>
      </w:r>
      <w:r w:rsidR="00172F70" w:rsidRPr="00172F70">
        <w:rPr>
          <w:rFonts w:ascii="Cambria" w:hAnsi="Cambria" w:cs="Times New Roman"/>
          <w:sz w:val="20"/>
          <w:szCs w:val="20"/>
        </w:rPr>
        <w:t xml:space="preserve"> fitness cost may have limited role to revert fr</w:t>
      </w:r>
      <w:r w:rsidR="00172F70">
        <w:rPr>
          <w:rFonts w:ascii="Cambria" w:hAnsi="Cambria" w:cs="Times New Roman"/>
          <w:sz w:val="20"/>
          <w:szCs w:val="20"/>
        </w:rPr>
        <w:t>om resistance to susceptibility and other factors had to be considered in future studies [115]. This sequel to the first instance was also published [56].</w:t>
      </w:r>
    </w:p>
    <w:p w:rsidR="0030298A" w:rsidRPr="00DD7683" w:rsidRDefault="0030298A" w:rsidP="00B07E7C">
      <w:pPr>
        <w:spacing w:after="0" w:line="360" w:lineRule="auto"/>
        <w:rPr>
          <w:rFonts w:asciiTheme="majorHAnsi" w:hAnsiTheme="majorHAnsi"/>
        </w:rPr>
      </w:pPr>
    </w:p>
    <w:p w:rsidR="0030298A" w:rsidRPr="0030298A" w:rsidRDefault="00920A80" w:rsidP="00B07E7C">
      <w:pPr>
        <w:pStyle w:val="ListParagraph"/>
        <w:numPr>
          <w:ilvl w:val="0"/>
          <w:numId w:val="1"/>
        </w:numPr>
        <w:spacing w:after="0" w:line="360" w:lineRule="auto"/>
        <w:rPr>
          <w:rFonts w:asciiTheme="majorHAnsi" w:hAnsiTheme="majorHAnsi"/>
          <w:b/>
          <w:color w:val="E36C0A" w:themeColor="accent6" w:themeShade="BF"/>
          <w:sz w:val="28"/>
          <w:szCs w:val="28"/>
        </w:rPr>
      </w:pPr>
      <w:r>
        <w:rPr>
          <w:rFonts w:asciiTheme="majorHAnsi" w:hAnsiTheme="majorHAnsi"/>
          <w:b/>
          <w:color w:val="E36C0A" w:themeColor="accent6" w:themeShade="BF"/>
          <w:sz w:val="28"/>
          <w:szCs w:val="28"/>
        </w:rPr>
        <w:t>My Reflections</w:t>
      </w:r>
    </w:p>
    <w:p w:rsidR="0030298A" w:rsidRDefault="009972D0" w:rsidP="00B07E7C">
      <w:pPr>
        <w:spacing w:after="0" w:line="360" w:lineRule="auto"/>
        <w:jc w:val="both"/>
        <w:rPr>
          <w:rFonts w:ascii="Cambria" w:hAnsi="Cambria" w:cs="Times New Roman"/>
          <w:sz w:val="20"/>
          <w:szCs w:val="20"/>
        </w:rPr>
      </w:pPr>
      <w:r>
        <w:rPr>
          <w:rFonts w:ascii="Cambria" w:hAnsi="Cambria" w:cs="Times New Roman"/>
          <w:sz w:val="20"/>
          <w:szCs w:val="20"/>
        </w:rPr>
        <w:t>As I was narrating my stories, I had a chance to re-examine the circumstances of each project and its outcomes. More importantly, gave me a chance to ask myself several important questions – (1) why I decided to be a project mentor, especially mentoring several projects that are not mandatory within my paid job scope (in fact, only the 3 FYPs are mandatory within my job scope); (2) what did I learn and would I have done it differently; and (3) given a second chance, would I have gone down this path again?</w:t>
      </w:r>
    </w:p>
    <w:p w:rsidR="00AA7006" w:rsidRDefault="00AA7006" w:rsidP="00B07E7C">
      <w:pPr>
        <w:spacing w:after="0" w:line="360" w:lineRule="auto"/>
        <w:jc w:val="both"/>
        <w:rPr>
          <w:rFonts w:ascii="Cambria" w:hAnsi="Cambria" w:cs="Times New Roman"/>
          <w:sz w:val="20"/>
          <w:szCs w:val="20"/>
        </w:rPr>
      </w:pPr>
    </w:p>
    <w:p w:rsidR="00E14982" w:rsidRDefault="0031027D" w:rsidP="00E14982">
      <w:pPr>
        <w:spacing w:after="0" w:line="360" w:lineRule="auto"/>
        <w:jc w:val="both"/>
        <w:rPr>
          <w:rFonts w:ascii="Cambria" w:hAnsi="Cambria" w:cs="Times New Roman"/>
          <w:sz w:val="20"/>
          <w:szCs w:val="20"/>
        </w:rPr>
      </w:pPr>
      <w:r>
        <w:rPr>
          <w:rFonts w:ascii="Cambria" w:hAnsi="Cambria" w:cs="Times New Roman"/>
          <w:sz w:val="20"/>
          <w:szCs w:val="20"/>
        </w:rPr>
        <w:t xml:space="preserve">Looking back, I am hard-pressed to pinpoint a moment when I decided to be a mentor. However, I can list three factors that I consider to be instrumental. Firstly, I was the eldest in my generation (which means that I do not have any elder siblings and I did not have any elder cousins, both maternal and paternal) until I was 21 years old. What happened when I was 21 is a family matter, which is out of the scope of this article. </w:t>
      </w:r>
      <w:r w:rsidR="002575F6">
        <w:rPr>
          <w:rFonts w:ascii="Cambria" w:hAnsi="Cambria" w:cs="Times New Roman"/>
          <w:sz w:val="20"/>
          <w:szCs w:val="20"/>
        </w:rPr>
        <w:t xml:space="preserve">Being the eldest in my generation predisposed myself to be a natural </w:t>
      </w:r>
      <w:r w:rsidR="002575F6" w:rsidRPr="002575F6">
        <w:rPr>
          <w:rFonts w:ascii="Cambria" w:hAnsi="Cambria" w:cs="Times New Roman"/>
          <w:i/>
          <w:sz w:val="20"/>
          <w:szCs w:val="20"/>
        </w:rPr>
        <w:t>de facto</w:t>
      </w:r>
      <w:r w:rsidR="002575F6">
        <w:rPr>
          <w:rFonts w:ascii="Cambria" w:hAnsi="Cambria" w:cs="Times New Roman"/>
          <w:sz w:val="20"/>
          <w:szCs w:val="20"/>
        </w:rPr>
        <w:t xml:space="preserve"> mentor (or child leader) to several of my younger cousins; thereby, entrusting me with mentorship opportunities</w:t>
      </w:r>
      <w:r w:rsidR="00034458">
        <w:rPr>
          <w:rFonts w:ascii="Cambria" w:hAnsi="Cambria" w:cs="Times New Roman"/>
          <w:sz w:val="20"/>
          <w:szCs w:val="20"/>
        </w:rPr>
        <w:t xml:space="preserve"> – more like, I was never given the opportunity to reject</w:t>
      </w:r>
      <w:r w:rsidR="002575F6">
        <w:rPr>
          <w:rFonts w:ascii="Cambria" w:hAnsi="Cambria" w:cs="Times New Roman"/>
          <w:sz w:val="20"/>
          <w:szCs w:val="20"/>
        </w:rPr>
        <w:t xml:space="preserve">. Several studies [116, 117] suggested that previous mentoring experiences are indicative of the person’s willingness to mentor. Moreover, willingness to mentor is correlated to the number of mentoring experiences [117]. </w:t>
      </w:r>
      <w:r w:rsidR="00242040">
        <w:rPr>
          <w:rFonts w:ascii="Cambria" w:hAnsi="Cambria" w:cs="Times New Roman"/>
          <w:sz w:val="20"/>
          <w:szCs w:val="20"/>
        </w:rPr>
        <w:t xml:space="preserve">Secondly, </w:t>
      </w:r>
      <w:r w:rsidR="00931D30">
        <w:rPr>
          <w:rFonts w:ascii="Cambria" w:hAnsi="Cambria" w:cs="Times New Roman"/>
          <w:sz w:val="20"/>
          <w:szCs w:val="20"/>
        </w:rPr>
        <w:t xml:space="preserve">I believe that my past experiences as a protégé played a significant role. The most extensive mentorship experience was during my postgraduate studies where I had the great privilege to be working with good thesis advisers, Drs. Kevin Nicholas and Christophe </w:t>
      </w:r>
      <w:proofErr w:type="spellStart"/>
      <w:r w:rsidR="00931D30">
        <w:rPr>
          <w:rFonts w:ascii="Cambria" w:hAnsi="Cambria" w:cs="Times New Roman"/>
          <w:sz w:val="20"/>
          <w:szCs w:val="20"/>
        </w:rPr>
        <w:t>Lefevre</w:t>
      </w:r>
      <w:proofErr w:type="spellEnd"/>
      <w:r w:rsidR="00931D30">
        <w:rPr>
          <w:rFonts w:ascii="Cambria" w:hAnsi="Cambria" w:cs="Times New Roman"/>
          <w:sz w:val="20"/>
          <w:szCs w:val="20"/>
        </w:rPr>
        <w:t>, during my doctoral days. Both are old enough to be my father and they allowed me extensive latitude to explore my work while gently guiding my research. I could still remember the day when Kev</w:t>
      </w:r>
      <w:r w:rsidR="00A87C61">
        <w:rPr>
          <w:rFonts w:ascii="Cambria" w:hAnsi="Cambria" w:cs="Times New Roman"/>
          <w:sz w:val="20"/>
          <w:szCs w:val="20"/>
        </w:rPr>
        <w:t>in, who</w:t>
      </w:r>
      <w:r w:rsidR="00931D30">
        <w:rPr>
          <w:rFonts w:ascii="Cambria" w:hAnsi="Cambria" w:cs="Times New Roman"/>
          <w:sz w:val="20"/>
          <w:szCs w:val="20"/>
        </w:rPr>
        <w:t xml:space="preserve"> is also my </w:t>
      </w:r>
      <w:proofErr w:type="spellStart"/>
      <w:r w:rsidR="00931D30">
        <w:rPr>
          <w:rFonts w:ascii="Cambria" w:hAnsi="Cambria" w:cs="Times New Roman"/>
          <w:sz w:val="20"/>
          <w:szCs w:val="20"/>
        </w:rPr>
        <w:t>honours</w:t>
      </w:r>
      <w:proofErr w:type="spellEnd"/>
      <w:r w:rsidR="00931D30">
        <w:rPr>
          <w:rFonts w:ascii="Cambria" w:hAnsi="Cambria" w:cs="Times New Roman"/>
          <w:sz w:val="20"/>
          <w:szCs w:val="20"/>
        </w:rPr>
        <w:t xml:space="preserve"> project supervisor, told me that I was to start my PhD as a student but to end as a colleague; and if I had never </w:t>
      </w:r>
      <w:r w:rsidR="00A87C61">
        <w:rPr>
          <w:rFonts w:ascii="Cambria" w:hAnsi="Cambria" w:cs="Times New Roman"/>
          <w:sz w:val="20"/>
          <w:szCs w:val="20"/>
        </w:rPr>
        <w:t>argued</w:t>
      </w:r>
      <w:r w:rsidR="00931D30">
        <w:rPr>
          <w:rFonts w:ascii="Cambria" w:hAnsi="Cambria" w:cs="Times New Roman"/>
          <w:sz w:val="20"/>
          <w:szCs w:val="20"/>
        </w:rPr>
        <w:t xml:space="preserve"> with him during my postgraduate, it would be his failure as an adviser. </w:t>
      </w:r>
      <w:r w:rsidR="00D42C9B">
        <w:rPr>
          <w:rFonts w:ascii="Cambria" w:hAnsi="Cambria" w:cs="Times New Roman"/>
          <w:sz w:val="20"/>
          <w:szCs w:val="20"/>
        </w:rPr>
        <w:t>Both Allen et al. [116</w:t>
      </w:r>
      <w:r w:rsidR="00E14982">
        <w:rPr>
          <w:rFonts w:ascii="Cambria" w:hAnsi="Cambria" w:cs="Times New Roman"/>
          <w:sz w:val="20"/>
          <w:szCs w:val="20"/>
        </w:rPr>
        <w:t xml:space="preserve">] and </w:t>
      </w:r>
      <w:proofErr w:type="spellStart"/>
      <w:r w:rsidR="00E14982">
        <w:rPr>
          <w:rFonts w:ascii="Cambria" w:hAnsi="Cambria" w:cs="Times New Roman"/>
          <w:sz w:val="20"/>
          <w:szCs w:val="20"/>
        </w:rPr>
        <w:t>Ragins</w:t>
      </w:r>
      <w:proofErr w:type="spellEnd"/>
      <w:r w:rsidR="00E14982">
        <w:rPr>
          <w:rFonts w:ascii="Cambria" w:hAnsi="Cambria" w:cs="Times New Roman"/>
          <w:sz w:val="20"/>
          <w:szCs w:val="20"/>
        </w:rPr>
        <w:t xml:space="preserve"> and </w:t>
      </w:r>
      <w:proofErr w:type="spellStart"/>
      <w:r w:rsidR="00E14982">
        <w:rPr>
          <w:rFonts w:ascii="Cambria" w:hAnsi="Cambria" w:cs="Times New Roman"/>
          <w:sz w:val="20"/>
          <w:szCs w:val="20"/>
        </w:rPr>
        <w:t>Scandura</w:t>
      </w:r>
      <w:proofErr w:type="spellEnd"/>
      <w:r w:rsidR="00E14982">
        <w:rPr>
          <w:rFonts w:ascii="Cambria" w:hAnsi="Cambria" w:cs="Times New Roman"/>
          <w:sz w:val="20"/>
          <w:szCs w:val="20"/>
        </w:rPr>
        <w:t xml:space="preserve"> [117] pointed out that positive experiences as protégé can be indicative of willingness to mentor. Perhaps it is also due to my birth order, I may be more willing to mentor from an intuitive point of view than logical reasoning of cost-benefits [118]. If I were to be pressed for a reason, I might only be able to say that “it just feels like it is a right and worthy thing to do, and I am willing to do it.”</w:t>
      </w:r>
    </w:p>
    <w:p w:rsidR="0031027D" w:rsidRDefault="0031027D" w:rsidP="00B07E7C">
      <w:pPr>
        <w:spacing w:after="0" w:line="360" w:lineRule="auto"/>
        <w:jc w:val="both"/>
        <w:rPr>
          <w:rFonts w:ascii="Cambria" w:hAnsi="Cambria" w:cs="Times New Roman"/>
          <w:sz w:val="20"/>
          <w:szCs w:val="20"/>
        </w:rPr>
      </w:pPr>
    </w:p>
    <w:p w:rsidR="0031027D" w:rsidRDefault="00110CFA" w:rsidP="00B07E7C">
      <w:pPr>
        <w:spacing w:after="0" w:line="360" w:lineRule="auto"/>
        <w:jc w:val="both"/>
        <w:rPr>
          <w:rFonts w:ascii="Cambria" w:hAnsi="Cambria" w:cs="Times New Roman"/>
          <w:sz w:val="20"/>
          <w:szCs w:val="20"/>
        </w:rPr>
      </w:pPr>
      <w:r>
        <w:rPr>
          <w:rFonts w:ascii="Cambria" w:hAnsi="Cambria" w:cs="Times New Roman"/>
          <w:sz w:val="20"/>
          <w:szCs w:val="20"/>
        </w:rPr>
        <w:t xml:space="preserve">As I was writing these narratives, and re-reading them, </w:t>
      </w:r>
      <w:r w:rsidR="00F06654">
        <w:rPr>
          <w:rFonts w:ascii="Cambria" w:hAnsi="Cambria" w:cs="Times New Roman"/>
          <w:sz w:val="20"/>
          <w:szCs w:val="20"/>
        </w:rPr>
        <w:t xml:space="preserve">a scene from </w:t>
      </w:r>
      <w:r w:rsidR="00F06654" w:rsidRPr="00F06654">
        <w:rPr>
          <w:rFonts w:ascii="Cambria" w:hAnsi="Cambria" w:cs="Times New Roman"/>
          <w:i/>
          <w:sz w:val="20"/>
          <w:szCs w:val="20"/>
        </w:rPr>
        <w:t>Sex and the City</w:t>
      </w:r>
      <w:r w:rsidR="00F06654">
        <w:rPr>
          <w:rFonts w:ascii="Cambria" w:hAnsi="Cambria" w:cs="Times New Roman"/>
          <w:sz w:val="20"/>
          <w:szCs w:val="20"/>
        </w:rPr>
        <w:t xml:space="preserve"> (Season 5 Episode 7 – The Big Journey) popped into my </w:t>
      </w:r>
      <w:r w:rsidR="00A87C61">
        <w:rPr>
          <w:rFonts w:ascii="Cambria" w:hAnsi="Cambria" w:cs="Times New Roman"/>
          <w:sz w:val="20"/>
          <w:szCs w:val="20"/>
        </w:rPr>
        <w:t>mind</w:t>
      </w:r>
      <w:r w:rsidR="00F06654">
        <w:rPr>
          <w:rFonts w:ascii="Cambria" w:hAnsi="Cambria" w:cs="Times New Roman"/>
          <w:sz w:val="20"/>
          <w:szCs w:val="20"/>
        </w:rPr>
        <w:t xml:space="preserve"> – where Carrie Bradshaw met up with Mr. Big after her book reading </w:t>
      </w:r>
      <w:r w:rsidR="00F06654">
        <w:rPr>
          <w:rFonts w:ascii="Cambria" w:hAnsi="Cambria" w:cs="Times New Roman"/>
          <w:sz w:val="20"/>
          <w:szCs w:val="20"/>
        </w:rPr>
        <w:lastRenderedPageBreak/>
        <w:t>and Mr. Big told Carrie, “</w:t>
      </w:r>
      <w:r w:rsidR="00F06654" w:rsidRPr="00F06654">
        <w:rPr>
          <w:rFonts w:ascii="Cambria" w:hAnsi="Cambria" w:cs="Times New Roman"/>
          <w:i/>
          <w:sz w:val="20"/>
          <w:szCs w:val="20"/>
        </w:rPr>
        <w:t xml:space="preserve">I had no idea </w:t>
      </w:r>
      <w:r w:rsidR="00F1676B">
        <w:rPr>
          <w:rFonts w:ascii="Cambria" w:hAnsi="Cambria" w:cs="Times New Roman"/>
          <w:i/>
          <w:sz w:val="20"/>
          <w:szCs w:val="20"/>
        </w:rPr>
        <w:t>I hurt you so much. I got to say</w:t>
      </w:r>
      <w:r w:rsidR="00F06654" w:rsidRPr="00F06654">
        <w:rPr>
          <w:rFonts w:ascii="Cambria" w:hAnsi="Cambria" w:cs="Times New Roman"/>
          <w:i/>
          <w:sz w:val="20"/>
          <w:szCs w:val="20"/>
        </w:rPr>
        <w:t xml:space="preserve"> it was tough seeing it in print …… Not all in one sitting, one reading, one right after another, bam… bam… bam…</w:t>
      </w:r>
      <w:r w:rsidR="00F06654">
        <w:rPr>
          <w:rFonts w:ascii="Cambria" w:hAnsi="Cambria" w:cs="Times New Roman"/>
          <w:sz w:val="20"/>
          <w:szCs w:val="20"/>
        </w:rPr>
        <w:t>”</w:t>
      </w:r>
      <w:r w:rsidR="00B9289C">
        <w:rPr>
          <w:rFonts w:ascii="Cambria" w:hAnsi="Cambria" w:cs="Times New Roman"/>
          <w:sz w:val="20"/>
          <w:szCs w:val="20"/>
        </w:rPr>
        <w:t xml:space="preserve"> The same happened to my head</w:t>
      </w:r>
      <w:r w:rsidR="005C19ED">
        <w:rPr>
          <w:rFonts w:ascii="Cambria" w:hAnsi="Cambria" w:cs="Times New Roman"/>
          <w:sz w:val="20"/>
          <w:szCs w:val="20"/>
        </w:rPr>
        <w:t xml:space="preserve"> – these events were scattered across more than a thousand pages of my diary and I had to simplify and put them into a structure as I put the events in writing; thereby, enabling me to see</w:t>
      </w:r>
      <w:r w:rsidR="00CD4323">
        <w:rPr>
          <w:rFonts w:ascii="Cambria" w:hAnsi="Cambria" w:cs="Times New Roman"/>
          <w:sz w:val="20"/>
          <w:szCs w:val="20"/>
        </w:rPr>
        <w:t xml:space="preserve"> themes across various stories; which had been therapeutic for me [119-122].</w:t>
      </w:r>
    </w:p>
    <w:p w:rsidR="00C901A6" w:rsidRDefault="00C901A6" w:rsidP="00B07E7C">
      <w:pPr>
        <w:spacing w:after="0" w:line="360" w:lineRule="auto"/>
        <w:jc w:val="both"/>
        <w:rPr>
          <w:rFonts w:ascii="Cambria" w:hAnsi="Cambria" w:cs="Times New Roman"/>
          <w:sz w:val="20"/>
          <w:szCs w:val="20"/>
        </w:rPr>
      </w:pPr>
    </w:p>
    <w:p w:rsidR="00C901A6" w:rsidRDefault="00C901A6" w:rsidP="00B07E7C">
      <w:pPr>
        <w:spacing w:after="0" w:line="360" w:lineRule="auto"/>
        <w:jc w:val="both"/>
        <w:rPr>
          <w:rFonts w:ascii="Cambria" w:hAnsi="Cambria" w:cs="Times New Roman"/>
          <w:sz w:val="20"/>
          <w:szCs w:val="20"/>
        </w:rPr>
      </w:pPr>
      <w:r>
        <w:rPr>
          <w:rFonts w:ascii="Cambria" w:hAnsi="Cambria" w:cs="Times New Roman"/>
          <w:sz w:val="20"/>
          <w:szCs w:val="20"/>
        </w:rPr>
        <w:t xml:space="preserve">I realized that all the students in these narratives did not have an idea what they wanted to do in terms of the nature of the project in the beginning but rather, they wanted or had to do something. </w:t>
      </w:r>
      <w:r w:rsidR="00365139">
        <w:rPr>
          <w:rFonts w:ascii="Cambria" w:hAnsi="Cambria" w:cs="Times New Roman"/>
          <w:sz w:val="20"/>
          <w:szCs w:val="20"/>
        </w:rPr>
        <w:t xml:space="preserve">I attributed this to the </w:t>
      </w:r>
      <w:r w:rsidR="008C10A1">
        <w:rPr>
          <w:rFonts w:ascii="Cambria" w:hAnsi="Cambria" w:cs="Times New Roman"/>
          <w:sz w:val="20"/>
          <w:szCs w:val="20"/>
        </w:rPr>
        <w:t>general lack of experience on the part of the students; henc</w:t>
      </w:r>
      <w:r w:rsidR="00F16605">
        <w:rPr>
          <w:rFonts w:ascii="Cambria" w:hAnsi="Cambria" w:cs="Times New Roman"/>
          <w:sz w:val="20"/>
          <w:szCs w:val="20"/>
        </w:rPr>
        <w:t>e, it i</w:t>
      </w:r>
      <w:r w:rsidR="008C10A1">
        <w:rPr>
          <w:rFonts w:ascii="Cambria" w:hAnsi="Cambria" w:cs="Times New Roman"/>
          <w:sz w:val="20"/>
          <w:szCs w:val="20"/>
        </w:rPr>
        <w:t>s the mentor’s duty to moot a project of sufficient content to interest</w:t>
      </w:r>
      <w:r w:rsidR="00F16605">
        <w:rPr>
          <w:rFonts w:ascii="Cambria" w:hAnsi="Cambria" w:cs="Times New Roman"/>
          <w:sz w:val="20"/>
          <w:szCs w:val="20"/>
        </w:rPr>
        <w:t xml:space="preserve"> yet</w:t>
      </w:r>
      <w:r w:rsidR="008C10A1">
        <w:rPr>
          <w:rFonts w:ascii="Cambria" w:hAnsi="Cambria" w:cs="Times New Roman"/>
          <w:sz w:val="20"/>
          <w:szCs w:val="20"/>
        </w:rPr>
        <w:t xml:space="preserve"> not overwhelming to the students. It is also the </w:t>
      </w:r>
      <w:r w:rsidR="00F16605">
        <w:rPr>
          <w:rFonts w:ascii="Cambria" w:hAnsi="Cambria" w:cs="Times New Roman"/>
          <w:sz w:val="20"/>
          <w:szCs w:val="20"/>
        </w:rPr>
        <w:t xml:space="preserve">mentor’s </w:t>
      </w:r>
      <w:r w:rsidR="008C10A1">
        <w:rPr>
          <w:rFonts w:ascii="Cambria" w:hAnsi="Cambria" w:cs="Times New Roman"/>
          <w:sz w:val="20"/>
          <w:szCs w:val="20"/>
        </w:rPr>
        <w:t>duty to contextualize the project in the bigger re</w:t>
      </w:r>
      <w:r w:rsidR="00F16605">
        <w:rPr>
          <w:rFonts w:ascii="Cambria" w:hAnsi="Cambria" w:cs="Times New Roman"/>
          <w:sz w:val="20"/>
          <w:szCs w:val="20"/>
        </w:rPr>
        <w:t>alm of science. My students showed</w:t>
      </w:r>
      <w:r w:rsidR="008C10A1">
        <w:rPr>
          <w:rFonts w:ascii="Cambria" w:hAnsi="Cambria" w:cs="Times New Roman"/>
          <w:sz w:val="20"/>
          <w:szCs w:val="20"/>
        </w:rPr>
        <w:t xml:space="preserve"> interests to want to do something; such as, taking up my </w:t>
      </w:r>
      <w:r w:rsidR="00F16605">
        <w:rPr>
          <w:rFonts w:ascii="Cambria" w:hAnsi="Cambria" w:cs="Times New Roman"/>
          <w:sz w:val="20"/>
          <w:szCs w:val="20"/>
        </w:rPr>
        <w:t xml:space="preserve">project </w:t>
      </w:r>
      <w:r w:rsidR="008C10A1">
        <w:rPr>
          <w:rFonts w:ascii="Cambria" w:hAnsi="Cambria" w:cs="Times New Roman"/>
          <w:sz w:val="20"/>
          <w:szCs w:val="20"/>
        </w:rPr>
        <w:t xml:space="preserve">offer out of their course requirements or coming to me with the intention to do something; or willing to do something extra and on top of what is needed for them; such as, reading up more or drafting a manuscript. In hindsight, this is about all they can offer </w:t>
      </w:r>
      <w:r w:rsidR="004661B7">
        <w:rPr>
          <w:rFonts w:ascii="Cambria" w:hAnsi="Cambria" w:cs="Times New Roman"/>
          <w:sz w:val="20"/>
          <w:szCs w:val="20"/>
        </w:rPr>
        <w:t xml:space="preserve">and it can be a challenge for them </w:t>
      </w:r>
      <w:r w:rsidR="00382F14">
        <w:rPr>
          <w:rFonts w:ascii="Cambria" w:hAnsi="Cambria" w:cs="Times New Roman"/>
          <w:sz w:val="20"/>
          <w:szCs w:val="20"/>
        </w:rPr>
        <w:t>to stick their heads out for a non-mandatory research project as there is a perceived expectation of the project on the part of the students even though the mentor may not see it that way [123]. Despite so, there is a perceived burden on the students to meet the supposed expectations of the mentor as failure to meet such expectations can be distressing [124</w:t>
      </w:r>
      <w:r w:rsidR="008F63F7">
        <w:rPr>
          <w:rFonts w:ascii="Cambria" w:hAnsi="Cambria" w:cs="Times New Roman"/>
          <w:sz w:val="20"/>
          <w:szCs w:val="20"/>
        </w:rPr>
        <w:t>, 125</w:t>
      </w:r>
      <w:r w:rsidR="00382F14">
        <w:rPr>
          <w:rFonts w:ascii="Cambria" w:hAnsi="Cambria" w:cs="Times New Roman"/>
          <w:sz w:val="20"/>
          <w:szCs w:val="20"/>
        </w:rPr>
        <w:t xml:space="preserve">]. </w:t>
      </w:r>
      <w:r w:rsidR="00906137">
        <w:rPr>
          <w:rFonts w:ascii="Cambria" w:hAnsi="Cambria" w:cs="Times New Roman"/>
          <w:sz w:val="20"/>
          <w:szCs w:val="20"/>
        </w:rPr>
        <w:t xml:space="preserve">It then becomes the mentor’s task to have to bridge this expectation gap and be extremely patient for students will ask the same stuffs multiple times. </w:t>
      </w:r>
      <w:r w:rsidR="002618FD">
        <w:rPr>
          <w:rFonts w:ascii="Cambria" w:hAnsi="Cambria" w:cs="Times New Roman"/>
          <w:sz w:val="20"/>
          <w:szCs w:val="20"/>
        </w:rPr>
        <w:t xml:space="preserve">In a way, I did felt that the amount of effort to teach a semester and the amount of effort to mentor a project group is the same despite the number of students being significantly different – it is </w:t>
      </w:r>
      <w:r w:rsidR="00F16605">
        <w:rPr>
          <w:rFonts w:ascii="Cambria" w:hAnsi="Cambria" w:cs="Times New Roman"/>
          <w:sz w:val="20"/>
          <w:szCs w:val="20"/>
        </w:rPr>
        <w:t>concentrating</w:t>
      </w:r>
      <w:r w:rsidR="002618FD">
        <w:rPr>
          <w:rFonts w:ascii="Cambria" w:hAnsi="Cambria" w:cs="Times New Roman"/>
          <w:sz w:val="20"/>
          <w:szCs w:val="20"/>
        </w:rPr>
        <w:t xml:space="preserve"> the attention needed by a lecture room of students onto jus</w:t>
      </w:r>
      <w:r w:rsidR="00952BB9">
        <w:rPr>
          <w:rFonts w:ascii="Cambria" w:hAnsi="Cambria" w:cs="Times New Roman"/>
          <w:sz w:val="20"/>
          <w:szCs w:val="20"/>
        </w:rPr>
        <w:t xml:space="preserve">t a team of 3 project students and it will not be just imparting of skills and knowledge. </w:t>
      </w:r>
      <w:r w:rsidR="00A166DF">
        <w:rPr>
          <w:rFonts w:ascii="Cambria" w:hAnsi="Cambria" w:cs="Times New Roman"/>
          <w:sz w:val="20"/>
          <w:szCs w:val="20"/>
        </w:rPr>
        <w:t xml:space="preserve">At the very initial stage, the role of the mentor is the advocate of the field where he should build interest and context of the work. Only then, can there be a stable path for knowledge and skills transfer. </w:t>
      </w:r>
      <w:r w:rsidR="00952BB9">
        <w:rPr>
          <w:rFonts w:ascii="Cambria" w:hAnsi="Cambria" w:cs="Times New Roman"/>
          <w:sz w:val="20"/>
          <w:szCs w:val="20"/>
        </w:rPr>
        <w:t xml:space="preserve">If mentoring is a graduate course, then knowledge/skills transfer is a hurdle requirement. The mentor should be a friend, a counsellor, and likely, even a surrogate parent. I was told by a former colleague that there was a student once that got into trouble and was detained by the police, and the student called up his project mentor instead of his parents. </w:t>
      </w:r>
      <w:r w:rsidR="00A166DF">
        <w:rPr>
          <w:rFonts w:ascii="Cambria" w:hAnsi="Cambria" w:cs="Times New Roman"/>
          <w:sz w:val="20"/>
          <w:szCs w:val="20"/>
        </w:rPr>
        <w:t xml:space="preserve">In a way, mentoring relationship is trust building between the mentor and the protégé [126-128]. Once the trust is built, it can be fulfilling and </w:t>
      </w:r>
      <w:proofErr w:type="spellStart"/>
      <w:r w:rsidR="00A166DF">
        <w:rPr>
          <w:rFonts w:ascii="Cambria" w:hAnsi="Cambria" w:cs="Times New Roman"/>
          <w:sz w:val="20"/>
          <w:szCs w:val="20"/>
        </w:rPr>
        <w:t>Ragins</w:t>
      </w:r>
      <w:proofErr w:type="spellEnd"/>
      <w:r w:rsidR="00A166DF">
        <w:rPr>
          <w:rFonts w:ascii="Cambria" w:hAnsi="Cambria" w:cs="Times New Roman"/>
          <w:sz w:val="20"/>
          <w:szCs w:val="20"/>
        </w:rPr>
        <w:t xml:space="preserve"> and </w:t>
      </w:r>
      <w:proofErr w:type="spellStart"/>
      <w:r w:rsidR="00A166DF">
        <w:rPr>
          <w:rFonts w:ascii="Cambria" w:hAnsi="Cambria" w:cs="Times New Roman"/>
          <w:sz w:val="20"/>
          <w:szCs w:val="20"/>
        </w:rPr>
        <w:t>Scandura</w:t>
      </w:r>
      <w:proofErr w:type="spellEnd"/>
      <w:r w:rsidR="00A166DF">
        <w:rPr>
          <w:rFonts w:ascii="Cambria" w:hAnsi="Cambria" w:cs="Times New Roman"/>
          <w:sz w:val="20"/>
          <w:szCs w:val="20"/>
        </w:rPr>
        <w:t xml:space="preserve"> [117] had suggested that the willingness of mentors can be associated to previous positive experiences as a mentor.</w:t>
      </w:r>
    </w:p>
    <w:p w:rsidR="00A166DF" w:rsidRDefault="00A166DF" w:rsidP="00B07E7C">
      <w:pPr>
        <w:spacing w:after="0" w:line="360" w:lineRule="auto"/>
        <w:jc w:val="both"/>
        <w:rPr>
          <w:rFonts w:ascii="Cambria" w:hAnsi="Cambria" w:cs="Times New Roman"/>
          <w:sz w:val="20"/>
          <w:szCs w:val="20"/>
        </w:rPr>
      </w:pPr>
    </w:p>
    <w:p w:rsidR="00A166DF" w:rsidRDefault="00A166DF" w:rsidP="00B07E7C">
      <w:pPr>
        <w:spacing w:after="0" w:line="360" w:lineRule="auto"/>
        <w:jc w:val="both"/>
        <w:rPr>
          <w:rFonts w:ascii="Cambria" w:hAnsi="Cambria" w:cs="Times New Roman"/>
          <w:sz w:val="20"/>
          <w:szCs w:val="20"/>
        </w:rPr>
      </w:pPr>
      <w:r>
        <w:rPr>
          <w:rFonts w:ascii="Cambria" w:hAnsi="Cambria" w:cs="Times New Roman"/>
          <w:sz w:val="20"/>
          <w:szCs w:val="20"/>
        </w:rPr>
        <w:t>Given a second chance, would I have gone down this path again? My answer will be a resounding yes. At an autistic level</w:t>
      </w:r>
      <w:r w:rsidR="00501E14">
        <w:rPr>
          <w:rFonts w:ascii="Cambria" w:hAnsi="Cambria" w:cs="Times New Roman"/>
          <w:sz w:val="20"/>
          <w:szCs w:val="20"/>
        </w:rPr>
        <w:t>, being a mentor had given me substantial satisfaction [129] that I had contributed significantly to someone’s learning and the contributing to my own explorations in science. Being asked by students is a great way for me to improve and consolidate my understanding in the field [130]. By explaining to my students, I gained insights into how I learn and the inherent blind spots to my knowledge.</w:t>
      </w:r>
      <w:r w:rsidR="00501E14" w:rsidRPr="00501E14">
        <w:rPr>
          <w:rFonts w:ascii="Cambria" w:hAnsi="Cambria" w:cs="Times New Roman"/>
          <w:sz w:val="20"/>
          <w:szCs w:val="20"/>
        </w:rPr>
        <w:t xml:space="preserve"> </w:t>
      </w:r>
      <w:r w:rsidR="00501E14">
        <w:rPr>
          <w:rFonts w:ascii="Cambria" w:hAnsi="Cambria" w:cs="Times New Roman"/>
          <w:sz w:val="20"/>
          <w:szCs w:val="20"/>
        </w:rPr>
        <w:t xml:space="preserve">Nothing beats the motivation to flip open a textbook or to search for another publication just to support your argument or to </w:t>
      </w:r>
      <w:r w:rsidR="00501E14">
        <w:rPr>
          <w:rFonts w:ascii="Cambria" w:hAnsi="Cambria" w:cs="Times New Roman"/>
          <w:sz w:val="20"/>
          <w:szCs w:val="20"/>
        </w:rPr>
        <w:lastRenderedPageBreak/>
        <w:t xml:space="preserve">clear your </w:t>
      </w:r>
      <w:r w:rsidR="00347393">
        <w:rPr>
          <w:rFonts w:ascii="Cambria" w:hAnsi="Cambria" w:cs="Times New Roman"/>
          <w:sz w:val="20"/>
          <w:szCs w:val="20"/>
        </w:rPr>
        <w:t>protégé</w:t>
      </w:r>
      <w:r w:rsidR="00501E14">
        <w:rPr>
          <w:rFonts w:ascii="Cambria" w:hAnsi="Cambria" w:cs="Times New Roman"/>
          <w:sz w:val="20"/>
          <w:szCs w:val="20"/>
        </w:rPr>
        <w:t>s’ doubts. At the external level, I had seen my protégé</w:t>
      </w:r>
      <w:r w:rsidR="00347393">
        <w:rPr>
          <w:rFonts w:ascii="Cambria" w:hAnsi="Cambria" w:cs="Times New Roman"/>
          <w:sz w:val="20"/>
          <w:szCs w:val="20"/>
        </w:rPr>
        <w:t>s’ growth in their intellect and reasoning skills. More concretely, there were multiple instances where my protégés rode on their published papers and gained entries into their desired course of studies and awarded competitive scholarships. I believe that their success is one of the best returns for my efforts. Each of my mentors played an irreplaceable role in my achievements, now and in future. Th</w:t>
      </w:r>
      <w:r w:rsidR="00F16605">
        <w:rPr>
          <w:rFonts w:ascii="Cambria" w:hAnsi="Cambria" w:cs="Times New Roman"/>
          <w:sz w:val="20"/>
          <w:szCs w:val="20"/>
        </w:rPr>
        <w:t>erefore, why will I walk this path? Perhaps the simplest answer is – to repay the gratitude I have for my own mentors.</w:t>
      </w:r>
      <w:r w:rsidR="00347393">
        <w:rPr>
          <w:rFonts w:ascii="Cambria" w:hAnsi="Cambria" w:cs="Times New Roman"/>
          <w:sz w:val="20"/>
          <w:szCs w:val="20"/>
        </w:rPr>
        <w:t xml:space="preserve">  </w:t>
      </w:r>
    </w:p>
    <w:p w:rsidR="00067171" w:rsidRPr="0030298A" w:rsidRDefault="00067171" w:rsidP="00B07E7C">
      <w:pPr>
        <w:tabs>
          <w:tab w:val="left" w:pos="1810"/>
        </w:tabs>
        <w:spacing w:after="0" w:line="360" w:lineRule="auto"/>
        <w:jc w:val="both"/>
        <w:rPr>
          <w:rFonts w:ascii="Cambria" w:hAnsi="Cambria" w:cs="Times New Roman"/>
          <w:sz w:val="20"/>
          <w:szCs w:val="20"/>
        </w:rPr>
      </w:pPr>
    </w:p>
    <w:p w:rsidR="0030298A" w:rsidRPr="0030298A" w:rsidRDefault="0030298A" w:rsidP="00B07E7C">
      <w:pPr>
        <w:pStyle w:val="ListParagraph"/>
        <w:numPr>
          <w:ilvl w:val="0"/>
          <w:numId w:val="1"/>
        </w:numPr>
        <w:spacing w:after="0" w:line="360" w:lineRule="auto"/>
        <w:rPr>
          <w:rFonts w:ascii="Cambria" w:hAnsi="Cambria"/>
          <w:sz w:val="20"/>
          <w:szCs w:val="20"/>
        </w:rPr>
      </w:pPr>
      <w:r w:rsidRPr="0030298A">
        <w:rPr>
          <w:rFonts w:asciiTheme="majorHAnsi" w:hAnsiTheme="majorHAnsi"/>
          <w:b/>
          <w:color w:val="E36C0A" w:themeColor="accent6" w:themeShade="BF"/>
          <w:sz w:val="28"/>
          <w:szCs w:val="28"/>
        </w:rPr>
        <w:t>Conflict of Interest</w:t>
      </w:r>
    </w:p>
    <w:p w:rsidR="0030298A" w:rsidRPr="0030298A" w:rsidRDefault="006F6C05" w:rsidP="00B07E7C">
      <w:pPr>
        <w:spacing w:after="0" w:line="360" w:lineRule="auto"/>
        <w:rPr>
          <w:rFonts w:ascii="Cambria" w:hAnsi="Cambria"/>
          <w:sz w:val="20"/>
          <w:szCs w:val="20"/>
        </w:rPr>
      </w:pPr>
      <w:r>
        <w:rPr>
          <w:rFonts w:ascii="Cambria" w:hAnsi="Cambria"/>
          <w:sz w:val="20"/>
          <w:szCs w:val="20"/>
        </w:rPr>
        <w:t>The author declares</w:t>
      </w:r>
      <w:r w:rsidR="00C31CCF">
        <w:rPr>
          <w:rFonts w:ascii="Cambria" w:hAnsi="Cambria"/>
          <w:sz w:val="20"/>
          <w:szCs w:val="20"/>
        </w:rPr>
        <w:t xml:space="preserve"> </w:t>
      </w:r>
      <w:r w:rsidR="0030298A" w:rsidRPr="0030298A">
        <w:rPr>
          <w:rFonts w:ascii="Cambria" w:hAnsi="Cambria"/>
          <w:sz w:val="20"/>
          <w:szCs w:val="20"/>
        </w:rPr>
        <w:t>no conflict of interest.</w:t>
      </w:r>
    </w:p>
    <w:p w:rsidR="009733F2" w:rsidRDefault="009733F2" w:rsidP="00B07E7C">
      <w:pPr>
        <w:spacing w:after="0" w:line="360" w:lineRule="auto"/>
        <w:rPr>
          <w:rFonts w:cstheme="minorHAnsi"/>
          <w:b/>
          <w:color w:val="E36C0A" w:themeColor="accent6" w:themeShade="BF"/>
          <w:sz w:val="20"/>
          <w:szCs w:val="20"/>
        </w:rPr>
      </w:pPr>
    </w:p>
    <w:p w:rsidR="001448D2" w:rsidRPr="00DD7683" w:rsidRDefault="001448D2" w:rsidP="001448D2">
      <w:pPr>
        <w:spacing w:after="0" w:line="360" w:lineRule="auto"/>
        <w:ind w:firstLine="720"/>
        <w:rPr>
          <w:rFonts w:asciiTheme="majorHAnsi" w:hAnsiTheme="majorHAnsi"/>
          <w:b/>
          <w:color w:val="E36C0A" w:themeColor="accent6" w:themeShade="BF"/>
          <w:sz w:val="28"/>
          <w:szCs w:val="28"/>
        </w:rPr>
      </w:pPr>
      <w:r>
        <w:rPr>
          <w:rFonts w:asciiTheme="majorHAnsi" w:hAnsiTheme="majorHAnsi"/>
          <w:b/>
          <w:color w:val="E36C0A" w:themeColor="accent6" w:themeShade="BF"/>
          <w:sz w:val="28"/>
          <w:szCs w:val="28"/>
        </w:rPr>
        <w:t>Acknowledgement</w:t>
      </w:r>
    </w:p>
    <w:p w:rsidR="001448D2" w:rsidRDefault="001448D2" w:rsidP="001448D2">
      <w:pPr>
        <w:spacing w:after="0" w:line="360" w:lineRule="auto"/>
        <w:rPr>
          <w:rFonts w:ascii="Cambria" w:hAnsi="Cambria"/>
          <w:sz w:val="20"/>
          <w:szCs w:val="20"/>
        </w:rPr>
      </w:pPr>
      <w:r>
        <w:rPr>
          <w:rFonts w:ascii="Cambria" w:hAnsi="Cambria"/>
          <w:sz w:val="20"/>
          <w:szCs w:val="20"/>
        </w:rPr>
        <w:t xml:space="preserve">I wish to thank </w:t>
      </w:r>
      <w:r w:rsidR="001F5104">
        <w:rPr>
          <w:rFonts w:ascii="Cambria" w:hAnsi="Cambria"/>
          <w:sz w:val="20"/>
          <w:szCs w:val="20"/>
        </w:rPr>
        <w:t>all my students</w:t>
      </w:r>
      <w:r w:rsidR="00A87C61">
        <w:rPr>
          <w:rFonts w:ascii="Cambria" w:hAnsi="Cambria"/>
          <w:sz w:val="20"/>
          <w:szCs w:val="20"/>
        </w:rPr>
        <w:t xml:space="preserve"> for making all these possible</w:t>
      </w:r>
      <w:r w:rsidR="001F5104">
        <w:rPr>
          <w:rFonts w:ascii="Cambria" w:hAnsi="Cambria"/>
          <w:sz w:val="20"/>
          <w:szCs w:val="20"/>
        </w:rPr>
        <w:t xml:space="preserve">, and </w:t>
      </w:r>
      <w:r w:rsidR="00A87C61">
        <w:rPr>
          <w:rFonts w:ascii="Cambria" w:hAnsi="Cambria"/>
          <w:sz w:val="20"/>
          <w:szCs w:val="20"/>
        </w:rPr>
        <w:t>my mentors for providing me with positive experiences</w:t>
      </w:r>
      <w:r>
        <w:rPr>
          <w:rFonts w:ascii="Cambria" w:hAnsi="Cambria"/>
          <w:sz w:val="20"/>
          <w:szCs w:val="20"/>
        </w:rPr>
        <w:t>.</w:t>
      </w:r>
    </w:p>
    <w:p w:rsidR="001448D2" w:rsidRPr="001448D2" w:rsidRDefault="001448D2" w:rsidP="001448D2">
      <w:pPr>
        <w:spacing w:after="0" w:line="360" w:lineRule="auto"/>
        <w:rPr>
          <w:rFonts w:cstheme="minorHAnsi"/>
          <w:b/>
          <w:color w:val="E36C0A" w:themeColor="accent6" w:themeShade="BF"/>
          <w:sz w:val="20"/>
          <w:szCs w:val="20"/>
        </w:rPr>
      </w:pPr>
    </w:p>
    <w:p w:rsidR="0030298A" w:rsidRPr="00DD7683" w:rsidRDefault="0030298A" w:rsidP="00B07E7C">
      <w:pPr>
        <w:spacing w:after="0" w:line="360" w:lineRule="auto"/>
        <w:ind w:firstLine="720"/>
        <w:rPr>
          <w:rFonts w:asciiTheme="majorHAnsi" w:hAnsiTheme="majorHAnsi"/>
          <w:b/>
          <w:color w:val="E36C0A" w:themeColor="accent6" w:themeShade="BF"/>
          <w:sz w:val="28"/>
          <w:szCs w:val="28"/>
        </w:rPr>
      </w:pPr>
      <w:r w:rsidRPr="00DD7683">
        <w:rPr>
          <w:rFonts w:asciiTheme="majorHAnsi" w:hAnsiTheme="majorHAnsi"/>
          <w:b/>
          <w:color w:val="E36C0A" w:themeColor="accent6" w:themeShade="BF"/>
          <w:sz w:val="28"/>
          <w:szCs w:val="28"/>
        </w:rPr>
        <w:t>References</w:t>
      </w:r>
    </w:p>
    <w:p w:rsidR="00860FCB" w:rsidRPr="00A56A12" w:rsidRDefault="00860FCB" w:rsidP="009A667E">
      <w:pPr>
        <w:spacing w:after="0" w:line="240" w:lineRule="auto"/>
        <w:ind w:left="426" w:hanging="426"/>
        <w:rPr>
          <w:rFonts w:ascii="Cambria" w:hAnsi="Cambria"/>
          <w:sz w:val="20"/>
          <w:szCs w:val="20"/>
        </w:rPr>
      </w:pPr>
      <w:r w:rsidRPr="00A56A12">
        <w:rPr>
          <w:rFonts w:ascii="Cambria" w:hAnsi="Cambria"/>
          <w:sz w:val="20"/>
          <w:szCs w:val="20"/>
        </w:rPr>
        <w:t>[1] McNerney, K., and Hall, N. (2017). Developing a framework of scientific enquiry in early childhood: an action research project to support staff development and improve science teaching. Early Child Development and Care 187, 206–220.</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[2] Ling, M. H. T. (2017)</w:t>
      </w:r>
      <w:r w:rsidR="009A667E">
        <w:rPr>
          <w:rFonts w:ascii="Cambria" w:hAnsi="Cambria"/>
          <w:sz w:val="20"/>
          <w:szCs w:val="20"/>
        </w:rPr>
        <w:t>. Problem-based learning (PBL), an important paradigm for bioinformatics e</w:t>
      </w:r>
      <w:r w:rsidRPr="00A56A12">
        <w:rPr>
          <w:rFonts w:ascii="Cambria" w:hAnsi="Cambria"/>
          <w:sz w:val="20"/>
          <w:szCs w:val="20"/>
        </w:rPr>
        <w:t>ducation. MOJ Pro</w:t>
      </w:r>
      <w:r w:rsidR="005A71BE" w:rsidRPr="00A56A12">
        <w:rPr>
          <w:rFonts w:ascii="Cambria" w:hAnsi="Cambria"/>
          <w:sz w:val="20"/>
          <w:szCs w:val="20"/>
        </w:rPr>
        <w:t xml:space="preserve">teomics and Bioinformatics 5, </w:t>
      </w:r>
      <w:r w:rsidRPr="00A56A12">
        <w:rPr>
          <w:rFonts w:ascii="Cambria" w:hAnsi="Cambria"/>
          <w:sz w:val="20"/>
          <w:szCs w:val="20"/>
        </w:rPr>
        <w:t>00166.</w:t>
      </w:r>
    </w:p>
    <w:p w:rsidR="00DB3687"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[3</w:t>
      </w:r>
      <w:r w:rsidR="00DB3687" w:rsidRPr="00A56A12">
        <w:rPr>
          <w:rFonts w:ascii="Cambria" w:hAnsi="Cambria"/>
          <w:sz w:val="20"/>
          <w:szCs w:val="20"/>
        </w:rPr>
        <w:t xml:space="preserve">] </w:t>
      </w:r>
      <w:proofErr w:type="spellStart"/>
      <w:r w:rsidR="00DB3687" w:rsidRPr="00A56A12">
        <w:rPr>
          <w:rFonts w:ascii="Cambria" w:hAnsi="Cambria"/>
          <w:sz w:val="20"/>
          <w:szCs w:val="20"/>
        </w:rPr>
        <w:t>Krasn</w:t>
      </w:r>
      <w:r w:rsidR="009A667E">
        <w:rPr>
          <w:rFonts w:ascii="Cambria" w:hAnsi="Cambria"/>
          <w:sz w:val="20"/>
          <w:szCs w:val="20"/>
        </w:rPr>
        <w:t>y</w:t>
      </w:r>
      <w:proofErr w:type="spellEnd"/>
      <w:r w:rsidR="009A667E">
        <w:rPr>
          <w:rFonts w:ascii="Cambria" w:hAnsi="Cambria"/>
          <w:sz w:val="20"/>
          <w:szCs w:val="20"/>
        </w:rPr>
        <w:t>, M.E. (1999). Reflections on n</w:t>
      </w:r>
      <w:r w:rsidR="00DB3687" w:rsidRPr="00A56A12">
        <w:rPr>
          <w:rFonts w:ascii="Cambria" w:hAnsi="Cambria"/>
          <w:sz w:val="20"/>
          <w:szCs w:val="20"/>
        </w:rPr>
        <w:t>in</w:t>
      </w:r>
      <w:r w:rsidR="009A667E">
        <w:rPr>
          <w:rFonts w:ascii="Cambria" w:hAnsi="Cambria"/>
          <w:sz w:val="20"/>
          <w:szCs w:val="20"/>
        </w:rPr>
        <w:t>e years of conducting high school research p</w:t>
      </w:r>
      <w:r w:rsidR="00DB3687" w:rsidRPr="00A56A12">
        <w:rPr>
          <w:rFonts w:ascii="Cambria" w:hAnsi="Cambria"/>
          <w:sz w:val="20"/>
          <w:szCs w:val="20"/>
        </w:rPr>
        <w:t>rograms. Journal of Natural Resources and Life Sciences Education 28, 17–23.</w:t>
      </w:r>
    </w:p>
    <w:p w:rsidR="00DB3687"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[4</w:t>
      </w:r>
      <w:r w:rsidR="00DB3687" w:rsidRPr="00A56A12">
        <w:rPr>
          <w:rFonts w:ascii="Cambria" w:hAnsi="Cambria"/>
          <w:sz w:val="20"/>
          <w:szCs w:val="20"/>
        </w:rPr>
        <w:t>] Gordon, C. (1999). Studen</w:t>
      </w:r>
      <w:r w:rsidR="009A667E">
        <w:rPr>
          <w:rFonts w:ascii="Cambria" w:hAnsi="Cambria"/>
          <w:sz w:val="20"/>
          <w:szCs w:val="20"/>
        </w:rPr>
        <w:t>ts as Authentic Researchers: A new prescription for the high school r</w:t>
      </w:r>
      <w:r w:rsidR="00DB3687" w:rsidRPr="00A56A12">
        <w:rPr>
          <w:rFonts w:ascii="Cambria" w:hAnsi="Cambria"/>
          <w:sz w:val="20"/>
          <w:szCs w:val="20"/>
        </w:rPr>
        <w:t>esearch Assignment. School Library Media Research 2, 1–21.</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 xml:space="preserve">[5] </w:t>
      </w:r>
      <w:proofErr w:type="spellStart"/>
      <w:r w:rsidRPr="00A56A12">
        <w:rPr>
          <w:rFonts w:ascii="Cambria" w:hAnsi="Cambria"/>
          <w:sz w:val="20"/>
          <w:szCs w:val="20"/>
        </w:rPr>
        <w:t>Machluf</w:t>
      </w:r>
      <w:proofErr w:type="spellEnd"/>
      <w:r w:rsidRPr="00A56A12">
        <w:rPr>
          <w:rFonts w:ascii="Cambria" w:hAnsi="Cambria"/>
          <w:sz w:val="20"/>
          <w:szCs w:val="20"/>
        </w:rPr>
        <w:t xml:space="preserve">, Y., </w:t>
      </w:r>
      <w:proofErr w:type="spellStart"/>
      <w:r w:rsidRPr="00A56A12">
        <w:rPr>
          <w:rFonts w:ascii="Cambria" w:hAnsi="Cambria"/>
          <w:sz w:val="20"/>
          <w:szCs w:val="20"/>
        </w:rPr>
        <w:t>Gelbart</w:t>
      </w:r>
      <w:proofErr w:type="spellEnd"/>
      <w:r w:rsidRPr="00A56A12">
        <w:rPr>
          <w:rFonts w:ascii="Cambria" w:hAnsi="Cambria"/>
          <w:sz w:val="20"/>
          <w:szCs w:val="20"/>
        </w:rPr>
        <w:t>, H., Ben-</w:t>
      </w:r>
      <w:proofErr w:type="spellStart"/>
      <w:r w:rsidRPr="00A56A12">
        <w:rPr>
          <w:rFonts w:ascii="Cambria" w:hAnsi="Cambria"/>
          <w:sz w:val="20"/>
          <w:szCs w:val="20"/>
        </w:rPr>
        <w:t>Dor</w:t>
      </w:r>
      <w:proofErr w:type="spellEnd"/>
      <w:r w:rsidRPr="00A56A12">
        <w:rPr>
          <w:rFonts w:ascii="Cambria" w:hAnsi="Cambria"/>
          <w:sz w:val="20"/>
          <w:szCs w:val="20"/>
        </w:rPr>
        <w:t xml:space="preserve">, S., and </w:t>
      </w:r>
      <w:proofErr w:type="spellStart"/>
      <w:r w:rsidRPr="00A56A12">
        <w:rPr>
          <w:rFonts w:ascii="Cambria" w:hAnsi="Cambria"/>
          <w:sz w:val="20"/>
          <w:szCs w:val="20"/>
        </w:rPr>
        <w:t>Yarden</w:t>
      </w:r>
      <w:proofErr w:type="spellEnd"/>
      <w:r w:rsidRPr="00A56A12">
        <w:rPr>
          <w:rFonts w:ascii="Cambria" w:hAnsi="Cambria"/>
          <w:sz w:val="20"/>
          <w:szCs w:val="20"/>
        </w:rPr>
        <w:t>, A. (2017). Making authentic science accessible-the benefits and challenges of integrating bioinformatics into a high-s</w:t>
      </w:r>
      <w:r w:rsidR="009A667E">
        <w:rPr>
          <w:rFonts w:ascii="Cambria" w:hAnsi="Cambria"/>
          <w:sz w:val="20"/>
          <w:szCs w:val="20"/>
        </w:rPr>
        <w:t>chool science curriculum. Briefings in</w:t>
      </w:r>
      <w:r w:rsidRPr="00A56A12">
        <w:rPr>
          <w:rFonts w:ascii="Cambria" w:hAnsi="Cambria"/>
          <w:sz w:val="20"/>
          <w:szCs w:val="20"/>
        </w:rPr>
        <w:t xml:space="preserve"> Bioinformatics 18, 145–159.</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[6] Coker, J.S., and Davies, E. (2002). Involvement of plant biologists in undergraduate and high school student research. Journal of Natural Resources and Life Sciences Education 31, 44-47.</w:t>
      </w:r>
    </w:p>
    <w:p w:rsidR="00DB3687"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[7</w:t>
      </w:r>
      <w:r w:rsidR="00DB3687" w:rsidRPr="00A56A12">
        <w:rPr>
          <w:rFonts w:ascii="Cambria" w:hAnsi="Cambria"/>
          <w:sz w:val="20"/>
          <w:szCs w:val="20"/>
        </w:rPr>
        <w:t xml:space="preserve">] Roberts, L.F., and </w:t>
      </w:r>
      <w:proofErr w:type="spellStart"/>
      <w:r w:rsidR="00DB3687" w:rsidRPr="00A56A12">
        <w:rPr>
          <w:rFonts w:ascii="Cambria" w:hAnsi="Cambria"/>
          <w:sz w:val="20"/>
          <w:szCs w:val="20"/>
        </w:rPr>
        <w:t>Wassersug</w:t>
      </w:r>
      <w:proofErr w:type="spellEnd"/>
      <w:r w:rsidR="00DB3687" w:rsidRPr="00A56A12">
        <w:rPr>
          <w:rFonts w:ascii="Cambria" w:hAnsi="Cambria"/>
          <w:sz w:val="20"/>
          <w:szCs w:val="20"/>
        </w:rPr>
        <w:t>, R.J. (2009). Does doing scientific research in high school correlate with students staying in science? A half-century retrospective study. Research in Science Education 39, 251–256.</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 xml:space="preserve">[8] Hathaway, R.S., </w:t>
      </w:r>
      <w:proofErr w:type="spellStart"/>
      <w:r w:rsidRPr="00A56A12">
        <w:rPr>
          <w:rFonts w:ascii="Cambria" w:hAnsi="Cambria"/>
          <w:sz w:val="20"/>
          <w:szCs w:val="20"/>
        </w:rPr>
        <w:t>Nagda</w:t>
      </w:r>
      <w:proofErr w:type="spellEnd"/>
      <w:r w:rsidRPr="00A56A12">
        <w:rPr>
          <w:rFonts w:ascii="Cambria" w:hAnsi="Cambria"/>
          <w:sz w:val="20"/>
          <w:szCs w:val="20"/>
        </w:rPr>
        <w:t xml:space="preserve">, B.A., and </w:t>
      </w:r>
      <w:proofErr w:type="spellStart"/>
      <w:r w:rsidRPr="00A56A12">
        <w:rPr>
          <w:rFonts w:ascii="Cambria" w:hAnsi="Cambria"/>
          <w:sz w:val="20"/>
          <w:szCs w:val="20"/>
        </w:rPr>
        <w:t>Gregerman</w:t>
      </w:r>
      <w:proofErr w:type="spellEnd"/>
      <w:r w:rsidRPr="00A56A12">
        <w:rPr>
          <w:rFonts w:ascii="Cambria" w:hAnsi="Cambria"/>
          <w:sz w:val="20"/>
          <w:szCs w:val="20"/>
        </w:rPr>
        <w:t>, S.R. (2002). The relationship of undergraduate research participation to graduate and professional education pursuit: an empirical study. Journal of College Student Development 43, 614.</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 xml:space="preserve">[9] </w:t>
      </w:r>
      <w:proofErr w:type="spellStart"/>
      <w:r w:rsidRPr="00A56A12">
        <w:rPr>
          <w:rFonts w:ascii="Cambria" w:hAnsi="Cambria"/>
          <w:sz w:val="20"/>
          <w:szCs w:val="20"/>
        </w:rPr>
        <w:t>Kappler</w:t>
      </w:r>
      <w:proofErr w:type="spellEnd"/>
      <w:r w:rsidRPr="00A56A12">
        <w:rPr>
          <w:rFonts w:ascii="Cambria" w:hAnsi="Cambria"/>
          <w:sz w:val="20"/>
          <w:szCs w:val="20"/>
        </w:rPr>
        <w:t xml:space="preserve">, U., Rowland, S.L., and </w:t>
      </w:r>
      <w:proofErr w:type="spellStart"/>
      <w:r w:rsidRPr="00A56A12">
        <w:rPr>
          <w:rFonts w:ascii="Cambria" w:hAnsi="Cambria"/>
          <w:sz w:val="20"/>
          <w:szCs w:val="20"/>
        </w:rPr>
        <w:t>Pedwell</w:t>
      </w:r>
      <w:proofErr w:type="spellEnd"/>
      <w:r w:rsidRPr="00A56A12">
        <w:rPr>
          <w:rFonts w:ascii="Cambria" w:hAnsi="Cambria"/>
          <w:sz w:val="20"/>
          <w:szCs w:val="20"/>
        </w:rPr>
        <w:t>, R.K. (2017). A unique large-scale undergraduate research experience in molecular systems biology for non-mathematics majors. Biochem</w:t>
      </w:r>
      <w:r w:rsidR="009A667E">
        <w:rPr>
          <w:rFonts w:ascii="Cambria" w:hAnsi="Cambria"/>
          <w:sz w:val="20"/>
          <w:szCs w:val="20"/>
        </w:rPr>
        <w:t>istry and</w:t>
      </w:r>
      <w:r w:rsidRPr="00A56A12">
        <w:rPr>
          <w:rFonts w:ascii="Cambria" w:hAnsi="Cambria"/>
          <w:sz w:val="20"/>
          <w:szCs w:val="20"/>
        </w:rPr>
        <w:t xml:space="preserve"> Mol</w:t>
      </w:r>
      <w:r w:rsidR="009A667E">
        <w:rPr>
          <w:rFonts w:ascii="Cambria" w:hAnsi="Cambria"/>
          <w:sz w:val="20"/>
          <w:szCs w:val="20"/>
        </w:rPr>
        <w:t>ecular</w:t>
      </w:r>
      <w:r w:rsidRPr="00A56A12">
        <w:rPr>
          <w:rFonts w:ascii="Cambria" w:hAnsi="Cambria"/>
          <w:sz w:val="20"/>
          <w:szCs w:val="20"/>
        </w:rPr>
        <w:t xml:space="preserve"> Biol</w:t>
      </w:r>
      <w:r w:rsidR="009A667E">
        <w:rPr>
          <w:rFonts w:ascii="Cambria" w:hAnsi="Cambria"/>
          <w:sz w:val="20"/>
          <w:szCs w:val="20"/>
        </w:rPr>
        <w:t>ogy</w:t>
      </w:r>
      <w:r w:rsidRPr="00A56A12">
        <w:rPr>
          <w:rFonts w:ascii="Cambria" w:hAnsi="Cambria"/>
          <w:sz w:val="20"/>
          <w:szCs w:val="20"/>
        </w:rPr>
        <w:t xml:space="preserve"> Educ</w:t>
      </w:r>
      <w:r w:rsidR="009A667E">
        <w:rPr>
          <w:rFonts w:ascii="Cambria" w:hAnsi="Cambria"/>
          <w:sz w:val="20"/>
          <w:szCs w:val="20"/>
        </w:rPr>
        <w:t>ation</w:t>
      </w:r>
      <w:r w:rsidRPr="00A56A12">
        <w:rPr>
          <w:rFonts w:ascii="Cambria" w:hAnsi="Cambria"/>
          <w:sz w:val="20"/>
          <w:szCs w:val="20"/>
        </w:rPr>
        <w:t xml:space="preserve"> 45, 235–248.</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 xml:space="preserve">[10] </w:t>
      </w:r>
      <w:proofErr w:type="spellStart"/>
      <w:r w:rsidRPr="00A56A12">
        <w:rPr>
          <w:rFonts w:ascii="Cambria" w:hAnsi="Cambria"/>
          <w:sz w:val="20"/>
          <w:szCs w:val="20"/>
        </w:rPr>
        <w:t>Kardash</w:t>
      </w:r>
      <w:proofErr w:type="spellEnd"/>
      <w:r w:rsidRPr="00A56A12">
        <w:rPr>
          <w:rFonts w:ascii="Cambria" w:hAnsi="Cambria"/>
          <w:sz w:val="20"/>
          <w:szCs w:val="20"/>
        </w:rPr>
        <w:t>, C.M. (2000). Evaluation of undergraduate research experience: Perceptions of undergraduate interns and their faculty mentors. Journal of Educational Psychology 92, 191.</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[11] Landrum, R.E., and Nelsen, L.R. (2002). The undergraduate research assistantship: An analysis of the benefits. Teaching of Psychology 29, 15–19.</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 xml:space="preserve">[12] </w:t>
      </w:r>
      <w:proofErr w:type="spellStart"/>
      <w:r w:rsidRPr="00A56A12">
        <w:rPr>
          <w:rFonts w:ascii="Cambria" w:hAnsi="Cambria"/>
          <w:sz w:val="20"/>
          <w:szCs w:val="20"/>
        </w:rPr>
        <w:t>Lopatto</w:t>
      </w:r>
      <w:proofErr w:type="spellEnd"/>
      <w:r w:rsidRPr="00A56A12">
        <w:rPr>
          <w:rFonts w:ascii="Cambria" w:hAnsi="Cambria"/>
          <w:sz w:val="20"/>
          <w:szCs w:val="20"/>
        </w:rPr>
        <w:t>, D. (2007). Undergraduate Research Experiences Support Science Career Decisions and Active Learning. CBE-Life Sciences Education 6, 297–306.</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lastRenderedPageBreak/>
        <w:t>[13] Russell, S.H., Hancock, M.P., and McCullough, J. (2007). Benefits of undergraduate research experiences. Science(Washington) 316, 548–549.</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 xml:space="preserve">[14] Smith, J.T., Harris, J.C., Lopez, O.J., Valverde, L., and </w:t>
      </w:r>
      <w:proofErr w:type="spellStart"/>
      <w:r w:rsidRPr="00A56A12">
        <w:rPr>
          <w:rFonts w:ascii="Cambria" w:hAnsi="Cambria"/>
          <w:sz w:val="20"/>
          <w:szCs w:val="20"/>
        </w:rPr>
        <w:t>Borchert</w:t>
      </w:r>
      <w:proofErr w:type="spellEnd"/>
      <w:r w:rsidRPr="00A56A12">
        <w:rPr>
          <w:rFonts w:ascii="Cambria" w:hAnsi="Cambria"/>
          <w:sz w:val="20"/>
          <w:szCs w:val="20"/>
        </w:rPr>
        <w:t xml:space="preserve">, G.M. (2015). “On the job” learning: A bioinformatics course incorporating undergraduates in actual research projects and manuscript submissions. </w:t>
      </w:r>
      <w:r w:rsidR="009A667E" w:rsidRPr="00A56A12">
        <w:rPr>
          <w:rFonts w:ascii="Cambria" w:hAnsi="Cambria"/>
          <w:sz w:val="20"/>
          <w:szCs w:val="20"/>
        </w:rPr>
        <w:t>Biochem</w:t>
      </w:r>
      <w:r w:rsidR="009A667E">
        <w:rPr>
          <w:rFonts w:ascii="Cambria" w:hAnsi="Cambria"/>
          <w:sz w:val="20"/>
          <w:szCs w:val="20"/>
        </w:rPr>
        <w:t>istry and</w:t>
      </w:r>
      <w:r w:rsidR="009A667E" w:rsidRPr="00A56A12">
        <w:rPr>
          <w:rFonts w:ascii="Cambria" w:hAnsi="Cambria"/>
          <w:sz w:val="20"/>
          <w:szCs w:val="20"/>
        </w:rPr>
        <w:t xml:space="preserve"> Mol</w:t>
      </w:r>
      <w:r w:rsidR="009A667E">
        <w:rPr>
          <w:rFonts w:ascii="Cambria" w:hAnsi="Cambria"/>
          <w:sz w:val="20"/>
          <w:szCs w:val="20"/>
        </w:rPr>
        <w:t>ecular</w:t>
      </w:r>
      <w:r w:rsidR="009A667E" w:rsidRPr="00A56A12">
        <w:rPr>
          <w:rFonts w:ascii="Cambria" w:hAnsi="Cambria"/>
          <w:sz w:val="20"/>
          <w:szCs w:val="20"/>
        </w:rPr>
        <w:t xml:space="preserve"> Biol</w:t>
      </w:r>
      <w:r w:rsidR="009A667E">
        <w:rPr>
          <w:rFonts w:ascii="Cambria" w:hAnsi="Cambria"/>
          <w:sz w:val="20"/>
          <w:szCs w:val="20"/>
        </w:rPr>
        <w:t>ogy</w:t>
      </w:r>
      <w:r w:rsidR="009A667E" w:rsidRPr="00A56A12">
        <w:rPr>
          <w:rFonts w:ascii="Cambria" w:hAnsi="Cambria"/>
          <w:sz w:val="20"/>
          <w:szCs w:val="20"/>
        </w:rPr>
        <w:t xml:space="preserve"> Educ</w:t>
      </w:r>
      <w:r w:rsidR="009A667E">
        <w:rPr>
          <w:rFonts w:ascii="Cambria" w:hAnsi="Cambria"/>
          <w:sz w:val="20"/>
          <w:szCs w:val="20"/>
        </w:rPr>
        <w:t>ation</w:t>
      </w:r>
      <w:r w:rsidR="009A667E" w:rsidRPr="00A56A12">
        <w:rPr>
          <w:rFonts w:ascii="Cambria" w:hAnsi="Cambria"/>
          <w:sz w:val="20"/>
          <w:szCs w:val="20"/>
        </w:rPr>
        <w:t xml:space="preserve"> </w:t>
      </w:r>
      <w:r w:rsidRPr="00A56A12">
        <w:rPr>
          <w:rFonts w:ascii="Cambria" w:hAnsi="Cambria"/>
          <w:sz w:val="20"/>
          <w:szCs w:val="20"/>
        </w:rPr>
        <w:t>43, 154–161.</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 xml:space="preserve">[15] Via, A., </w:t>
      </w:r>
      <w:proofErr w:type="spellStart"/>
      <w:r w:rsidRPr="00A56A12">
        <w:rPr>
          <w:rFonts w:ascii="Cambria" w:hAnsi="Cambria"/>
          <w:sz w:val="20"/>
          <w:szCs w:val="20"/>
        </w:rPr>
        <w:t>Blicher</w:t>
      </w:r>
      <w:proofErr w:type="spellEnd"/>
      <w:r w:rsidRPr="00A56A12">
        <w:rPr>
          <w:rFonts w:ascii="Cambria" w:hAnsi="Cambria"/>
          <w:sz w:val="20"/>
          <w:szCs w:val="20"/>
        </w:rPr>
        <w:t xml:space="preserve">, T., </w:t>
      </w:r>
      <w:proofErr w:type="spellStart"/>
      <w:r w:rsidRPr="00A56A12">
        <w:rPr>
          <w:rFonts w:ascii="Cambria" w:hAnsi="Cambria"/>
          <w:sz w:val="20"/>
          <w:szCs w:val="20"/>
        </w:rPr>
        <w:t>Bongcam-Rudloff</w:t>
      </w:r>
      <w:proofErr w:type="spellEnd"/>
      <w:r w:rsidRPr="00A56A12">
        <w:rPr>
          <w:rFonts w:ascii="Cambria" w:hAnsi="Cambria"/>
          <w:sz w:val="20"/>
          <w:szCs w:val="20"/>
        </w:rPr>
        <w:t xml:space="preserve">, E., </w:t>
      </w:r>
      <w:proofErr w:type="spellStart"/>
      <w:r w:rsidRPr="00A56A12">
        <w:rPr>
          <w:rFonts w:ascii="Cambria" w:hAnsi="Cambria"/>
          <w:sz w:val="20"/>
          <w:szCs w:val="20"/>
        </w:rPr>
        <w:t>Brazas</w:t>
      </w:r>
      <w:proofErr w:type="spellEnd"/>
      <w:r w:rsidRPr="00A56A12">
        <w:rPr>
          <w:rFonts w:ascii="Cambria" w:hAnsi="Cambria"/>
          <w:sz w:val="20"/>
          <w:szCs w:val="20"/>
        </w:rPr>
        <w:t xml:space="preserve">, M.D., </w:t>
      </w:r>
      <w:proofErr w:type="spellStart"/>
      <w:r w:rsidRPr="00A56A12">
        <w:rPr>
          <w:rFonts w:ascii="Cambria" w:hAnsi="Cambria"/>
          <w:sz w:val="20"/>
          <w:szCs w:val="20"/>
        </w:rPr>
        <w:t>Brooksbank</w:t>
      </w:r>
      <w:proofErr w:type="spellEnd"/>
      <w:r w:rsidRPr="00A56A12">
        <w:rPr>
          <w:rFonts w:ascii="Cambria" w:hAnsi="Cambria"/>
          <w:sz w:val="20"/>
          <w:szCs w:val="20"/>
        </w:rPr>
        <w:t xml:space="preserve">, C., Budd, A., De Las Rivas, J., Dreyer, J., Fernandes, P.L., van </w:t>
      </w:r>
      <w:proofErr w:type="spellStart"/>
      <w:r w:rsidRPr="00A56A12">
        <w:rPr>
          <w:rFonts w:ascii="Cambria" w:hAnsi="Cambria"/>
          <w:sz w:val="20"/>
          <w:szCs w:val="20"/>
        </w:rPr>
        <w:t>Gelder</w:t>
      </w:r>
      <w:proofErr w:type="spellEnd"/>
      <w:r w:rsidRPr="00A56A12">
        <w:rPr>
          <w:rFonts w:ascii="Cambria" w:hAnsi="Cambria"/>
          <w:sz w:val="20"/>
          <w:szCs w:val="20"/>
        </w:rPr>
        <w:t>, C., et al. (2013). Best practices in bioinformatics trai</w:t>
      </w:r>
      <w:r w:rsidR="009A667E">
        <w:rPr>
          <w:rFonts w:ascii="Cambria" w:hAnsi="Cambria"/>
          <w:sz w:val="20"/>
          <w:szCs w:val="20"/>
        </w:rPr>
        <w:t>ning for life scientists. Briefings in</w:t>
      </w:r>
      <w:r w:rsidRPr="00A56A12">
        <w:rPr>
          <w:rFonts w:ascii="Cambria" w:hAnsi="Cambria"/>
          <w:sz w:val="20"/>
          <w:szCs w:val="20"/>
        </w:rPr>
        <w:t xml:space="preserve"> Bioinformatics 14, 528–537.</w:t>
      </w:r>
    </w:p>
    <w:p w:rsidR="006B31D3" w:rsidRPr="00A56A12" w:rsidRDefault="006B31D3" w:rsidP="009A667E">
      <w:pPr>
        <w:spacing w:after="0" w:line="240" w:lineRule="auto"/>
        <w:ind w:left="426" w:hanging="426"/>
        <w:rPr>
          <w:rFonts w:ascii="Cambria" w:hAnsi="Cambria"/>
          <w:sz w:val="20"/>
          <w:szCs w:val="20"/>
        </w:rPr>
      </w:pPr>
      <w:r w:rsidRPr="00A56A12">
        <w:rPr>
          <w:rFonts w:ascii="Cambria" w:hAnsi="Cambria"/>
          <w:sz w:val="20"/>
          <w:szCs w:val="20"/>
        </w:rPr>
        <w:t xml:space="preserve">[16] Wightman, B., and Hark, A.T. (2012). Integration of bioinformatics into an undergraduate biology curriculum and the impact on development of mathematical skills. </w:t>
      </w:r>
      <w:r w:rsidR="009A667E" w:rsidRPr="00A56A12">
        <w:rPr>
          <w:rFonts w:ascii="Cambria" w:hAnsi="Cambria"/>
          <w:sz w:val="20"/>
          <w:szCs w:val="20"/>
        </w:rPr>
        <w:t>Biochem</w:t>
      </w:r>
      <w:r w:rsidR="009A667E">
        <w:rPr>
          <w:rFonts w:ascii="Cambria" w:hAnsi="Cambria"/>
          <w:sz w:val="20"/>
          <w:szCs w:val="20"/>
        </w:rPr>
        <w:t>istry and</w:t>
      </w:r>
      <w:r w:rsidR="009A667E" w:rsidRPr="00A56A12">
        <w:rPr>
          <w:rFonts w:ascii="Cambria" w:hAnsi="Cambria"/>
          <w:sz w:val="20"/>
          <w:szCs w:val="20"/>
        </w:rPr>
        <w:t xml:space="preserve"> Mol</w:t>
      </w:r>
      <w:r w:rsidR="009A667E">
        <w:rPr>
          <w:rFonts w:ascii="Cambria" w:hAnsi="Cambria"/>
          <w:sz w:val="20"/>
          <w:szCs w:val="20"/>
        </w:rPr>
        <w:t>ecular</w:t>
      </w:r>
      <w:r w:rsidR="009A667E" w:rsidRPr="00A56A12">
        <w:rPr>
          <w:rFonts w:ascii="Cambria" w:hAnsi="Cambria"/>
          <w:sz w:val="20"/>
          <w:szCs w:val="20"/>
        </w:rPr>
        <w:t xml:space="preserve"> Biol</w:t>
      </w:r>
      <w:r w:rsidR="009A667E">
        <w:rPr>
          <w:rFonts w:ascii="Cambria" w:hAnsi="Cambria"/>
          <w:sz w:val="20"/>
          <w:szCs w:val="20"/>
        </w:rPr>
        <w:t>ogy</w:t>
      </w:r>
      <w:r w:rsidR="009A667E" w:rsidRPr="00A56A12">
        <w:rPr>
          <w:rFonts w:ascii="Cambria" w:hAnsi="Cambria"/>
          <w:sz w:val="20"/>
          <w:szCs w:val="20"/>
        </w:rPr>
        <w:t xml:space="preserve"> Educ</w:t>
      </w:r>
      <w:r w:rsidR="009A667E">
        <w:rPr>
          <w:rFonts w:ascii="Cambria" w:hAnsi="Cambria"/>
          <w:sz w:val="20"/>
          <w:szCs w:val="20"/>
        </w:rPr>
        <w:t>ation</w:t>
      </w:r>
      <w:r w:rsidR="009A667E" w:rsidRPr="00A56A12">
        <w:rPr>
          <w:rFonts w:ascii="Cambria" w:hAnsi="Cambria"/>
          <w:sz w:val="20"/>
          <w:szCs w:val="20"/>
        </w:rPr>
        <w:t xml:space="preserve"> </w:t>
      </w:r>
      <w:r w:rsidRPr="00A56A12">
        <w:rPr>
          <w:rFonts w:ascii="Cambria" w:hAnsi="Cambria"/>
          <w:sz w:val="20"/>
          <w:szCs w:val="20"/>
        </w:rPr>
        <w:t>40, 310–319.</w:t>
      </w:r>
    </w:p>
    <w:p w:rsidR="00CE62B0" w:rsidRPr="00A56A12" w:rsidRDefault="00CE62B0" w:rsidP="009A667E">
      <w:pPr>
        <w:spacing w:after="0" w:line="240" w:lineRule="auto"/>
        <w:ind w:left="426" w:hanging="426"/>
        <w:rPr>
          <w:rFonts w:ascii="Cambria" w:hAnsi="Cambria"/>
          <w:sz w:val="20"/>
          <w:szCs w:val="20"/>
        </w:rPr>
      </w:pPr>
      <w:r w:rsidRPr="00A56A12">
        <w:rPr>
          <w:rFonts w:ascii="Cambria" w:hAnsi="Cambria"/>
          <w:sz w:val="20"/>
          <w:szCs w:val="20"/>
        </w:rPr>
        <w:t>[17] Gary W. Houchens, Tom A. Stewart, and Sara Jennings (2017). Enhancing instructional leadership through collaborative coaching: a multi-case study. Int</w:t>
      </w:r>
      <w:r w:rsidR="009A667E">
        <w:rPr>
          <w:rFonts w:ascii="Cambria" w:hAnsi="Cambria"/>
          <w:sz w:val="20"/>
          <w:szCs w:val="20"/>
        </w:rPr>
        <w:t>ernational Journal</w:t>
      </w:r>
      <w:r w:rsidRPr="00A56A12">
        <w:rPr>
          <w:rFonts w:ascii="Cambria" w:hAnsi="Cambria"/>
          <w:sz w:val="20"/>
          <w:szCs w:val="20"/>
        </w:rPr>
        <w:t xml:space="preserve"> of Ment</w:t>
      </w:r>
      <w:r w:rsidR="009A667E">
        <w:rPr>
          <w:rFonts w:ascii="Cambria" w:hAnsi="Cambria"/>
          <w:sz w:val="20"/>
          <w:szCs w:val="20"/>
        </w:rPr>
        <w:t>oring and</w:t>
      </w:r>
      <w:r w:rsidRPr="00A56A12">
        <w:rPr>
          <w:rFonts w:ascii="Cambria" w:hAnsi="Cambria"/>
          <w:sz w:val="20"/>
          <w:szCs w:val="20"/>
        </w:rPr>
        <w:t xml:space="preserve"> Coach</w:t>
      </w:r>
      <w:r w:rsidR="009A667E">
        <w:rPr>
          <w:rFonts w:ascii="Cambria" w:hAnsi="Cambria"/>
          <w:sz w:val="20"/>
          <w:szCs w:val="20"/>
        </w:rPr>
        <w:t>ing</w:t>
      </w:r>
      <w:r w:rsidRPr="00A56A12">
        <w:rPr>
          <w:rFonts w:ascii="Cambria" w:hAnsi="Cambria"/>
          <w:sz w:val="20"/>
          <w:szCs w:val="20"/>
        </w:rPr>
        <w:t xml:space="preserve"> in Ed</w:t>
      </w:r>
      <w:r w:rsidR="009A667E">
        <w:rPr>
          <w:rFonts w:ascii="Cambria" w:hAnsi="Cambria"/>
          <w:sz w:val="20"/>
          <w:szCs w:val="20"/>
        </w:rPr>
        <w:t>ucation</w:t>
      </w:r>
      <w:r w:rsidRPr="00A56A12">
        <w:rPr>
          <w:rFonts w:ascii="Cambria" w:hAnsi="Cambria"/>
          <w:sz w:val="20"/>
          <w:szCs w:val="20"/>
        </w:rPr>
        <w:t xml:space="preserve"> 6, 34–49.</w:t>
      </w:r>
    </w:p>
    <w:p w:rsidR="00CE62B0" w:rsidRPr="00A56A12" w:rsidRDefault="00CE62B0" w:rsidP="009A667E">
      <w:pPr>
        <w:spacing w:after="0" w:line="240" w:lineRule="auto"/>
        <w:ind w:left="426" w:hanging="426"/>
        <w:rPr>
          <w:rFonts w:ascii="Cambria" w:hAnsi="Cambria"/>
          <w:sz w:val="20"/>
          <w:szCs w:val="20"/>
        </w:rPr>
      </w:pPr>
      <w:r w:rsidRPr="00A56A12">
        <w:rPr>
          <w:rFonts w:ascii="Cambria" w:hAnsi="Cambria"/>
          <w:sz w:val="20"/>
          <w:szCs w:val="20"/>
        </w:rPr>
        <w:t>[18] Ma, Q. (2017). A multi-case study of university students’ language-learning experience mediated by mobile technologies: a socio-cultural perspective. Computer Assisted Language Learning 30, 183–203.</w:t>
      </w:r>
    </w:p>
    <w:p w:rsidR="00CE62B0" w:rsidRPr="00A56A12" w:rsidRDefault="00CE62B0" w:rsidP="009A667E">
      <w:pPr>
        <w:spacing w:after="0" w:line="240" w:lineRule="auto"/>
        <w:ind w:left="426" w:hanging="426"/>
        <w:rPr>
          <w:rFonts w:ascii="Cambria" w:hAnsi="Cambria"/>
          <w:sz w:val="20"/>
          <w:szCs w:val="20"/>
        </w:rPr>
      </w:pPr>
      <w:r w:rsidRPr="00A56A12">
        <w:rPr>
          <w:rFonts w:ascii="Cambria" w:hAnsi="Cambria"/>
          <w:sz w:val="20"/>
          <w:szCs w:val="20"/>
        </w:rPr>
        <w:t xml:space="preserve">[19] </w:t>
      </w:r>
      <w:proofErr w:type="spellStart"/>
      <w:r w:rsidRPr="00A56A12">
        <w:rPr>
          <w:rFonts w:ascii="Cambria" w:hAnsi="Cambria"/>
          <w:sz w:val="20"/>
          <w:szCs w:val="20"/>
        </w:rPr>
        <w:t>Uiboleht</w:t>
      </w:r>
      <w:proofErr w:type="spellEnd"/>
      <w:r w:rsidRPr="00A56A12">
        <w:rPr>
          <w:rFonts w:ascii="Cambria" w:hAnsi="Cambria"/>
          <w:sz w:val="20"/>
          <w:szCs w:val="20"/>
        </w:rPr>
        <w:t xml:space="preserve">, K., Karm, M., and </w:t>
      </w:r>
      <w:proofErr w:type="spellStart"/>
      <w:r w:rsidRPr="00A56A12">
        <w:rPr>
          <w:rFonts w:ascii="Cambria" w:hAnsi="Cambria"/>
          <w:sz w:val="20"/>
          <w:szCs w:val="20"/>
        </w:rPr>
        <w:t>Postareff</w:t>
      </w:r>
      <w:proofErr w:type="spellEnd"/>
      <w:r w:rsidRPr="00A56A12">
        <w:rPr>
          <w:rFonts w:ascii="Cambria" w:hAnsi="Cambria"/>
          <w:sz w:val="20"/>
          <w:szCs w:val="20"/>
        </w:rPr>
        <w:t>, L. (2016). How do university teachers combine different approaches to teaching in a specific course? A qualitative multi-case study. Teaching in Higher Education 21, 854–869.</w:t>
      </w:r>
    </w:p>
    <w:p w:rsidR="00CE62B0" w:rsidRPr="00A56A12" w:rsidRDefault="00CE62B0" w:rsidP="009A667E">
      <w:pPr>
        <w:spacing w:after="0" w:line="240" w:lineRule="auto"/>
        <w:ind w:left="426" w:hanging="426"/>
        <w:rPr>
          <w:rFonts w:ascii="Cambria" w:hAnsi="Cambria" w:cs="AGaramondPro-Italic"/>
          <w:iCs/>
          <w:sz w:val="20"/>
          <w:szCs w:val="20"/>
          <w:lang w:val="en-SG"/>
        </w:rPr>
      </w:pPr>
      <w:r w:rsidRPr="00A56A12">
        <w:rPr>
          <w:rFonts w:ascii="Cambria" w:hAnsi="Cambria"/>
          <w:sz w:val="20"/>
          <w:szCs w:val="20"/>
        </w:rPr>
        <w:t xml:space="preserve">[20] Liz, F. (2017). A Multi-Case Study of Student Perceptions of Instructor-Created Videos in Online Courses. International Journal for Scholarship of Technology Enhanced Learning 1, </w:t>
      </w:r>
      <w:r w:rsidRPr="00A56A12">
        <w:rPr>
          <w:rFonts w:ascii="Cambria" w:hAnsi="Cambria" w:cs="AGaramondPro-Italic"/>
          <w:iCs/>
          <w:sz w:val="20"/>
          <w:szCs w:val="20"/>
          <w:lang w:val="en-SG"/>
        </w:rPr>
        <w:t>67-90.</w:t>
      </w:r>
    </w:p>
    <w:p w:rsidR="00CE62B0" w:rsidRPr="00A56A12" w:rsidRDefault="00CE62B0" w:rsidP="009A667E">
      <w:pPr>
        <w:spacing w:after="0" w:line="240" w:lineRule="auto"/>
        <w:ind w:left="426" w:hanging="426"/>
        <w:rPr>
          <w:rFonts w:ascii="Cambria" w:hAnsi="Cambria"/>
          <w:sz w:val="20"/>
          <w:szCs w:val="20"/>
        </w:rPr>
      </w:pPr>
      <w:r w:rsidRPr="00A56A12">
        <w:rPr>
          <w:rFonts w:ascii="Cambria" w:hAnsi="Cambria" w:cs="AGaramondPro-Italic"/>
          <w:iCs/>
          <w:sz w:val="20"/>
          <w:szCs w:val="20"/>
          <w:lang w:val="en-SG"/>
        </w:rPr>
        <w:t xml:space="preserve">[21] </w:t>
      </w:r>
      <w:proofErr w:type="spellStart"/>
      <w:r w:rsidRPr="00A56A12">
        <w:rPr>
          <w:rFonts w:ascii="Cambria" w:hAnsi="Cambria"/>
          <w:sz w:val="20"/>
          <w:szCs w:val="20"/>
        </w:rPr>
        <w:t>Dahlstrom</w:t>
      </w:r>
      <w:proofErr w:type="spellEnd"/>
      <w:r w:rsidRPr="00A56A12">
        <w:rPr>
          <w:rFonts w:ascii="Cambria" w:hAnsi="Cambria"/>
          <w:sz w:val="20"/>
          <w:szCs w:val="20"/>
        </w:rPr>
        <w:t>, M.F. (2014). Using narratives and storytelling to communicate science with nonexpert audiences. Proceedings of the National Academy of Sciences 111, 13614–13620.</w:t>
      </w:r>
    </w:p>
    <w:p w:rsidR="00CE62B0" w:rsidRPr="00A56A12" w:rsidRDefault="00CE62B0" w:rsidP="009A667E">
      <w:pPr>
        <w:spacing w:after="0" w:line="240" w:lineRule="auto"/>
        <w:ind w:left="426" w:hanging="426"/>
        <w:rPr>
          <w:rFonts w:ascii="Cambria" w:hAnsi="Cambria"/>
          <w:sz w:val="20"/>
          <w:szCs w:val="20"/>
        </w:rPr>
      </w:pPr>
      <w:r w:rsidRPr="00A56A12">
        <w:rPr>
          <w:rFonts w:ascii="Cambria" w:hAnsi="Cambria"/>
          <w:sz w:val="20"/>
          <w:szCs w:val="20"/>
        </w:rPr>
        <w:t>[22] Edwards, S.L. (2015). The Personal Narrative of a Nurse. J</w:t>
      </w:r>
      <w:r w:rsidR="009A667E">
        <w:rPr>
          <w:rFonts w:ascii="Cambria" w:hAnsi="Cambria"/>
          <w:sz w:val="20"/>
          <w:szCs w:val="20"/>
        </w:rPr>
        <w:t>ournal of</w:t>
      </w:r>
      <w:r w:rsidRPr="00A56A12">
        <w:rPr>
          <w:rFonts w:ascii="Cambria" w:hAnsi="Cambria"/>
          <w:sz w:val="20"/>
          <w:szCs w:val="20"/>
        </w:rPr>
        <w:t xml:space="preserve"> Holist</w:t>
      </w:r>
      <w:r w:rsidR="009A667E">
        <w:rPr>
          <w:rFonts w:ascii="Cambria" w:hAnsi="Cambria"/>
          <w:sz w:val="20"/>
          <w:szCs w:val="20"/>
        </w:rPr>
        <w:t>ic</w:t>
      </w:r>
      <w:r w:rsidRPr="00A56A12">
        <w:rPr>
          <w:rFonts w:ascii="Cambria" w:hAnsi="Cambria"/>
          <w:sz w:val="20"/>
          <w:szCs w:val="20"/>
        </w:rPr>
        <w:t xml:space="preserve"> Nurs</w:t>
      </w:r>
      <w:r w:rsidR="009A667E">
        <w:rPr>
          <w:rFonts w:ascii="Cambria" w:hAnsi="Cambria"/>
          <w:sz w:val="20"/>
          <w:szCs w:val="20"/>
        </w:rPr>
        <w:t>ing</w:t>
      </w:r>
      <w:r w:rsidRPr="00A56A12">
        <w:rPr>
          <w:rFonts w:ascii="Cambria" w:hAnsi="Cambria"/>
          <w:sz w:val="20"/>
          <w:szCs w:val="20"/>
        </w:rPr>
        <w:t xml:space="preserve"> 34, 154–161.</w:t>
      </w:r>
    </w:p>
    <w:p w:rsidR="00CE62B0" w:rsidRPr="00A56A12" w:rsidRDefault="00CE62B0" w:rsidP="009A667E">
      <w:pPr>
        <w:spacing w:after="0" w:line="240" w:lineRule="auto"/>
        <w:ind w:left="426" w:hanging="426"/>
        <w:rPr>
          <w:rFonts w:ascii="Cambria" w:hAnsi="Cambria"/>
          <w:sz w:val="20"/>
          <w:szCs w:val="20"/>
        </w:rPr>
      </w:pPr>
      <w:r w:rsidRPr="00A56A12">
        <w:rPr>
          <w:rFonts w:ascii="Cambria" w:hAnsi="Cambria"/>
          <w:sz w:val="20"/>
          <w:szCs w:val="20"/>
        </w:rPr>
        <w:t>[23] Bhattacharya, K. (2015). The Vulnerable Academic. Qualitative Inquiry 22, 309–321.</w:t>
      </w:r>
    </w:p>
    <w:p w:rsidR="00CE62B0" w:rsidRPr="00A56A12" w:rsidRDefault="00CE62B0" w:rsidP="009A667E">
      <w:pPr>
        <w:spacing w:after="0" w:line="240" w:lineRule="auto"/>
        <w:ind w:left="426" w:hanging="426"/>
        <w:rPr>
          <w:rFonts w:ascii="Cambria" w:hAnsi="Cambria"/>
          <w:sz w:val="20"/>
          <w:szCs w:val="20"/>
        </w:rPr>
      </w:pPr>
      <w:r w:rsidRPr="00A56A12">
        <w:rPr>
          <w:rFonts w:ascii="Cambria" w:hAnsi="Cambria"/>
          <w:sz w:val="20"/>
          <w:szCs w:val="20"/>
        </w:rPr>
        <w:t xml:space="preserve">[24] </w:t>
      </w:r>
      <w:proofErr w:type="spellStart"/>
      <w:r w:rsidRPr="00A56A12">
        <w:rPr>
          <w:rFonts w:ascii="Cambria" w:hAnsi="Cambria"/>
          <w:sz w:val="20"/>
          <w:szCs w:val="20"/>
        </w:rPr>
        <w:t>Dush</w:t>
      </w:r>
      <w:proofErr w:type="spellEnd"/>
      <w:r w:rsidRPr="00A56A12">
        <w:rPr>
          <w:rFonts w:ascii="Cambria" w:hAnsi="Cambria"/>
          <w:sz w:val="20"/>
          <w:szCs w:val="20"/>
        </w:rPr>
        <w:t>, L. (2016). Nonprofit Collections of Digital Personal Experience Narratives. Journal of Business and Technical Communication 31, 188–221.</w:t>
      </w:r>
    </w:p>
    <w:p w:rsidR="00FD523C" w:rsidRPr="00A56A12" w:rsidRDefault="00CE62B0" w:rsidP="009A667E">
      <w:pPr>
        <w:spacing w:after="0" w:line="240" w:lineRule="auto"/>
        <w:ind w:left="426" w:hanging="426"/>
        <w:rPr>
          <w:rFonts w:ascii="Cambria" w:hAnsi="Cambria"/>
          <w:sz w:val="20"/>
          <w:szCs w:val="20"/>
        </w:rPr>
      </w:pPr>
      <w:r w:rsidRPr="00A56A12">
        <w:rPr>
          <w:rFonts w:ascii="Cambria" w:hAnsi="Cambria"/>
          <w:sz w:val="20"/>
          <w:szCs w:val="20"/>
        </w:rPr>
        <w:t>[25] Ingraham, C. (2016). The Scope and Autonomy of Personal Narrative. Writte</w:t>
      </w:r>
      <w:r w:rsidR="00FD523C" w:rsidRPr="00A56A12">
        <w:rPr>
          <w:rFonts w:ascii="Cambria" w:hAnsi="Cambria"/>
          <w:sz w:val="20"/>
          <w:szCs w:val="20"/>
        </w:rPr>
        <w:t>n Communication 34, 54–74.</w:t>
      </w:r>
    </w:p>
    <w:p w:rsidR="00FD523C" w:rsidRPr="00A56A12" w:rsidRDefault="00FD523C" w:rsidP="009A667E">
      <w:pPr>
        <w:spacing w:after="0" w:line="240" w:lineRule="auto"/>
        <w:ind w:left="426" w:hanging="426"/>
        <w:rPr>
          <w:rFonts w:ascii="Cambria" w:hAnsi="Cambria"/>
          <w:sz w:val="20"/>
          <w:szCs w:val="20"/>
        </w:rPr>
      </w:pPr>
      <w:r w:rsidRPr="00A56A12">
        <w:rPr>
          <w:rFonts w:ascii="Cambria" w:hAnsi="Cambria"/>
          <w:sz w:val="20"/>
          <w:szCs w:val="20"/>
        </w:rPr>
        <w:t xml:space="preserve">[26] Hamm, J.A., and </w:t>
      </w:r>
      <w:proofErr w:type="spellStart"/>
      <w:r w:rsidRPr="00A56A12">
        <w:rPr>
          <w:rFonts w:ascii="Cambria" w:hAnsi="Cambria"/>
          <w:sz w:val="20"/>
          <w:szCs w:val="20"/>
        </w:rPr>
        <w:t>Leonhardt</w:t>
      </w:r>
      <w:proofErr w:type="spellEnd"/>
      <w:r w:rsidRPr="00A56A12">
        <w:rPr>
          <w:rFonts w:ascii="Cambria" w:hAnsi="Cambria"/>
          <w:sz w:val="20"/>
          <w:szCs w:val="20"/>
        </w:rPr>
        <w:t>, B.L. (2016). The Role of Interpersonal Connection, Personal Narrative, and Metacognition in Integrative Psychotherapy for Schizophrenia: A Case Report. J</w:t>
      </w:r>
      <w:r w:rsidR="009A667E">
        <w:rPr>
          <w:rFonts w:ascii="Cambria" w:hAnsi="Cambria"/>
          <w:sz w:val="20"/>
          <w:szCs w:val="20"/>
        </w:rPr>
        <w:t>ournal of</w:t>
      </w:r>
      <w:r w:rsidRPr="00A56A12">
        <w:rPr>
          <w:rFonts w:ascii="Cambria" w:hAnsi="Cambria"/>
          <w:sz w:val="20"/>
          <w:szCs w:val="20"/>
        </w:rPr>
        <w:t xml:space="preserve"> Clin</w:t>
      </w:r>
      <w:r w:rsidR="009A667E">
        <w:rPr>
          <w:rFonts w:ascii="Cambria" w:hAnsi="Cambria"/>
          <w:sz w:val="20"/>
          <w:szCs w:val="20"/>
        </w:rPr>
        <w:t>ical</w:t>
      </w:r>
      <w:r w:rsidRPr="00A56A12">
        <w:rPr>
          <w:rFonts w:ascii="Cambria" w:hAnsi="Cambria"/>
          <w:sz w:val="20"/>
          <w:szCs w:val="20"/>
        </w:rPr>
        <w:t xml:space="preserve"> Psychol</w:t>
      </w:r>
      <w:r w:rsidR="009A667E">
        <w:rPr>
          <w:rFonts w:ascii="Cambria" w:hAnsi="Cambria"/>
          <w:sz w:val="20"/>
          <w:szCs w:val="20"/>
        </w:rPr>
        <w:t>ogy</w:t>
      </w:r>
      <w:r w:rsidRPr="00A56A12">
        <w:rPr>
          <w:rFonts w:ascii="Cambria" w:hAnsi="Cambria"/>
          <w:sz w:val="20"/>
          <w:szCs w:val="20"/>
        </w:rPr>
        <w:t xml:space="preserve"> 72, 132–141.</w:t>
      </w:r>
    </w:p>
    <w:p w:rsidR="00EA0293" w:rsidRPr="00A56A12" w:rsidRDefault="00317EAC" w:rsidP="009A667E">
      <w:pPr>
        <w:spacing w:after="0" w:line="240" w:lineRule="auto"/>
        <w:ind w:left="426" w:hanging="426"/>
        <w:rPr>
          <w:rFonts w:ascii="Cambria" w:hAnsi="Cambria"/>
          <w:sz w:val="20"/>
          <w:szCs w:val="20"/>
        </w:rPr>
      </w:pPr>
      <w:r w:rsidRPr="00A56A12">
        <w:rPr>
          <w:rFonts w:ascii="Cambria" w:hAnsi="Cambria"/>
          <w:sz w:val="20"/>
          <w:szCs w:val="20"/>
        </w:rPr>
        <w:t>[27] Bennett, D., Reid, A., and Rowley, J. (2017). Student musicians’ experiences of reflexivity during internships: Personal narratives and complex modalities. International Journal of Music Education 35, 460–475.</w:t>
      </w:r>
    </w:p>
    <w:p w:rsidR="00261DAF" w:rsidRPr="00A56A12" w:rsidRDefault="00261DAF" w:rsidP="009A667E">
      <w:pPr>
        <w:spacing w:after="0" w:line="240" w:lineRule="auto"/>
        <w:ind w:left="426" w:hanging="426"/>
        <w:rPr>
          <w:rFonts w:ascii="Cambria" w:hAnsi="Cambria"/>
          <w:sz w:val="20"/>
          <w:szCs w:val="20"/>
        </w:rPr>
      </w:pPr>
      <w:r w:rsidRPr="00A56A12">
        <w:rPr>
          <w:rFonts w:ascii="Cambria" w:hAnsi="Cambria"/>
          <w:sz w:val="20"/>
          <w:szCs w:val="20"/>
        </w:rPr>
        <w:t>[28] Baum, F., MacDougall, C., and Smith, D. (2006). Participatory action research. Journal of Epidemiology and Community Health 60, 854–857.</w:t>
      </w:r>
    </w:p>
    <w:p w:rsidR="002430DE"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t xml:space="preserve">[29] Apgar, J.M., Cohen, P.J., Ratner, B.D., de Silva, S., Buisson, M.-C., Longley, C., </w:t>
      </w:r>
      <w:proofErr w:type="spellStart"/>
      <w:r w:rsidRPr="00A56A12">
        <w:rPr>
          <w:rFonts w:ascii="Cambria" w:hAnsi="Cambria"/>
          <w:sz w:val="20"/>
          <w:szCs w:val="20"/>
        </w:rPr>
        <w:t>Bastakoti</w:t>
      </w:r>
      <w:proofErr w:type="spellEnd"/>
      <w:r w:rsidRPr="00A56A12">
        <w:rPr>
          <w:rFonts w:ascii="Cambria" w:hAnsi="Cambria"/>
          <w:sz w:val="20"/>
          <w:szCs w:val="20"/>
        </w:rPr>
        <w:t xml:space="preserve">, R.C., and </w:t>
      </w:r>
      <w:proofErr w:type="spellStart"/>
      <w:r w:rsidRPr="00A56A12">
        <w:rPr>
          <w:rFonts w:ascii="Cambria" w:hAnsi="Cambria"/>
          <w:sz w:val="20"/>
          <w:szCs w:val="20"/>
        </w:rPr>
        <w:t>Mapedza</w:t>
      </w:r>
      <w:proofErr w:type="spellEnd"/>
      <w:r w:rsidRPr="00A56A12">
        <w:rPr>
          <w:rFonts w:ascii="Cambria" w:hAnsi="Cambria"/>
          <w:sz w:val="20"/>
          <w:szCs w:val="20"/>
        </w:rPr>
        <w:t>, E. (2017). Identifying opportunities to improve governance of aquatic agricultural systems through participatory action research. Ecology and Society 22, 9.</w:t>
      </w:r>
    </w:p>
    <w:p w:rsidR="00261DAF"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t>[30] Darby, S. (2017). Making space for co-produced research “impact”: learning from a participatory action research case study. Area 49, 230–237.</w:t>
      </w:r>
    </w:p>
    <w:p w:rsidR="00EA0293"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t>[31</w:t>
      </w:r>
      <w:r w:rsidR="00EA0293" w:rsidRPr="00A56A12">
        <w:rPr>
          <w:rFonts w:ascii="Cambria" w:hAnsi="Cambria"/>
          <w:sz w:val="20"/>
          <w:szCs w:val="20"/>
        </w:rPr>
        <w:t>] Yin, R.K. (2003). Case study research: design and methods (London, Thousand Oak, New Delhi: Sage Publications).</w:t>
      </w:r>
    </w:p>
    <w:p w:rsidR="00261DAF"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t>[32</w:t>
      </w:r>
      <w:r w:rsidR="00EA0293" w:rsidRPr="00A56A12">
        <w:rPr>
          <w:rFonts w:ascii="Cambria" w:hAnsi="Cambria"/>
          <w:sz w:val="20"/>
          <w:szCs w:val="20"/>
        </w:rPr>
        <w:t xml:space="preserve">] </w:t>
      </w:r>
      <w:proofErr w:type="spellStart"/>
      <w:r w:rsidR="00EA0293" w:rsidRPr="00A56A12">
        <w:rPr>
          <w:rFonts w:ascii="Cambria" w:hAnsi="Cambria"/>
          <w:sz w:val="20"/>
          <w:szCs w:val="20"/>
        </w:rPr>
        <w:t>Gomm</w:t>
      </w:r>
      <w:proofErr w:type="spellEnd"/>
      <w:r w:rsidR="00EA0293" w:rsidRPr="00A56A12">
        <w:rPr>
          <w:rFonts w:ascii="Cambria" w:hAnsi="Cambria"/>
          <w:sz w:val="20"/>
          <w:szCs w:val="20"/>
        </w:rPr>
        <w:t>, R., Hammersley, M., and Foster, P. (2002). Case study method - key issues, key texts (London, Thousand Oak, New Delhi: Sage Publications).</w:t>
      </w:r>
    </w:p>
    <w:p w:rsidR="00317EAC"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t>[33</w:t>
      </w:r>
      <w:r w:rsidR="00261DAF" w:rsidRPr="00A56A12">
        <w:rPr>
          <w:rFonts w:ascii="Cambria" w:hAnsi="Cambria"/>
          <w:sz w:val="20"/>
          <w:szCs w:val="20"/>
        </w:rPr>
        <w:t xml:space="preserve">] </w:t>
      </w:r>
      <w:proofErr w:type="spellStart"/>
      <w:r w:rsidR="00261DAF" w:rsidRPr="00A56A12">
        <w:rPr>
          <w:rFonts w:ascii="Cambria" w:hAnsi="Cambria"/>
          <w:sz w:val="20"/>
          <w:szCs w:val="20"/>
        </w:rPr>
        <w:t>Towgood</w:t>
      </w:r>
      <w:proofErr w:type="spellEnd"/>
      <w:r w:rsidR="00261DAF" w:rsidRPr="00A56A12">
        <w:rPr>
          <w:rFonts w:ascii="Cambria" w:hAnsi="Cambria"/>
          <w:sz w:val="20"/>
          <w:szCs w:val="20"/>
        </w:rPr>
        <w:t xml:space="preserve">, K.J., </w:t>
      </w:r>
      <w:proofErr w:type="spellStart"/>
      <w:r w:rsidR="00261DAF" w:rsidRPr="00A56A12">
        <w:rPr>
          <w:rFonts w:ascii="Cambria" w:hAnsi="Cambria"/>
          <w:sz w:val="20"/>
          <w:szCs w:val="20"/>
        </w:rPr>
        <w:t>Meuwese</w:t>
      </w:r>
      <w:proofErr w:type="spellEnd"/>
      <w:r w:rsidR="00261DAF" w:rsidRPr="00A56A12">
        <w:rPr>
          <w:rFonts w:ascii="Cambria" w:hAnsi="Cambria"/>
          <w:sz w:val="20"/>
          <w:szCs w:val="20"/>
        </w:rPr>
        <w:t xml:space="preserve">, J.D., Gilbert, S.J., Turner, M.S., and Burgess, P.W. (2009). Advantages of the multiple case series approach to the study of cognitive deficits in autism spectrum disorder. </w:t>
      </w:r>
      <w:proofErr w:type="spellStart"/>
      <w:r w:rsidR="00261DAF" w:rsidRPr="00A56A12">
        <w:rPr>
          <w:rFonts w:ascii="Cambria" w:hAnsi="Cambria"/>
          <w:sz w:val="20"/>
          <w:szCs w:val="20"/>
        </w:rPr>
        <w:t>Neuropsychologia</w:t>
      </w:r>
      <w:proofErr w:type="spellEnd"/>
      <w:r w:rsidR="00261DAF" w:rsidRPr="00A56A12">
        <w:rPr>
          <w:rFonts w:ascii="Cambria" w:hAnsi="Cambria"/>
          <w:sz w:val="20"/>
          <w:szCs w:val="20"/>
        </w:rPr>
        <w:t xml:space="preserve"> 47, 2981–2988.</w:t>
      </w:r>
    </w:p>
    <w:p w:rsidR="00CE62B0"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t>[34</w:t>
      </w:r>
      <w:r w:rsidR="00CE62B0" w:rsidRPr="00A56A12">
        <w:rPr>
          <w:rFonts w:ascii="Cambria" w:hAnsi="Cambria"/>
          <w:sz w:val="20"/>
          <w:szCs w:val="20"/>
        </w:rPr>
        <w:t xml:space="preserve">] </w:t>
      </w:r>
      <w:proofErr w:type="spellStart"/>
      <w:r w:rsidR="00CE62B0" w:rsidRPr="00A56A12">
        <w:rPr>
          <w:rFonts w:ascii="Cambria" w:hAnsi="Cambria"/>
          <w:sz w:val="20"/>
          <w:szCs w:val="20"/>
        </w:rPr>
        <w:t>Akhavan</w:t>
      </w:r>
      <w:proofErr w:type="spellEnd"/>
      <w:r w:rsidR="00CE62B0" w:rsidRPr="00A56A12">
        <w:rPr>
          <w:rFonts w:ascii="Cambria" w:hAnsi="Cambria"/>
          <w:sz w:val="20"/>
          <w:szCs w:val="20"/>
        </w:rPr>
        <w:t xml:space="preserve">, P., and </w:t>
      </w:r>
      <w:proofErr w:type="spellStart"/>
      <w:r w:rsidR="00CE62B0" w:rsidRPr="00A56A12">
        <w:rPr>
          <w:rFonts w:ascii="Cambria" w:hAnsi="Cambria"/>
          <w:sz w:val="20"/>
          <w:szCs w:val="20"/>
        </w:rPr>
        <w:t>Pezeshkan</w:t>
      </w:r>
      <w:proofErr w:type="spellEnd"/>
      <w:r w:rsidR="00CE62B0" w:rsidRPr="00A56A12">
        <w:rPr>
          <w:rFonts w:ascii="Cambria" w:hAnsi="Cambria"/>
          <w:sz w:val="20"/>
          <w:szCs w:val="20"/>
        </w:rPr>
        <w:t>, A. (2014). Knowledge management critical failure factors: a multi-case study. VINE: The Journal of Information and Knowledge Management Systems 44, 22–41.</w:t>
      </w:r>
    </w:p>
    <w:p w:rsidR="00CE62B0"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t>[35</w:t>
      </w:r>
      <w:r w:rsidR="00CE62B0" w:rsidRPr="00A56A12">
        <w:rPr>
          <w:rFonts w:ascii="Cambria" w:hAnsi="Cambria"/>
          <w:sz w:val="20"/>
          <w:szCs w:val="20"/>
        </w:rPr>
        <w:t>] Chua, A., and Lam, W. (2005). Why KM projects fail: a multi‐case analysis. J</w:t>
      </w:r>
      <w:r w:rsidR="009A667E">
        <w:rPr>
          <w:rFonts w:ascii="Cambria" w:hAnsi="Cambria"/>
          <w:sz w:val="20"/>
          <w:szCs w:val="20"/>
        </w:rPr>
        <w:t>ournal</w:t>
      </w:r>
      <w:r w:rsidR="00CE62B0" w:rsidRPr="00A56A12">
        <w:rPr>
          <w:rFonts w:ascii="Cambria" w:hAnsi="Cambria"/>
          <w:sz w:val="20"/>
          <w:szCs w:val="20"/>
        </w:rPr>
        <w:t xml:space="preserve"> of Knowledge Management 9, 6–17.</w:t>
      </w:r>
    </w:p>
    <w:p w:rsidR="00CE62B0"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t>[36</w:t>
      </w:r>
      <w:r w:rsidR="00CE62B0" w:rsidRPr="00A56A12">
        <w:rPr>
          <w:rFonts w:ascii="Cambria" w:hAnsi="Cambria"/>
          <w:sz w:val="20"/>
          <w:szCs w:val="20"/>
        </w:rPr>
        <w:t xml:space="preserve">] </w:t>
      </w:r>
      <w:proofErr w:type="spellStart"/>
      <w:r w:rsidR="00CE62B0" w:rsidRPr="00A56A12">
        <w:rPr>
          <w:rFonts w:ascii="Cambria" w:hAnsi="Cambria"/>
          <w:sz w:val="20"/>
          <w:szCs w:val="20"/>
        </w:rPr>
        <w:t>Eryılmaz</w:t>
      </w:r>
      <w:proofErr w:type="spellEnd"/>
      <w:r w:rsidR="00CE62B0" w:rsidRPr="00A56A12">
        <w:rPr>
          <w:rFonts w:ascii="Cambria" w:hAnsi="Cambria"/>
          <w:sz w:val="20"/>
          <w:szCs w:val="20"/>
        </w:rPr>
        <w:t>, R. (2016). Self-identification of three bilingual language teachers: a multi-case study. Sustainable Multilingualism 9, 32–49.</w:t>
      </w:r>
    </w:p>
    <w:p w:rsidR="003B16D6" w:rsidRPr="00A56A12" w:rsidRDefault="002430DE" w:rsidP="009A667E">
      <w:pPr>
        <w:spacing w:after="0" w:line="240" w:lineRule="auto"/>
        <w:ind w:left="426" w:hanging="426"/>
        <w:rPr>
          <w:rFonts w:ascii="Cambria" w:hAnsi="Cambria"/>
          <w:sz w:val="20"/>
          <w:szCs w:val="20"/>
        </w:rPr>
      </w:pPr>
      <w:r w:rsidRPr="00A56A12">
        <w:rPr>
          <w:rFonts w:ascii="Cambria" w:hAnsi="Cambria"/>
          <w:sz w:val="20"/>
          <w:szCs w:val="20"/>
        </w:rPr>
        <w:lastRenderedPageBreak/>
        <w:t>[37</w:t>
      </w:r>
      <w:r w:rsidR="00261DAF" w:rsidRPr="00A56A12">
        <w:rPr>
          <w:rFonts w:ascii="Cambria" w:hAnsi="Cambria"/>
          <w:sz w:val="20"/>
          <w:szCs w:val="20"/>
        </w:rPr>
        <w:t xml:space="preserve">] </w:t>
      </w:r>
      <w:r w:rsidR="00CE62B0" w:rsidRPr="00A56A12">
        <w:rPr>
          <w:rFonts w:ascii="Cambria" w:hAnsi="Cambria"/>
          <w:sz w:val="20"/>
          <w:szCs w:val="20"/>
        </w:rPr>
        <w:t xml:space="preserve">Oliveira, R., Sousa, L., de Mello, R., </w:t>
      </w:r>
      <w:proofErr w:type="spellStart"/>
      <w:r w:rsidR="00CE62B0" w:rsidRPr="00A56A12">
        <w:rPr>
          <w:rFonts w:ascii="Cambria" w:hAnsi="Cambria"/>
          <w:sz w:val="20"/>
          <w:szCs w:val="20"/>
        </w:rPr>
        <w:t>Valentim</w:t>
      </w:r>
      <w:proofErr w:type="spellEnd"/>
      <w:r w:rsidR="00CE62B0" w:rsidRPr="00A56A12">
        <w:rPr>
          <w:rFonts w:ascii="Cambria" w:hAnsi="Cambria"/>
          <w:sz w:val="20"/>
          <w:szCs w:val="20"/>
        </w:rPr>
        <w:t xml:space="preserve">, N., Lopes, A., Conte, T., Garcia, A., Oliveira, E., and </w:t>
      </w:r>
      <w:proofErr w:type="spellStart"/>
      <w:r w:rsidR="00CE62B0" w:rsidRPr="00A56A12">
        <w:rPr>
          <w:rFonts w:ascii="Cambria" w:hAnsi="Cambria"/>
          <w:sz w:val="20"/>
          <w:szCs w:val="20"/>
        </w:rPr>
        <w:t>Lucena</w:t>
      </w:r>
      <w:proofErr w:type="spellEnd"/>
      <w:r w:rsidR="00CE62B0" w:rsidRPr="00A56A12">
        <w:rPr>
          <w:rFonts w:ascii="Cambria" w:hAnsi="Cambria"/>
          <w:sz w:val="20"/>
          <w:szCs w:val="20"/>
        </w:rPr>
        <w:t>, C. (2017). Collaborative identification of code smells: a multi-case study. In Proceedings of the 39th International Conference on Software Engineering: Software Engineering in Practice Track, (IEEE Press), pp. 33–42.</w:t>
      </w:r>
    </w:p>
    <w:p w:rsidR="00597A41" w:rsidRPr="00A56A12" w:rsidRDefault="00B07E7C" w:rsidP="009A667E">
      <w:pPr>
        <w:spacing w:after="0" w:line="240" w:lineRule="auto"/>
        <w:ind w:left="426" w:hanging="426"/>
        <w:rPr>
          <w:rFonts w:ascii="Cambria" w:hAnsi="Cambria"/>
          <w:sz w:val="20"/>
          <w:szCs w:val="20"/>
        </w:rPr>
      </w:pPr>
      <w:r>
        <w:rPr>
          <w:rFonts w:ascii="Cambria" w:hAnsi="Cambria"/>
          <w:sz w:val="20"/>
          <w:szCs w:val="20"/>
        </w:rPr>
        <w:t>[38</w:t>
      </w:r>
      <w:r w:rsidR="00EB3740" w:rsidRPr="00A56A12">
        <w:rPr>
          <w:rFonts w:ascii="Cambria" w:hAnsi="Cambria"/>
          <w:sz w:val="20"/>
          <w:szCs w:val="20"/>
        </w:rPr>
        <w:t xml:space="preserve">] </w:t>
      </w:r>
      <w:r w:rsidR="00597A41" w:rsidRPr="00A56A12">
        <w:rPr>
          <w:rFonts w:ascii="Cambria" w:hAnsi="Cambria"/>
          <w:sz w:val="20"/>
          <w:szCs w:val="20"/>
        </w:rPr>
        <w:t xml:space="preserve">Ng, Y. Y., and Ling, M. H. T. (2010) Electronic laboratory notebook on Web2Py framework. The Python Papers 5, </w:t>
      </w:r>
      <w:r>
        <w:rPr>
          <w:rFonts w:ascii="Cambria" w:hAnsi="Cambria"/>
          <w:sz w:val="20"/>
          <w:szCs w:val="20"/>
        </w:rPr>
        <w:t>7.</w:t>
      </w:r>
    </w:p>
    <w:p w:rsidR="006F6C05" w:rsidRPr="00A56A12" w:rsidRDefault="00B07E7C" w:rsidP="009A667E">
      <w:pPr>
        <w:spacing w:after="0" w:line="240" w:lineRule="auto"/>
        <w:ind w:left="426" w:hanging="426"/>
        <w:rPr>
          <w:rFonts w:ascii="Cambria" w:hAnsi="Cambria"/>
          <w:sz w:val="20"/>
          <w:szCs w:val="20"/>
        </w:rPr>
      </w:pPr>
      <w:r>
        <w:rPr>
          <w:rFonts w:ascii="Cambria" w:hAnsi="Cambria"/>
          <w:sz w:val="20"/>
          <w:szCs w:val="20"/>
        </w:rPr>
        <w:t>[39</w:t>
      </w:r>
      <w:r w:rsidR="00EB3740" w:rsidRPr="00A56A12">
        <w:rPr>
          <w:rFonts w:ascii="Cambria" w:hAnsi="Cambria"/>
          <w:sz w:val="20"/>
          <w:szCs w:val="20"/>
        </w:rPr>
        <w:t xml:space="preserve">] </w:t>
      </w:r>
      <w:r w:rsidR="006F6C05" w:rsidRPr="00A56A12">
        <w:rPr>
          <w:rFonts w:ascii="Cambria" w:hAnsi="Cambria"/>
          <w:sz w:val="20"/>
          <w:szCs w:val="20"/>
        </w:rPr>
        <w:t xml:space="preserve">Chia, C. Y., Lim, C. W. X., Leong, W. T., and Ling, M. H. T. (2010) </w:t>
      </w:r>
      <w:r w:rsidR="002F6F18" w:rsidRPr="00A56A12">
        <w:rPr>
          <w:rFonts w:ascii="Cambria" w:hAnsi="Cambria"/>
          <w:sz w:val="20"/>
          <w:szCs w:val="20"/>
        </w:rPr>
        <w:t>High expression stability of microtubule affinity regulating k</w:t>
      </w:r>
      <w:r w:rsidR="006F6C05" w:rsidRPr="00A56A12">
        <w:rPr>
          <w:rFonts w:ascii="Cambria" w:hAnsi="Cambria"/>
          <w:sz w:val="20"/>
          <w:szCs w:val="20"/>
        </w:rPr>
        <w:t>in</w:t>
      </w:r>
      <w:r w:rsidR="002F6F18" w:rsidRPr="00A56A12">
        <w:rPr>
          <w:rFonts w:ascii="Cambria" w:hAnsi="Cambria"/>
          <w:sz w:val="20"/>
          <w:szCs w:val="20"/>
        </w:rPr>
        <w:t>ase 3 (MARK3) makes it a reliable reference g</w:t>
      </w:r>
      <w:r w:rsidR="006F6C05" w:rsidRPr="00A56A12">
        <w:rPr>
          <w:rFonts w:ascii="Cambria" w:hAnsi="Cambria"/>
          <w:sz w:val="20"/>
          <w:szCs w:val="20"/>
        </w:rPr>
        <w:t>ene. IUBMB Life 62, 200-203.</w:t>
      </w:r>
    </w:p>
    <w:p w:rsidR="00EB3740" w:rsidRPr="00A56A12" w:rsidRDefault="00B07E7C" w:rsidP="009A667E">
      <w:pPr>
        <w:spacing w:after="0" w:line="240" w:lineRule="auto"/>
        <w:ind w:left="426" w:hanging="426"/>
        <w:rPr>
          <w:rFonts w:ascii="Cambria" w:hAnsi="Cambria"/>
          <w:sz w:val="20"/>
          <w:szCs w:val="20"/>
        </w:rPr>
      </w:pPr>
      <w:r>
        <w:rPr>
          <w:rFonts w:ascii="Cambria" w:hAnsi="Cambria"/>
          <w:sz w:val="20"/>
          <w:szCs w:val="20"/>
        </w:rPr>
        <w:t>[40</w:t>
      </w:r>
      <w:r w:rsidR="00EB3740" w:rsidRPr="00A56A12">
        <w:rPr>
          <w:rFonts w:ascii="Cambria" w:hAnsi="Cambria"/>
          <w:sz w:val="20"/>
          <w:szCs w:val="20"/>
        </w:rPr>
        <w:t xml:space="preserve">] Too, I. H. K., </w:t>
      </w:r>
      <w:proofErr w:type="spellStart"/>
      <w:r w:rsidR="00EB3740" w:rsidRPr="00A56A12">
        <w:rPr>
          <w:rFonts w:ascii="Cambria" w:hAnsi="Cambria"/>
          <w:sz w:val="20"/>
          <w:szCs w:val="20"/>
        </w:rPr>
        <w:t>Heng</w:t>
      </w:r>
      <w:proofErr w:type="spellEnd"/>
      <w:r w:rsidR="00EB3740" w:rsidRPr="00A56A12">
        <w:rPr>
          <w:rFonts w:ascii="Cambria" w:hAnsi="Cambria"/>
          <w:sz w:val="20"/>
          <w:szCs w:val="20"/>
        </w:rPr>
        <w:t xml:space="preserve">, S. S. J., Chan, O. Y. W., </w:t>
      </w:r>
      <w:proofErr w:type="spellStart"/>
      <w:r w:rsidR="00EB3740" w:rsidRPr="00A56A12">
        <w:rPr>
          <w:rFonts w:ascii="Cambria" w:hAnsi="Cambria"/>
          <w:sz w:val="20"/>
          <w:szCs w:val="20"/>
        </w:rPr>
        <w:t>Keng</w:t>
      </w:r>
      <w:proofErr w:type="spellEnd"/>
      <w:r w:rsidR="00EB3740" w:rsidRPr="00A56A12">
        <w:rPr>
          <w:rFonts w:ascii="Cambria" w:hAnsi="Cambria"/>
          <w:sz w:val="20"/>
          <w:szCs w:val="20"/>
        </w:rPr>
        <w:t>, B. M. H., Chia, C. Y., Lim, C. W. X., Leong, W. T., Chu, Q. H., Ang, E. J. G., Lin, Y. J., and Ling, M. H. T. (2013) Identification of Reference Genes by Meta-Microarray Analyses. In James V. Rogers (</w:t>
      </w:r>
      <w:proofErr w:type="spellStart"/>
      <w:r w:rsidR="00EB3740" w:rsidRPr="00A56A12">
        <w:rPr>
          <w:rFonts w:ascii="Cambria" w:hAnsi="Cambria"/>
          <w:sz w:val="20"/>
          <w:szCs w:val="20"/>
        </w:rPr>
        <w:t>ed</w:t>
      </w:r>
      <w:proofErr w:type="spellEnd"/>
      <w:r w:rsidR="00EB3740" w:rsidRPr="00A56A12">
        <w:rPr>
          <w:rFonts w:ascii="Cambria" w:hAnsi="Cambria"/>
          <w:sz w:val="20"/>
          <w:szCs w:val="20"/>
        </w:rPr>
        <w:t>), Microarrays: Principles, Applications and Technologies. Nova Science Publishers, Inc.</w:t>
      </w:r>
    </w:p>
    <w:p w:rsidR="002F6F18" w:rsidRPr="00A56A12" w:rsidRDefault="00617417" w:rsidP="009A667E">
      <w:pPr>
        <w:spacing w:after="0" w:line="240" w:lineRule="auto"/>
        <w:ind w:left="426" w:hanging="426"/>
        <w:rPr>
          <w:rFonts w:ascii="Cambria" w:hAnsi="Cambria"/>
          <w:sz w:val="20"/>
          <w:szCs w:val="20"/>
        </w:rPr>
      </w:pPr>
      <w:r>
        <w:rPr>
          <w:rFonts w:ascii="Cambria" w:hAnsi="Cambria"/>
          <w:sz w:val="20"/>
          <w:szCs w:val="20"/>
        </w:rPr>
        <w:t>[41</w:t>
      </w:r>
      <w:r w:rsidR="00EB3740" w:rsidRPr="00A56A12">
        <w:rPr>
          <w:rFonts w:ascii="Cambria" w:hAnsi="Cambria"/>
          <w:sz w:val="20"/>
          <w:szCs w:val="20"/>
        </w:rPr>
        <w:t xml:space="preserve">] </w:t>
      </w:r>
      <w:proofErr w:type="spellStart"/>
      <w:r w:rsidR="006F6C05" w:rsidRPr="00A56A12">
        <w:rPr>
          <w:rFonts w:ascii="Cambria" w:hAnsi="Cambria"/>
          <w:sz w:val="20"/>
          <w:szCs w:val="20"/>
        </w:rPr>
        <w:t>Heng</w:t>
      </w:r>
      <w:proofErr w:type="spellEnd"/>
      <w:r w:rsidR="006F6C05" w:rsidRPr="00A56A12">
        <w:rPr>
          <w:rFonts w:ascii="Cambria" w:hAnsi="Cambria"/>
          <w:sz w:val="20"/>
          <w:szCs w:val="20"/>
        </w:rPr>
        <w:t>, S</w:t>
      </w:r>
      <w:r w:rsidR="002F6F18" w:rsidRPr="00A56A12">
        <w:rPr>
          <w:rFonts w:ascii="Cambria" w:hAnsi="Cambria"/>
          <w:sz w:val="20"/>
          <w:szCs w:val="20"/>
        </w:rPr>
        <w:t xml:space="preserve">. </w:t>
      </w:r>
      <w:r w:rsidR="006F6C05" w:rsidRPr="00A56A12">
        <w:rPr>
          <w:rFonts w:ascii="Cambria" w:hAnsi="Cambria"/>
          <w:sz w:val="20"/>
          <w:szCs w:val="20"/>
        </w:rPr>
        <w:t>S</w:t>
      </w:r>
      <w:r w:rsidR="002F6F18" w:rsidRPr="00A56A12">
        <w:rPr>
          <w:rFonts w:ascii="Cambria" w:hAnsi="Cambria"/>
          <w:sz w:val="20"/>
          <w:szCs w:val="20"/>
        </w:rPr>
        <w:t xml:space="preserve">. </w:t>
      </w:r>
      <w:r w:rsidR="006F6C05" w:rsidRPr="00A56A12">
        <w:rPr>
          <w:rFonts w:ascii="Cambria" w:hAnsi="Cambria"/>
          <w:sz w:val="20"/>
          <w:szCs w:val="20"/>
        </w:rPr>
        <w:t>J</w:t>
      </w:r>
      <w:r w:rsidR="002F6F18" w:rsidRPr="00A56A12">
        <w:rPr>
          <w:rFonts w:ascii="Cambria" w:hAnsi="Cambria"/>
          <w:sz w:val="20"/>
          <w:szCs w:val="20"/>
        </w:rPr>
        <w:t>.</w:t>
      </w:r>
      <w:r w:rsidR="006F6C05" w:rsidRPr="00A56A12">
        <w:rPr>
          <w:rFonts w:ascii="Cambria" w:hAnsi="Cambria"/>
          <w:sz w:val="20"/>
          <w:szCs w:val="20"/>
        </w:rPr>
        <w:t>, Chan, O</w:t>
      </w:r>
      <w:r w:rsidR="002F6F18" w:rsidRPr="00A56A12">
        <w:rPr>
          <w:rFonts w:ascii="Cambria" w:hAnsi="Cambria"/>
          <w:sz w:val="20"/>
          <w:szCs w:val="20"/>
        </w:rPr>
        <w:t xml:space="preserve">. </w:t>
      </w:r>
      <w:r w:rsidR="006F6C05" w:rsidRPr="00A56A12">
        <w:rPr>
          <w:rFonts w:ascii="Cambria" w:hAnsi="Cambria"/>
          <w:sz w:val="20"/>
          <w:szCs w:val="20"/>
        </w:rPr>
        <w:t>Y</w:t>
      </w:r>
      <w:r w:rsidR="002F6F18" w:rsidRPr="00A56A12">
        <w:rPr>
          <w:rFonts w:ascii="Cambria" w:hAnsi="Cambria"/>
          <w:sz w:val="20"/>
          <w:szCs w:val="20"/>
        </w:rPr>
        <w:t xml:space="preserve">. </w:t>
      </w:r>
      <w:r w:rsidR="006F6C05" w:rsidRPr="00A56A12">
        <w:rPr>
          <w:rFonts w:ascii="Cambria" w:hAnsi="Cambria"/>
          <w:sz w:val="20"/>
          <w:szCs w:val="20"/>
        </w:rPr>
        <w:t>W</w:t>
      </w:r>
      <w:r w:rsidR="002F6F18" w:rsidRPr="00A56A12">
        <w:rPr>
          <w:rFonts w:ascii="Cambria" w:hAnsi="Cambria"/>
          <w:sz w:val="20"/>
          <w:szCs w:val="20"/>
        </w:rPr>
        <w:t>.</w:t>
      </w:r>
      <w:r w:rsidR="006F6C05" w:rsidRPr="00A56A12">
        <w:rPr>
          <w:rFonts w:ascii="Cambria" w:hAnsi="Cambria"/>
          <w:sz w:val="20"/>
          <w:szCs w:val="20"/>
        </w:rPr>
        <w:t xml:space="preserve">, </w:t>
      </w:r>
      <w:proofErr w:type="spellStart"/>
      <w:r w:rsidR="006F6C05" w:rsidRPr="00A56A12">
        <w:rPr>
          <w:rFonts w:ascii="Cambria" w:hAnsi="Cambria"/>
          <w:sz w:val="20"/>
          <w:szCs w:val="20"/>
        </w:rPr>
        <w:t>Keng</w:t>
      </w:r>
      <w:proofErr w:type="spellEnd"/>
      <w:r w:rsidR="006F6C05" w:rsidRPr="00A56A12">
        <w:rPr>
          <w:rFonts w:ascii="Cambria" w:hAnsi="Cambria"/>
          <w:sz w:val="20"/>
          <w:szCs w:val="20"/>
        </w:rPr>
        <w:t>, B</w:t>
      </w:r>
      <w:r w:rsidR="002F6F18" w:rsidRPr="00A56A12">
        <w:rPr>
          <w:rFonts w:ascii="Cambria" w:hAnsi="Cambria"/>
          <w:sz w:val="20"/>
          <w:szCs w:val="20"/>
        </w:rPr>
        <w:t xml:space="preserve">. </w:t>
      </w:r>
      <w:r w:rsidR="006F6C05" w:rsidRPr="00A56A12">
        <w:rPr>
          <w:rFonts w:ascii="Cambria" w:hAnsi="Cambria"/>
          <w:sz w:val="20"/>
          <w:szCs w:val="20"/>
        </w:rPr>
        <w:t>M</w:t>
      </w:r>
      <w:r w:rsidR="002F6F18" w:rsidRPr="00A56A12">
        <w:rPr>
          <w:rFonts w:ascii="Cambria" w:hAnsi="Cambria"/>
          <w:sz w:val="20"/>
          <w:szCs w:val="20"/>
        </w:rPr>
        <w:t xml:space="preserve">. </w:t>
      </w:r>
      <w:r w:rsidR="006F6C05" w:rsidRPr="00A56A12">
        <w:rPr>
          <w:rFonts w:ascii="Cambria" w:hAnsi="Cambria"/>
          <w:sz w:val="20"/>
          <w:szCs w:val="20"/>
        </w:rPr>
        <w:t>H</w:t>
      </w:r>
      <w:r w:rsidR="002F6F18" w:rsidRPr="00A56A12">
        <w:rPr>
          <w:rFonts w:ascii="Cambria" w:hAnsi="Cambria"/>
          <w:sz w:val="20"/>
          <w:szCs w:val="20"/>
        </w:rPr>
        <w:t>.</w:t>
      </w:r>
      <w:r w:rsidR="006F6C05" w:rsidRPr="00A56A12">
        <w:rPr>
          <w:rFonts w:ascii="Cambria" w:hAnsi="Cambria"/>
          <w:sz w:val="20"/>
          <w:szCs w:val="20"/>
        </w:rPr>
        <w:t xml:space="preserve">, </w:t>
      </w:r>
      <w:r w:rsidR="002F6F18" w:rsidRPr="00A56A12">
        <w:rPr>
          <w:rFonts w:ascii="Cambria" w:hAnsi="Cambria"/>
          <w:sz w:val="20"/>
          <w:szCs w:val="20"/>
        </w:rPr>
        <w:t xml:space="preserve">and </w:t>
      </w:r>
      <w:r w:rsidR="006F6C05" w:rsidRPr="00A56A12">
        <w:rPr>
          <w:rFonts w:ascii="Cambria" w:hAnsi="Cambria"/>
          <w:sz w:val="20"/>
          <w:szCs w:val="20"/>
        </w:rPr>
        <w:t>Ling, M</w:t>
      </w:r>
      <w:r w:rsidR="002F6F18" w:rsidRPr="00A56A12">
        <w:rPr>
          <w:rFonts w:ascii="Cambria" w:hAnsi="Cambria"/>
          <w:sz w:val="20"/>
          <w:szCs w:val="20"/>
        </w:rPr>
        <w:t xml:space="preserve">. </w:t>
      </w:r>
      <w:r w:rsidR="006F6C05" w:rsidRPr="00A56A12">
        <w:rPr>
          <w:rFonts w:ascii="Cambria" w:hAnsi="Cambria"/>
          <w:sz w:val="20"/>
          <w:szCs w:val="20"/>
        </w:rPr>
        <w:t>H</w:t>
      </w:r>
      <w:r w:rsidR="002F6F18" w:rsidRPr="00A56A12">
        <w:rPr>
          <w:rFonts w:ascii="Cambria" w:hAnsi="Cambria"/>
          <w:sz w:val="20"/>
          <w:szCs w:val="20"/>
        </w:rPr>
        <w:t xml:space="preserve">. </w:t>
      </w:r>
      <w:r w:rsidR="006F6C05" w:rsidRPr="00A56A12">
        <w:rPr>
          <w:rFonts w:ascii="Cambria" w:hAnsi="Cambria"/>
          <w:sz w:val="20"/>
          <w:szCs w:val="20"/>
        </w:rPr>
        <w:t xml:space="preserve">T. </w:t>
      </w:r>
      <w:r w:rsidR="002F6F18" w:rsidRPr="00A56A12">
        <w:rPr>
          <w:rFonts w:ascii="Cambria" w:hAnsi="Cambria"/>
          <w:sz w:val="20"/>
          <w:szCs w:val="20"/>
        </w:rPr>
        <w:t xml:space="preserve">(2011) </w:t>
      </w:r>
      <w:r w:rsidR="006F6C05" w:rsidRPr="00A56A12">
        <w:rPr>
          <w:rFonts w:ascii="Cambria" w:hAnsi="Cambria"/>
          <w:sz w:val="20"/>
          <w:szCs w:val="20"/>
        </w:rPr>
        <w:t>Glucan bios</w:t>
      </w:r>
      <w:r w:rsidR="002F6F18" w:rsidRPr="00A56A12">
        <w:rPr>
          <w:rFonts w:ascii="Cambria" w:hAnsi="Cambria"/>
          <w:sz w:val="20"/>
          <w:szCs w:val="20"/>
        </w:rPr>
        <w:t>ynthesis protein G (</w:t>
      </w:r>
      <w:proofErr w:type="spellStart"/>
      <w:r w:rsidR="002F6F18" w:rsidRPr="00A56A12">
        <w:rPr>
          <w:rFonts w:ascii="Cambria" w:hAnsi="Cambria"/>
          <w:sz w:val="20"/>
          <w:szCs w:val="20"/>
        </w:rPr>
        <w:t>mdoG</w:t>
      </w:r>
      <w:proofErr w:type="spellEnd"/>
      <w:r w:rsidR="002F6F18" w:rsidRPr="00A56A12">
        <w:rPr>
          <w:rFonts w:ascii="Cambria" w:hAnsi="Cambria"/>
          <w:sz w:val="20"/>
          <w:szCs w:val="20"/>
        </w:rPr>
        <w:t>) is a suitable reference g</w:t>
      </w:r>
      <w:r w:rsidR="006F6C05" w:rsidRPr="00A56A12">
        <w:rPr>
          <w:rFonts w:ascii="Cambria" w:hAnsi="Cambria"/>
          <w:sz w:val="20"/>
          <w:szCs w:val="20"/>
        </w:rPr>
        <w:t xml:space="preserve">ene in </w:t>
      </w:r>
      <w:r w:rsidR="006F6C05" w:rsidRPr="00A56A12">
        <w:rPr>
          <w:rFonts w:ascii="Cambria" w:hAnsi="Cambria"/>
          <w:i/>
          <w:sz w:val="20"/>
          <w:szCs w:val="20"/>
        </w:rPr>
        <w:t>Escherichia coli</w:t>
      </w:r>
      <w:r w:rsidR="006F6C05" w:rsidRPr="00A56A12">
        <w:rPr>
          <w:rFonts w:ascii="Cambria" w:hAnsi="Cambria"/>
          <w:sz w:val="20"/>
          <w:szCs w:val="20"/>
        </w:rPr>
        <w:t xml:space="preserve"> K-12. ISRN Microbiology 2011, Article ID 469053.</w:t>
      </w:r>
    </w:p>
    <w:p w:rsidR="00816A11" w:rsidRPr="00A56A12" w:rsidRDefault="00617417" w:rsidP="009A667E">
      <w:pPr>
        <w:spacing w:after="0" w:line="240" w:lineRule="auto"/>
        <w:ind w:left="426" w:hanging="426"/>
        <w:rPr>
          <w:rFonts w:ascii="Cambria" w:hAnsi="Cambria"/>
          <w:sz w:val="20"/>
          <w:szCs w:val="20"/>
        </w:rPr>
      </w:pPr>
      <w:r>
        <w:rPr>
          <w:rFonts w:ascii="Cambria" w:hAnsi="Cambria"/>
          <w:sz w:val="20"/>
          <w:szCs w:val="20"/>
        </w:rPr>
        <w:t>[42</w:t>
      </w:r>
      <w:r w:rsidR="00EB3740" w:rsidRPr="00A56A12">
        <w:rPr>
          <w:rFonts w:ascii="Cambria" w:hAnsi="Cambria"/>
          <w:sz w:val="20"/>
          <w:szCs w:val="20"/>
        </w:rPr>
        <w:t xml:space="preserve">] </w:t>
      </w:r>
      <w:proofErr w:type="spellStart"/>
      <w:r w:rsidR="00816A11" w:rsidRPr="00A56A12">
        <w:rPr>
          <w:rFonts w:ascii="Cambria" w:hAnsi="Cambria"/>
          <w:sz w:val="20"/>
          <w:szCs w:val="20"/>
        </w:rPr>
        <w:t>Keng</w:t>
      </w:r>
      <w:proofErr w:type="spellEnd"/>
      <w:r w:rsidR="00816A11" w:rsidRPr="00A56A12">
        <w:rPr>
          <w:rFonts w:ascii="Cambria" w:hAnsi="Cambria"/>
          <w:sz w:val="20"/>
          <w:szCs w:val="20"/>
        </w:rPr>
        <w:t xml:space="preserve">, B. M. H, Chan, O. Y. W., </w:t>
      </w:r>
      <w:proofErr w:type="spellStart"/>
      <w:r w:rsidR="00816A11" w:rsidRPr="00A56A12">
        <w:rPr>
          <w:rFonts w:ascii="Cambria" w:hAnsi="Cambria"/>
          <w:sz w:val="20"/>
          <w:szCs w:val="20"/>
        </w:rPr>
        <w:t>Heng</w:t>
      </w:r>
      <w:proofErr w:type="spellEnd"/>
      <w:r w:rsidR="00816A11" w:rsidRPr="00A56A12">
        <w:rPr>
          <w:rFonts w:ascii="Cambria" w:hAnsi="Cambria"/>
          <w:sz w:val="20"/>
          <w:szCs w:val="20"/>
        </w:rPr>
        <w:t xml:space="preserve">, S. S. J., and Ling, M. H. T. (2013) Transcriptome analysis of </w:t>
      </w:r>
      <w:proofErr w:type="spellStart"/>
      <w:r w:rsidR="00816A11" w:rsidRPr="00A56A12">
        <w:rPr>
          <w:rFonts w:ascii="Cambria" w:hAnsi="Cambria"/>
          <w:i/>
          <w:sz w:val="20"/>
          <w:szCs w:val="20"/>
        </w:rPr>
        <w:t>Spermophilus</w:t>
      </w:r>
      <w:proofErr w:type="spellEnd"/>
      <w:r w:rsidR="00816A11" w:rsidRPr="00A56A12">
        <w:rPr>
          <w:rFonts w:ascii="Cambria" w:hAnsi="Cambria"/>
          <w:i/>
          <w:sz w:val="20"/>
          <w:szCs w:val="20"/>
        </w:rPr>
        <w:t xml:space="preserve"> lateralis</w:t>
      </w:r>
      <w:r w:rsidR="00816A11" w:rsidRPr="00A56A12">
        <w:rPr>
          <w:rFonts w:ascii="Cambria" w:hAnsi="Cambria"/>
          <w:sz w:val="20"/>
          <w:szCs w:val="20"/>
        </w:rPr>
        <w:t xml:space="preserve"> and </w:t>
      </w:r>
      <w:proofErr w:type="spellStart"/>
      <w:r w:rsidR="00816A11" w:rsidRPr="00A56A12">
        <w:rPr>
          <w:rFonts w:ascii="Cambria" w:hAnsi="Cambria"/>
          <w:i/>
          <w:sz w:val="20"/>
          <w:szCs w:val="20"/>
        </w:rPr>
        <w:t>Spermophilus</w:t>
      </w:r>
      <w:proofErr w:type="spellEnd"/>
      <w:r w:rsidR="00816A11" w:rsidRPr="00A56A12">
        <w:rPr>
          <w:rFonts w:ascii="Cambria" w:hAnsi="Cambria"/>
          <w:i/>
          <w:sz w:val="20"/>
          <w:szCs w:val="20"/>
        </w:rPr>
        <w:t xml:space="preserve"> </w:t>
      </w:r>
      <w:proofErr w:type="spellStart"/>
      <w:r w:rsidR="00816A11" w:rsidRPr="00A56A12">
        <w:rPr>
          <w:rFonts w:ascii="Cambria" w:hAnsi="Cambria"/>
          <w:i/>
          <w:sz w:val="20"/>
          <w:szCs w:val="20"/>
        </w:rPr>
        <w:t>tridecemlineatus</w:t>
      </w:r>
      <w:proofErr w:type="spellEnd"/>
      <w:r w:rsidR="00816A11" w:rsidRPr="00A56A12">
        <w:rPr>
          <w:rFonts w:ascii="Cambria" w:hAnsi="Cambria"/>
          <w:sz w:val="20"/>
          <w:szCs w:val="20"/>
        </w:rPr>
        <w:t xml:space="preserve"> liver does not suggest the presence of </w:t>
      </w:r>
      <w:proofErr w:type="spellStart"/>
      <w:r w:rsidR="00816A11" w:rsidRPr="00A56A12">
        <w:rPr>
          <w:rFonts w:ascii="Cambria" w:hAnsi="Cambria"/>
          <w:sz w:val="20"/>
          <w:szCs w:val="20"/>
        </w:rPr>
        <w:t>spermophilus</w:t>
      </w:r>
      <w:proofErr w:type="spellEnd"/>
      <w:r w:rsidR="00816A11" w:rsidRPr="00A56A12">
        <w:rPr>
          <w:rFonts w:ascii="Cambria" w:hAnsi="Cambria"/>
          <w:sz w:val="20"/>
          <w:szCs w:val="20"/>
        </w:rPr>
        <w:t>-liver-specific reference genes. ISRN Bioinformatics 2013, Article ID 361321.</w:t>
      </w:r>
    </w:p>
    <w:p w:rsidR="00816A11" w:rsidRPr="00A56A12" w:rsidRDefault="00617417" w:rsidP="009A667E">
      <w:pPr>
        <w:spacing w:after="0" w:line="240" w:lineRule="auto"/>
        <w:ind w:left="426" w:hanging="426"/>
        <w:rPr>
          <w:rFonts w:ascii="Cambria" w:hAnsi="Cambria"/>
          <w:sz w:val="20"/>
          <w:szCs w:val="20"/>
        </w:rPr>
      </w:pPr>
      <w:r>
        <w:rPr>
          <w:rFonts w:ascii="Cambria" w:hAnsi="Cambria"/>
          <w:sz w:val="20"/>
          <w:szCs w:val="20"/>
        </w:rPr>
        <w:t>[43</w:t>
      </w:r>
      <w:r w:rsidR="00EB3740" w:rsidRPr="00A56A12">
        <w:rPr>
          <w:rFonts w:ascii="Cambria" w:hAnsi="Cambria"/>
          <w:sz w:val="20"/>
          <w:szCs w:val="20"/>
        </w:rPr>
        <w:t xml:space="preserve">] </w:t>
      </w:r>
      <w:r w:rsidR="00816A11" w:rsidRPr="00A56A12">
        <w:rPr>
          <w:rFonts w:ascii="Cambria" w:hAnsi="Cambria"/>
          <w:sz w:val="20"/>
          <w:szCs w:val="20"/>
        </w:rPr>
        <w:t xml:space="preserve">Chan, O. Y. W., </w:t>
      </w:r>
      <w:proofErr w:type="spellStart"/>
      <w:r w:rsidR="00816A11" w:rsidRPr="00A56A12">
        <w:rPr>
          <w:rFonts w:ascii="Cambria" w:hAnsi="Cambria"/>
          <w:sz w:val="20"/>
          <w:szCs w:val="20"/>
        </w:rPr>
        <w:t>Keng</w:t>
      </w:r>
      <w:proofErr w:type="spellEnd"/>
      <w:r w:rsidR="00816A11" w:rsidRPr="00A56A12">
        <w:rPr>
          <w:rFonts w:ascii="Cambria" w:hAnsi="Cambria"/>
          <w:sz w:val="20"/>
          <w:szCs w:val="20"/>
        </w:rPr>
        <w:t>, B. M. H., and Ling, M. H. T. (2014) Correlation and variation based method for reference genes identification from large datasets. Electronic Physician 6, 719-727.</w:t>
      </w:r>
    </w:p>
    <w:p w:rsidR="00816A11" w:rsidRPr="00A56A12" w:rsidRDefault="00617417" w:rsidP="009A667E">
      <w:pPr>
        <w:spacing w:after="0" w:line="240" w:lineRule="auto"/>
        <w:ind w:left="426" w:hanging="426"/>
        <w:rPr>
          <w:rFonts w:ascii="Cambria" w:hAnsi="Cambria"/>
          <w:sz w:val="20"/>
          <w:szCs w:val="20"/>
        </w:rPr>
      </w:pPr>
      <w:r>
        <w:rPr>
          <w:rFonts w:ascii="Cambria" w:hAnsi="Cambria"/>
          <w:sz w:val="20"/>
          <w:szCs w:val="20"/>
        </w:rPr>
        <w:t>[44</w:t>
      </w:r>
      <w:r w:rsidR="00EB3740" w:rsidRPr="00A56A12">
        <w:rPr>
          <w:rFonts w:ascii="Cambria" w:hAnsi="Cambria"/>
          <w:sz w:val="20"/>
          <w:szCs w:val="20"/>
        </w:rPr>
        <w:t xml:space="preserve">] </w:t>
      </w:r>
      <w:r w:rsidR="00816A11" w:rsidRPr="00A56A12">
        <w:rPr>
          <w:rFonts w:ascii="Cambria" w:hAnsi="Cambria"/>
          <w:sz w:val="20"/>
          <w:szCs w:val="20"/>
        </w:rPr>
        <w:t xml:space="preserve">Chan, O. Y. W., </w:t>
      </w:r>
      <w:proofErr w:type="spellStart"/>
      <w:r w:rsidR="00816A11" w:rsidRPr="00A56A12">
        <w:rPr>
          <w:rFonts w:ascii="Cambria" w:hAnsi="Cambria"/>
          <w:sz w:val="20"/>
          <w:szCs w:val="20"/>
        </w:rPr>
        <w:t>Keng</w:t>
      </w:r>
      <w:proofErr w:type="spellEnd"/>
      <w:r w:rsidR="00816A11" w:rsidRPr="00A56A12">
        <w:rPr>
          <w:rFonts w:ascii="Cambria" w:hAnsi="Cambria"/>
          <w:sz w:val="20"/>
          <w:szCs w:val="20"/>
        </w:rPr>
        <w:t xml:space="preserve">, B. M. H., and Ling, M. H. T. (2014) </w:t>
      </w:r>
      <w:proofErr w:type="spellStart"/>
      <w:r w:rsidR="00816A11" w:rsidRPr="00A56A12">
        <w:rPr>
          <w:rFonts w:ascii="Cambria" w:hAnsi="Cambria"/>
          <w:sz w:val="20"/>
          <w:szCs w:val="20"/>
        </w:rPr>
        <w:t>Bactome</w:t>
      </w:r>
      <w:proofErr w:type="spellEnd"/>
      <w:r w:rsidR="00816A11" w:rsidRPr="00A56A12">
        <w:rPr>
          <w:rFonts w:ascii="Cambria" w:hAnsi="Cambria"/>
          <w:sz w:val="20"/>
          <w:szCs w:val="20"/>
        </w:rPr>
        <w:t xml:space="preserve"> III: </w:t>
      </w:r>
      <w:proofErr w:type="spellStart"/>
      <w:r w:rsidR="00816A11" w:rsidRPr="00A56A12">
        <w:rPr>
          <w:rFonts w:ascii="Cambria" w:hAnsi="Cambria"/>
          <w:sz w:val="20"/>
          <w:szCs w:val="20"/>
        </w:rPr>
        <w:t>OLIgonucleotide</w:t>
      </w:r>
      <w:proofErr w:type="spellEnd"/>
      <w:r w:rsidR="00816A11" w:rsidRPr="00A56A12">
        <w:rPr>
          <w:rFonts w:ascii="Cambria" w:hAnsi="Cambria"/>
          <w:sz w:val="20"/>
          <w:szCs w:val="20"/>
        </w:rPr>
        <w:t xml:space="preserve"> Variable Expression Ranker (OLIVER) 1.0, Tool for identifying suitable reference (invariant) genes from large microarray datasets. The Python Papers Source Codes 6: 2.</w:t>
      </w:r>
    </w:p>
    <w:p w:rsidR="00597A41" w:rsidRPr="00A56A12" w:rsidRDefault="00617417" w:rsidP="009A667E">
      <w:pPr>
        <w:spacing w:after="0" w:line="240" w:lineRule="auto"/>
        <w:ind w:left="426" w:hanging="426"/>
        <w:rPr>
          <w:rFonts w:ascii="Cambria" w:hAnsi="Cambria"/>
          <w:sz w:val="20"/>
          <w:szCs w:val="20"/>
        </w:rPr>
      </w:pPr>
      <w:r>
        <w:rPr>
          <w:rFonts w:ascii="Cambria" w:hAnsi="Cambria"/>
          <w:sz w:val="20"/>
          <w:szCs w:val="20"/>
        </w:rPr>
        <w:t>[45</w:t>
      </w:r>
      <w:r w:rsidR="00EB3740" w:rsidRPr="00A56A12">
        <w:rPr>
          <w:rFonts w:ascii="Cambria" w:hAnsi="Cambria"/>
          <w:sz w:val="20"/>
          <w:szCs w:val="20"/>
        </w:rPr>
        <w:t xml:space="preserve">] </w:t>
      </w:r>
      <w:proofErr w:type="spellStart"/>
      <w:r w:rsidR="00816A11" w:rsidRPr="00A56A12">
        <w:rPr>
          <w:rFonts w:ascii="Cambria" w:hAnsi="Cambria"/>
          <w:sz w:val="20"/>
          <w:szCs w:val="20"/>
        </w:rPr>
        <w:t>Keng</w:t>
      </w:r>
      <w:proofErr w:type="spellEnd"/>
      <w:r w:rsidR="00816A11" w:rsidRPr="00A56A12">
        <w:rPr>
          <w:rFonts w:ascii="Cambria" w:hAnsi="Cambria"/>
          <w:sz w:val="20"/>
          <w:szCs w:val="20"/>
        </w:rPr>
        <w:t>, B. M. H., Chan, O. Y. W., and Ling, M. H. T. (2014) Codon usage bias is evolutionarily conserved. Asia Pacific Journal of Life Sciences 7, 233-242.</w:t>
      </w:r>
    </w:p>
    <w:p w:rsidR="00597A41" w:rsidRPr="00A56A12" w:rsidRDefault="00617417" w:rsidP="009A667E">
      <w:pPr>
        <w:spacing w:after="0" w:line="240" w:lineRule="auto"/>
        <w:ind w:left="426" w:hanging="426"/>
        <w:rPr>
          <w:rFonts w:ascii="Cambria" w:hAnsi="Cambria"/>
          <w:sz w:val="20"/>
          <w:szCs w:val="20"/>
        </w:rPr>
      </w:pPr>
      <w:r>
        <w:rPr>
          <w:rFonts w:ascii="Cambria" w:hAnsi="Cambria"/>
          <w:sz w:val="20"/>
          <w:szCs w:val="20"/>
        </w:rPr>
        <w:t>[46</w:t>
      </w:r>
      <w:r w:rsidR="00EB3740" w:rsidRPr="00A56A12">
        <w:rPr>
          <w:rFonts w:ascii="Cambria" w:hAnsi="Cambria"/>
          <w:sz w:val="20"/>
          <w:szCs w:val="20"/>
        </w:rPr>
        <w:t xml:space="preserve">] </w:t>
      </w:r>
      <w:r w:rsidR="00597A41" w:rsidRPr="00A56A12">
        <w:rPr>
          <w:rFonts w:ascii="Cambria" w:hAnsi="Cambria"/>
          <w:sz w:val="20"/>
          <w:szCs w:val="20"/>
        </w:rPr>
        <w:t xml:space="preserve">Lee, C. H., Lee, K. C., </w:t>
      </w:r>
      <w:proofErr w:type="spellStart"/>
      <w:r w:rsidR="00597A41" w:rsidRPr="00A56A12">
        <w:rPr>
          <w:rFonts w:ascii="Cambria" w:hAnsi="Cambria"/>
          <w:sz w:val="20"/>
          <w:szCs w:val="20"/>
        </w:rPr>
        <w:t>Oon</w:t>
      </w:r>
      <w:proofErr w:type="spellEnd"/>
      <w:r w:rsidR="00597A41" w:rsidRPr="00A56A12">
        <w:rPr>
          <w:rFonts w:ascii="Cambria" w:hAnsi="Cambria"/>
          <w:sz w:val="20"/>
          <w:szCs w:val="20"/>
        </w:rPr>
        <w:t xml:space="preserve">, J. S. H., and Ling, M. H. T. (2010) </w:t>
      </w:r>
      <w:proofErr w:type="spellStart"/>
      <w:r w:rsidR="00597A41" w:rsidRPr="00A56A12">
        <w:rPr>
          <w:rFonts w:ascii="Cambria" w:hAnsi="Cambria"/>
          <w:sz w:val="20"/>
          <w:szCs w:val="20"/>
        </w:rPr>
        <w:t>Bactome</w:t>
      </w:r>
      <w:proofErr w:type="spellEnd"/>
      <w:r w:rsidR="00597A41" w:rsidRPr="00A56A12">
        <w:rPr>
          <w:rFonts w:ascii="Cambria" w:hAnsi="Cambria"/>
          <w:sz w:val="20"/>
          <w:szCs w:val="20"/>
        </w:rPr>
        <w:t>, I: Python in DNA fingerprinting. The Python Papers 5, 6.</w:t>
      </w:r>
    </w:p>
    <w:p w:rsidR="009F7590" w:rsidRPr="00A56A12" w:rsidRDefault="00617417" w:rsidP="009A667E">
      <w:pPr>
        <w:spacing w:after="0" w:line="240" w:lineRule="auto"/>
        <w:ind w:left="426" w:hanging="426"/>
        <w:rPr>
          <w:rFonts w:ascii="Cambria" w:hAnsi="Cambria"/>
          <w:sz w:val="20"/>
          <w:szCs w:val="20"/>
        </w:rPr>
      </w:pPr>
      <w:r>
        <w:rPr>
          <w:rFonts w:ascii="Cambria" w:hAnsi="Cambria"/>
          <w:sz w:val="20"/>
          <w:szCs w:val="20"/>
        </w:rPr>
        <w:t>[47</w:t>
      </w:r>
      <w:r w:rsidR="00EB3740" w:rsidRPr="00A56A12">
        <w:rPr>
          <w:rFonts w:ascii="Cambria" w:hAnsi="Cambria"/>
          <w:sz w:val="20"/>
          <w:szCs w:val="20"/>
        </w:rPr>
        <w:t xml:space="preserve">] </w:t>
      </w:r>
      <w:r w:rsidR="002F6F18" w:rsidRPr="00A56A12">
        <w:rPr>
          <w:rFonts w:ascii="Cambria" w:hAnsi="Cambria"/>
          <w:sz w:val="20"/>
          <w:szCs w:val="20"/>
        </w:rPr>
        <w:t xml:space="preserve">Lee, C. H., Lee, K. C., </w:t>
      </w:r>
      <w:proofErr w:type="spellStart"/>
      <w:r w:rsidR="002F6F18" w:rsidRPr="00A56A12">
        <w:rPr>
          <w:rFonts w:ascii="Cambria" w:hAnsi="Cambria"/>
          <w:sz w:val="20"/>
          <w:szCs w:val="20"/>
        </w:rPr>
        <w:t>Oon</w:t>
      </w:r>
      <w:proofErr w:type="spellEnd"/>
      <w:r w:rsidR="002F6F18" w:rsidRPr="00A56A12">
        <w:rPr>
          <w:rFonts w:ascii="Cambria" w:hAnsi="Cambria"/>
          <w:sz w:val="20"/>
          <w:szCs w:val="20"/>
        </w:rPr>
        <w:t>, J. S. H., and Ling, M. H. T.</w:t>
      </w:r>
      <w:r w:rsidR="00F941B9" w:rsidRPr="00A56A12">
        <w:rPr>
          <w:rFonts w:ascii="Cambria" w:hAnsi="Cambria"/>
          <w:sz w:val="20"/>
          <w:szCs w:val="20"/>
        </w:rPr>
        <w:t xml:space="preserve"> </w:t>
      </w:r>
      <w:r w:rsidR="002F6F18" w:rsidRPr="00A56A12">
        <w:rPr>
          <w:rFonts w:ascii="Cambria" w:hAnsi="Cambria"/>
          <w:sz w:val="20"/>
          <w:szCs w:val="20"/>
        </w:rPr>
        <w:t>(2012)</w:t>
      </w:r>
      <w:r w:rsidR="00F941B9" w:rsidRPr="00A56A12">
        <w:rPr>
          <w:rFonts w:ascii="Cambria" w:hAnsi="Cambria"/>
          <w:sz w:val="20"/>
          <w:szCs w:val="20"/>
        </w:rPr>
        <w:t xml:space="preserve"> </w:t>
      </w:r>
      <w:r w:rsidR="00F941B9" w:rsidRPr="00A56A12">
        <w:rPr>
          <w:rFonts w:ascii="Cambria" w:hAnsi="Cambria"/>
          <w:i/>
          <w:sz w:val="20"/>
          <w:szCs w:val="20"/>
        </w:rPr>
        <w:t>Escherichia coli</w:t>
      </w:r>
      <w:r w:rsidR="002F6F18" w:rsidRPr="00A56A12">
        <w:rPr>
          <w:rFonts w:ascii="Cambria" w:hAnsi="Cambria"/>
          <w:sz w:val="20"/>
          <w:szCs w:val="20"/>
        </w:rPr>
        <w:t xml:space="preserve"> ATCC 8739 a</w:t>
      </w:r>
      <w:r w:rsidR="00F941B9" w:rsidRPr="00A56A12">
        <w:rPr>
          <w:rFonts w:ascii="Cambria" w:hAnsi="Cambria"/>
          <w:sz w:val="20"/>
          <w:szCs w:val="20"/>
        </w:rPr>
        <w:t>dapt</w:t>
      </w:r>
      <w:r w:rsidR="002F6F18" w:rsidRPr="00A56A12">
        <w:rPr>
          <w:rFonts w:ascii="Cambria" w:hAnsi="Cambria"/>
          <w:sz w:val="20"/>
          <w:szCs w:val="20"/>
        </w:rPr>
        <w:t>s to the presence of sodium chloride, monosodium glutamate, and benzoic acid after extended c</w:t>
      </w:r>
      <w:r w:rsidR="00F941B9" w:rsidRPr="00A56A12">
        <w:rPr>
          <w:rFonts w:ascii="Cambria" w:hAnsi="Cambria"/>
          <w:sz w:val="20"/>
          <w:szCs w:val="20"/>
        </w:rPr>
        <w:t>ulture. ISRN Micro</w:t>
      </w:r>
      <w:r w:rsidR="009F7590" w:rsidRPr="00A56A12">
        <w:rPr>
          <w:rFonts w:ascii="Cambria" w:hAnsi="Cambria"/>
          <w:sz w:val="20"/>
          <w:szCs w:val="20"/>
        </w:rPr>
        <w:t>biology 2012, Article ID 965356.</w:t>
      </w:r>
    </w:p>
    <w:p w:rsidR="00597A41" w:rsidRPr="005E4E01" w:rsidRDefault="00617417" w:rsidP="009A667E">
      <w:pPr>
        <w:spacing w:after="0" w:line="240" w:lineRule="auto"/>
        <w:ind w:left="426" w:hanging="426"/>
        <w:rPr>
          <w:rFonts w:ascii="Cambria" w:hAnsi="Cambria"/>
          <w:sz w:val="20"/>
          <w:szCs w:val="20"/>
        </w:rPr>
      </w:pPr>
      <w:r w:rsidRPr="005E4E01">
        <w:rPr>
          <w:rFonts w:ascii="Cambria" w:hAnsi="Cambria"/>
          <w:sz w:val="20"/>
          <w:szCs w:val="20"/>
        </w:rPr>
        <w:t>[48</w:t>
      </w:r>
      <w:r w:rsidR="00EB3740" w:rsidRPr="005E4E01">
        <w:rPr>
          <w:rFonts w:ascii="Cambria" w:hAnsi="Cambria"/>
          <w:sz w:val="20"/>
          <w:szCs w:val="20"/>
        </w:rPr>
        <w:t xml:space="preserve">] </w:t>
      </w:r>
      <w:proofErr w:type="spellStart"/>
      <w:r w:rsidR="00597A41" w:rsidRPr="005E4E01">
        <w:rPr>
          <w:rFonts w:ascii="Cambria" w:hAnsi="Cambria"/>
          <w:sz w:val="20"/>
          <w:szCs w:val="20"/>
        </w:rPr>
        <w:t>Chay</w:t>
      </w:r>
      <w:proofErr w:type="spellEnd"/>
      <w:r w:rsidR="00597A41" w:rsidRPr="005E4E01">
        <w:rPr>
          <w:rFonts w:ascii="Cambria" w:hAnsi="Cambria"/>
          <w:sz w:val="20"/>
          <w:szCs w:val="20"/>
        </w:rPr>
        <w:t>, Z. E., and Ling, M. H. T. (2010) COPADS, II: Chi-Square test, F-test and t-test routines from Gopal Kanji's 100 statistical tests. The Python Papers Source Codes 2, 3.</w:t>
      </w:r>
    </w:p>
    <w:p w:rsidR="00597A41" w:rsidRPr="00C53258" w:rsidRDefault="00617417" w:rsidP="009A667E">
      <w:pPr>
        <w:spacing w:after="0" w:line="240" w:lineRule="auto"/>
        <w:ind w:left="426" w:hanging="426"/>
        <w:rPr>
          <w:rFonts w:ascii="Cambria" w:hAnsi="Cambria"/>
          <w:sz w:val="20"/>
          <w:szCs w:val="20"/>
        </w:rPr>
      </w:pPr>
      <w:r w:rsidRPr="00C53258">
        <w:rPr>
          <w:rFonts w:ascii="Cambria" w:hAnsi="Cambria"/>
          <w:sz w:val="20"/>
          <w:szCs w:val="20"/>
        </w:rPr>
        <w:t>[49</w:t>
      </w:r>
      <w:r w:rsidR="00EB3740" w:rsidRPr="00C53258">
        <w:rPr>
          <w:rFonts w:ascii="Cambria" w:hAnsi="Cambria"/>
          <w:sz w:val="20"/>
          <w:szCs w:val="20"/>
        </w:rPr>
        <w:t xml:space="preserve">] </w:t>
      </w:r>
      <w:proofErr w:type="spellStart"/>
      <w:r w:rsidR="00597A41" w:rsidRPr="00C53258">
        <w:rPr>
          <w:rFonts w:ascii="Cambria" w:hAnsi="Cambria"/>
          <w:sz w:val="20"/>
          <w:szCs w:val="20"/>
        </w:rPr>
        <w:t>Chay</w:t>
      </w:r>
      <w:proofErr w:type="spellEnd"/>
      <w:r w:rsidR="00597A41" w:rsidRPr="00C53258">
        <w:rPr>
          <w:rFonts w:ascii="Cambria" w:hAnsi="Cambria"/>
          <w:sz w:val="20"/>
          <w:szCs w:val="20"/>
        </w:rPr>
        <w:t xml:space="preserve">, Z. E., Lee, C. H., Lee, K. C., </w:t>
      </w:r>
      <w:proofErr w:type="spellStart"/>
      <w:r w:rsidR="00597A41" w:rsidRPr="00C53258">
        <w:rPr>
          <w:rFonts w:ascii="Cambria" w:hAnsi="Cambria"/>
          <w:sz w:val="20"/>
          <w:szCs w:val="20"/>
        </w:rPr>
        <w:t>Oon</w:t>
      </w:r>
      <w:proofErr w:type="spellEnd"/>
      <w:r w:rsidR="00597A41" w:rsidRPr="00C53258">
        <w:rPr>
          <w:rFonts w:ascii="Cambria" w:hAnsi="Cambria"/>
          <w:sz w:val="20"/>
          <w:szCs w:val="20"/>
        </w:rPr>
        <w:t xml:space="preserve">, J. S. H., and Ling, M. H. T. (2010) Russel and Rao coefficient is a suitable substitute for Dice coefficient in studying restriction mapped genetic distances of </w:t>
      </w:r>
      <w:r w:rsidR="00597A41" w:rsidRPr="00C53258">
        <w:rPr>
          <w:rFonts w:ascii="Cambria" w:hAnsi="Cambria"/>
          <w:i/>
          <w:sz w:val="20"/>
          <w:szCs w:val="20"/>
        </w:rPr>
        <w:t>Escherichia coli</w:t>
      </w:r>
      <w:r w:rsidR="00597A41" w:rsidRPr="00C53258">
        <w:rPr>
          <w:rFonts w:ascii="Cambria" w:hAnsi="Cambria"/>
          <w:sz w:val="20"/>
          <w:szCs w:val="20"/>
        </w:rPr>
        <w:t xml:space="preserve">. </w:t>
      </w:r>
      <w:proofErr w:type="spellStart"/>
      <w:r w:rsidR="00597A41" w:rsidRPr="00C53258">
        <w:rPr>
          <w:rFonts w:ascii="Cambria" w:hAnsi="Cambria"/>
          <w:sz w:val="20"/>
          <w:szCs w:val="20"/>
        </w:rPr>
        <w:t>iConcept</w:t>
      </w:r>
      <w:proofErr w:type="spellEnd"/>
      <w:r w:rsidR="00597A41" w:rsidRPr="00C53258">
        <w:rPr>
          <w:rFonts w:ascii="Cambria" w:hAnsi="Cambria"/>
          <w:sz w:val="20"/>
          <w:szCs w:val="20"/>
        </w:rPr>
        <w:t xml:space="preserve"> Journal of Computational and Mathematical Biology 1, 1.</w:t>
      </w:r>
    </w:p>
    <w:p w:rsidR="00597A41" w:rsidRPr="006162C2" w:rsidRDefault="00617417" w:rsidP="009A667E">
      <w:pPr>
        <w:spacing w:after="0" w:line="240" w:lineRule="auto"/>
        <w:ind w:left="426" w:hanging="426"/>
        <w:rPr>
          <w:rFonts w:ascii="Cambria" w:hAnsi="Cambria"/>
          <w:sz w:val="20"/>
          <w:szCs w:val="20"/>
        </w:rPr>
      </w:pPr>
      <w:r w:rsidRPr="006162C2">
        <w:rPr>
          <w:rFonts w:ascii="Cambria" w:hAnsi="Cambria"/>
          <w:sz w:val="20"/>
          <w:szCs w:val="20"/>
        </w:rPr>
        <w:t>[50</w:t>
      </w:r>
      <w:r w:rsidR="00EB3740" w:rsidRPr="006162C2">
        <w:rPr>
          <w:rFonts w:ascii="Cambria" w:hAnsi="Cambria"/>
          <w:sz w:val="20"/>
          <w:szCs w:val="20"/>
        </w:rPr>
        <w:t xml:space="preserve">] </w:t>
      </w:r>
      <w:r w:rsidR="00597A41" w:rsidRPr="006162C2">
        <w:rPr>
          <w:rFonts w:ascii="Cambria" w:hAnsi="Cambria"/>
          <w:sz w:val="20"/>
          <w:szCs w:val="20"/>
        </w:rPr>
        <w:t xml:space="preserve">Loo, B. Z. L., Low, S. X. Z., Aw, Z. Q., Lee, K. C., </w:t>
      </w:r>
      <w:proofErr w:type="spellStart"/>
      <w:r w:rsidR="00597A41" w:rsidRPr="006162C2">
        <w:rPr>
          <w:rFonts w:ascii="Cambria" w:hAnsi="Cambria"/>
          <w:sz w:val="20"/>
          <w:szCs w:val="20"/>
        </w:rPr>
        <w:t>Oon</w:t>
      </w:r>
      <w:proofErr w:type="spellEnd"/>
      <w:r w:rsidR="00597A41" w:rsidRPr="006162C2">
        <w:rPr>
          <w:rFonts w:ascii="Cambria" w:hAnsi="Cambria"/>
          <w:sz w:val="20"/>
          <w:szCs w:val="20"/>
        </w:rPr>
        <w:t>, J. S. H., Lee, C. H., and Ling, M. H. T. (</w:t>
      </w:r>
      <w:r w:rsidR="00816A11" w:rsidRPr="006162C2">
        <w:rPr>
          <w:rFonts w:ascii="Cambria" w:hAnsi="Cambria"/>
          <w:sz w:val="20"/>
          <w:szCs w:val="20"/>
        </w:rPr>
        <w:t>2014)</w:t>
      </w:r>
      <w:r w:rsidR="00597A41" w:rsidRPr="006162C2">
        <w:rPr>
          <w:rFonts w:ascii="Cambria" w:hAnsi="Cambria"/>
          <w:sz w:val="20"/>
          <w:szCs w:val="20"/>
        </w:rPr>
        <w:t xml:space="preserve"> </w:t>
      </w:r>
      <w:r w:rsidR="00597A41" w:rsidRPr="006162C2">
        <w:rPr>
          <w:rFonts w:ascii="Cambria" w:hAnsi="Cambria"/>
          <w:i/>
          <w:sz w:val="20"/>
          <w:szCs w:val="20"/>
        </w:rPr>
        <w:t>Escherichia coli</w:t>
      </w:r>
      <w:r w:rsidR="00816A11" w:rsidRPr="006162C2">
        <w:rPr>
          <w:rFonts w:ascii="Cambria" w:hAnsi="Cambria"/>
          <w:sz w:val="20"/>
          <w:szCs w:val="20"/>
        </w:rPr>
        <w:t xml:space="preserve"> ATCC 8739 adapts specifically to sodium chloride, monosodium glutamate, and benzoic acid after prolonged s</w:t>
      </w:r>
      <w:r w:rsidR="00597A41" w:rsidRPr="006162C2">
        <w:rPr>
          <w:rFonts w:ascii="Cambria" w:hAnsi="Cambria"/>
          <w:sz w:val="20"/>
          <w:szCs w:val="20"/>
        </w:rPr>
        <w:t>tress. Asia Pacific Journal of Li</w:t>
      </w:r>
      <w:r w:rsidR="00816A11" w:rsidRPr="006162C2">
        <w:rPr>
          <w:rFonts w:ascii="Cambria" w:hAnsi="Cambria"/>
          <w:sz w:val="20"/>
          <w:szCs w:val="20"/>
        </w:rPr>
        <w:t xml:space="preserve">fe Sciences 7, </w:t>
      </w:r>
      <w:r w:rsidR="00597A41" w:rsidRPr="006162C2">
        <w:rPr>
          <w:rFonts w:ascii="Cambria" w:hAnsi="Cambria"/>
          <w:sz w:val="20"/>
          <w:szCs w:val="20"/>
        </w:rPr>
        <w:t>243-258.</w:t>
      </w:r>
    </w:p>
    <w:p w:rsidR="00597A41" w:rsidRPr="0007380F" w:rsidRDefault="00617417" w:rsidP="009A667E">
      <w:pPr>
        <w:spacing w:after="0" w:line="240" w:lineRule="auto"/>
        <w:ind w:left="426" w:hanging="426"/>
        <w:rPr>
          <w:rFonts w:ascii="Cambria" w:hAnsi="Cambria"/>
          <w:sz w:val="20"/>
          <w:szCs w:val="20"/>
        </w:rPr>
      </w:pPr>
      <w:r w:rsidRPr="0007380F">
        <w:rPr>
          <w:rFonts w:ascii="Cambria" w:hAnsi="Cambria"/>
          <w:sz w:val="20"/>
          <w:szCs w:val="20"/>
        </w:rPr>
        <w:t>[51</w:t>
      </w:r>
      <w:r w:rsidR="00EB3740" w:rsidRPr="0007380F">
        <w:rPr>
          <w:rFonts w:ascii="Cambria" w:hAnsi="Cambria"/>
          <w:sz w:val="20"/>
          <w:szCs w:val="20"/>
        </w:rPr>
        <w:t xml:space="preserve">] </w:t>
      </w:r>
      <w:r w:rsidR="00597A41" w:rsidRPr="0007380F">
        <w:rPr>
          <w:rFonts w:ascii="Cambria" w:hAnsi="Cambria"/>
          <w:sz w:val="20"/>
          <w:szCs w:val="20"/>
        </w:rPr>
        <w:t xml:space="preserve">Low, SXZ, Aw, ZQ, Loo, BZL, Lee, KC, </w:t>
      </w:r>
      <w:proofErr w:type="spellStart"/>
      <w:r w:rsidR="00597A41" w:rsidRPr="0007380F">
        <w:rPr>
          <w:rFonts w:ascii="Cambria" w:hAnsi="Cambria"/>
          <w:sz w:val="20"/>
          <w:szCs w:val="20"/>
        </w:rPr>
        <w:t>Oon</w:t>
      </w:r>
      <w:proofErr w:type="spellEnd"/>
      <w:r w:rsidR="00597A41" w:rsidRPr="0007380F">
        <w:rPr>
          <w:rFonts w:ascii="Cambria" w:hAnsi="Cambria"/>
          <w:sz w:val="20"/>
          <w:szCs w:val="20"/>
        </w:rPr>
        <w:t xml:space="preserve">, JSH, Lee, CH, Ling, MHT. 2013. Viability of </w:t>
      </w:r>
      <w:r w:rsidR="00597A41" w:rsidRPr="0007380F">
        <w:rPr>
          <w:rFonts w:ascii="Cambria" w:hAnsi="Cambria"/>
          <w:i/>
          <w:sz w:val="20"/>
          <w:szCs w:val="20"/>
        </w:rPr>
        <w:t>Escherichia coli</w:t>
      </w:r>
      <w:r w:rsidR="00816A11" w:rsidRPr="0007380F">
        <w:rPr>
          <w:rFonts w:ascii="Cambria" w:hAnsi="Cambria"/>
          <w:sz w:val="20"/>
          <w:szCs w:val="20"/>
        </w:rPr>
        <w:t xml:space="preserve"> ATCC 8739 in nutrient b</w:t>
      </w:r>
      <w:r w:rsidR="00597A41" w:rsidRPr="0007380F">
        <w:rPr>
          <w:rFonts w:ascii="Cambria" w:hAnsi="Cambria"/>
          <w:sz w:val="20"/>
          <w:szCs w:val="20"/>
        </w:rPr>
        <w:t>roth, Lu</w:t>
      </w:r>
      <w:r w:rsidR="00816A11" w:rsidRPr="0007380F">
        <w:rPr>
          <w:rFonts w:ascii="Cambria" w:hAnsi="Cambria"/>
          <w:sz w:val="20"/>
          <w:szCs w:val="20"/>
        </w:rPr>
        <w:t>ria-</w:t>
      </w:r>
      <w:proofErr w:type="spellStart"/>
      <w:r w:rsidR="00816A11" w:rsidRPr="0007380F">
        <w:rPr>
          <w:rFonts w:ascii="Cambria" w:hAnsi="Cambria"/>
          <w:sz w:val="20"/>
          <w:szCs w:val="20"/>
        </w:rPr>
        <w:t>Bertani</w:t>
      </w:r>
      <w:proofErr w:type="spellEnd"/>
      <w:r w:rsidR="00816A11" w:rsidRPr="0007380F">
        <w:rPr>
          <w:rFonts w:ascii="Cambria" w:hAnsi="Cambria"/>
          <w:sz w:val="20"/>
          <w:szCs w:val="20"/>
        </w:rPr>
        <w:t xml:space="preserve"> broth and brain heart infusion over 11 w</w:t>
      </w:r>
      <w:r w:rsidR="00597A41" w:rsidRPr="0007380F">
        <w:rPr>
          <w:rFonts w:ascii="Cambria" w:hAnsi="Cambria"/>
          <w:sz w:val="20"/>
          <w:szCs w:val="20"/>
        </w:rPr>
        <w:t>eeks.</w:t>
      </w:r>
      <w:r w:rsidR="00816A11" w:rsidRPr="0007380F">
        <w:rPr>
          <w:rFonts w:ascii="Cambria" w:hAnsi="Cambria"/>
          <w:sz w:val="20"/>
          <w:szCs w:val="20"/>
        </w:rPr>
        <w:t xml:space="preserve"> Electronic Physician 5, </w:t>
      </w:r>
      <w:r w:rsidR="00B07E7C" w:rsidRPr="0007380F">
        <w:rPr>
          <w:rFonts w:ascii="Cambria" w:hAnsi="Cambria"/>
          <w:sz w:val="20"/>
          <w:szCs w:val="20"/>
        </w:rPr>
        <w:t>576-581.</w:t>
      </w:r>
    </w:p>
    <w:p w:rsidR="009F7590" w:rsidRPr="00483D1B" w:rsidRDefault="00617417" w:rsidP="009A667E">
      <w:pPr>
        <w:spacing w:after="0" w:line="240" w:lineRule="auto"/>
        <w:ind w:left="426" w:hanging="426"/>
        <w:rPr>
          <w:rFonts w:ascii="Cambria" w:hAnsi="Cambria"/>
          <w:sz w:val="20"/>
          <w:szCs w:val="20"/>
        </w:rPr>
      </w:pPr>
      <w:r w:rsidRPr="00483D1B">
        <w:rPr>
          <w:rFonts w:ascii="Cambria" w:hAnsi="Cambria"/>
          <w:sz w:val="20"/>
          <w:szCs w:val="20"/>
        </w:rPr>
        <w:t>[52</w:t>
      </w:r>
      <w:r w:rsidR="00EB3740" w:rsidRPr="00483D1B">
        <w:rPr>
          <w:rFonts w:ascii="Cambria" w:hAnsi="Cambria"/>
          <w:sz w:val="20"/>
          <w:szCs w:val="20"/>
        </w:rPr>
        <w:t xml:space="preserve">] </w:t>
      </w:r>
      <w:r w:rsidR="00F941B9" w:rsidRPr="00483D1B">
        <w:rPr>
          <w:rFonts w:ascii="Cambria" w:hAnsi="Cambria"/>
          <w:sz w:val="20"/>
          <w:szCs w:val="20"/>
        </w:rPr>
        <w:t>Goh, D</w:t>
      </w:r>
      <w:r w:rsidR="00597A41" w:rsidRPr="00483D1B">
        <w:rPr>
          <w:rFonts w:ascii="Cambria" w:hAnsi="Cambria"/>
          <w:sz w:val="20"/>
          <w:szCs w:val="20"/>
        </w:rPr>
        <w:t xml:space="preserve">. </w:t>
      </w:r>
      <w:r w:rsidR="00F941B9" w:rsidRPr="00483D1B">
        <w:rPr>
          <w:rFonts w:ascii="Cambria" w:hAnsi="Cambria"/>
          <w:sz w:val="20"/>
          <w:szCs w:val="20"/>
        </w:rPr>
        <w:t>J</w:t>
      </w:r>
      <w:r w:rsidR="00597A41" w:rsidRPr="00483D1B">
        <w:rPr>
          <w:rFonts w:ascii="Cambria" w:hAnsi="Cambria"/>
          <w:sz w:val="20"/>
          <w:szCs w:val="20"/>
        </w:rPr>
        <w:t xml:space="preserve">. </w:t>
      </w:r>
      <w:r w:rsidR="00F941B9" w:rsidRPr="00483D1B">
        <w:rPr>
          <w:rFonts w:ascii="Cambria" w:hAnsi="Cambria"/>
          <w:sz w:val="20"/>
          <w:szCs w:val="20"/>
        </w:rPr>
        <w:t>W, How, J</w:t>
      </w:r>
      <w:r w:rsidR="00597A41" w:rsidRPr="00483D1B">
        <w:rPr>
          <w:rFonts w:ascii="Cambria" w:hAnsi="Cambria"/>
          <w:sz w:val="20"/>
          <w:szCs w:val="20"/>
        </w:rPr>
        <w:t xml:space="preserve">. </w:t>
      </w:r>
      <w:r w:rsidR="00F941B9" w:rsidRPr="00483D1B">
        <w:rPr>
          <w:rFonts w:ascii="Cambria" w:hAnsi="Cambria"/>
          <w:sz w:val="20"/>
          <w:szCs w:val="20"/>
        </w:rPr>
        <w:t>A</w:t>
      </w:r>
      <w:r w:rsidR="00597A41" w:rsidRPr="00483D1B">
        <w:rPr>
          <w:rFonts w:ascii="Cambria" w:hAnsi="Cambria"/>
          <w:sz w:val="20"/>
          <w:szCs w:val="20"/>
        </w:rPr>
        <w:t>.</w:t>
      </w:r>
      <w:r w:rsidR="00F941B9" w:rsidRPr="00483D1B">
        <w:rPr>
          <w:rFonts w:ascii="Cambria" w:hAnsi="Cambria"/>
          <w:sz w:val="20"/>
          <w:szCs w:val="20"/>
        </w:rPr>
        <w:t>, Lim, J</w:t>
      </w:r>
      <w:r w:rsidR="00597A41" w:rsidRPr="00483D1B">
        <w:rPr>
          <w:rFonts w:ascii="Cambria" w:hAnsi="Cambria"/>
          <w:sz w:val="20"/>
          <w:szCs w:val="20"/>
        </w:rPr>
        <w:t xml:space="preserve">. </w:t>
      </w:r>
      <w:r w:rsidR="00F941B9" w:rsidRPr="00483D1B">
        <w:rPr>
          <w:rFonts w:ascii="Cambria" w:hAnsi="Cambria"/>
          <w:sz w:val="20"/>
          <w:szCs w:val="20"/>
        </w:rPr>
        <w:t>Z</w:t>
      </w:r>
      <w:r w:rsidR="00597A41" w:rsidRPr="00483D1B">
        <w:rPr>
          <w:rFonts w:ascii="Cambria" w:hAnsi="Cambria"/>
          <w:sz w:val="20"/>
          <w:szCs w:val="20"/>
        </w:rPr>
        <w:t xml:space="preserve">. </w:t>
      </w:r>
      <w:r w:rsidR="00F941B9" w:rsidRPr="00483D1B">
        <w:rPr>
          <w:rFonts w:ascii="Cambria" w:hAnsi="Cambria"/>
          <w:sz w:val="20"/>
          <w:szCs w:val="20"/>
        </w:rPr>
        <w:t>R</w:t>
      </w:r>
      <w:r w:rsidR="00597A41" w:rsidRPr="00483D1B">
        <w:rPr>
          <w:rFonts w:ascii="Cambria" w:hAnsi="Cambria"/>
          <w:sz w:val="20"/>
          <w:szCs w:val="20"/>
        </w:rPr>
        <w:t>., Ng</w:t>
      </w:r>
      <w:r w:rsidR="00F941B9" w:rsidRPr="00483D1B">
        <w:rPr>
          <w:rFonts w:ascii="Cambria" w:hAnsi="Cambria"/>
          <w:sz w:val="20"/>
          <w:szCs w:val="20"/>
        </w:rPr>
        <w:t>, W</w:t>
      </w:r>
      <w:r w:rsidR="00597A41" w:rsidRPr="00483D1B">
        <w:rPr>
          <w:rFonts w:ascii="Cambria" w:hAnsi="Cambria"/>
          <w:sz w:val="20"/>
          <w:szCs w:val="20"/>
        </w:rPr>
        <w:t xml:space="preserve">. </w:t>
      </w:r>
      <w:r w:rsidR="00F941B9" w:rsidRPr="00483D1B">
        <w:rPr>
          <w:rFonts w:ascii="Cambria" w:hAnsi="Cambria"/>
          <w:sz w:val="20"/>
          <w:szCs w:val="20"/>
        </w:rPr>
        <w:t>C</w:t>
      </w:r>
      <w:r w:rsidR="00597A41" w:rsidRPr="00483D1B">
        <w:rPr>
          <w:rFonts w:ascii="Cambria" w:hAnsi="Cambria"/>
          <w:sz w:val="20"/>
          <w:szCs w:val="20"/>
        </w:rPr>
        <w:t>.</w:t>
      </w:r>
      <w:r w:rsidR="00F941B9" w:rsidRPr="00483D1B">
        <w:rPr>
          <w:rFonts w:ascii="Cambria" w:hAnsi="Cambria"/>
          <w:sz w:val="20"/>
          <w:szCs w:val="20"/>
        </w:rPr>
        <w:t xml:space="preserve">, </w:t>
      </w:r>
      <w:proofErr w:type="spellStart"/>
      <w:r w:rsidR="00F941B9" w:rsidRPr="00483D1B">
        <w:rPr>
          <w:rFonts w:ascii="Cambria" w:hAnsi="Cambria"/>
          <w:sz w:val="20"/>
          <w:szCs w:val="20"/>
        </w:rPr>
        <w:t>Oon</w:t>
      </w:r>
      <w:proofErr w:type="spellEnd"/>
      <w:r w:rsidR="00F941B9" w:rsidRPr="00483D1B">
        <w:rPr>
          <w:rFonts w:ascii="Cambria" w:hAnsi="Cambria"/>
          <w:sz w:val="20"/>
          <w:szCs w:val="20"/>
        </w:rPr>
        <w:t>, J</w:t>
      </w:r>
      <w:r w:rsidR="00597A41" w:rsidRPr="00483D1B">
        <w:rPr>
          <w:rFonts w:ascii="Cambria" w:hAnsi="Cambria"/>
          <w:sz w:val="20"/>
          <w:szCs w:val="20"/>
        </w:rPr>
        <w:t xml:space="preserve">. </w:t>
      </w:r>
      <w:r w:rsidR="00F941B9" w:rsidRPr="00483D1B">
        <w:rPr>
          <w:rFonts w:ascii="Cambria" w:hAnsi="Cambria"/>
          <w:sz w:val="20"/>
          <w:szCs w:val="20"/>
        </w:rPr>
        <w:t>S</w:t>
      </w:r>
      <w:r w:rsidR="00597A41" w:rsidRPr="00483D1B">
        <w:rPr>
          <w:rFonts w:ascii="Cambria" w:hAnsi="Cambria"/>
          <w:sz w:val="20"/>
          <w:szCs w:val="20"/>
        </w:rPr>
        <w:t xml:space="preserve">. </w:t>
      </w:r>
      <w:r w:rsidR="00F941B9" w:rsidRPr="00483D1B">
        <w:rPr>
          <w:rFonts w:ascii="Cambria" w:hAnsi="Cambria"/>
          <w:sz w:val="20"/>
          <w:szCs w:val="20"/>
        </w:rPr>
        <w:t>H</w:t>
      </w:r>
      <w:r w:rsidR="00597A41" w:rsidRPr="00483D1B">
        <w:rPr>
          <w:rFonts w:ascii="Cambria" w:hAnsi="Cambria"/>
          <w:sz w:val="20"/>
          <w:szCs w:val="20"/>
        </w:rPr>
        <w:t>.</w:t>
      </w:r>
      <w:r w:rsidR="00F941B9" w:rsidRPr="00483D1B">
        <w:rPr>
          <w:rFonts w:ascii="Cambria" w:hAnsi="Cambria"/>
          <w:sz w:val="20"/>
          <w:szCs w:val="20"/>
        </w:rPr>
        <w:t>, Lee, K</w:t>
      </w:r>
      <w:r w:rsidR="00597A41" w:rsidRPr="00483D1B">
        <w:rPr>
          <w:rFonts w:ascii="Cambria" w:hAnsi="Cambria"/>
          <w:sz w:val="20"/>
          <w:szCs w:val="20"/>
        </w:rPr>
        <w:t xml:space="preserve">. </w:t>
      </w:r>
      <w:r w:rsidR="00F941B9" w:rsidRPr="00483D1B">
        <w:rPr>
          <w:rFonts w:ascii="Cambria" w:hAnsi="Cambria"/>
          <w:sz w:val="20"/>
          <w:szCs w:val="20"/>
        </w:rPr>
        <w:t>C</w:t>
      </w:r>
      <w:r w:rsidR="00597A41" w:rsidRPr="00483D1B">
        <w:rPr>
          <w:rFonts w:ascii="Cambria" w:hAnsi="Cambria"/>
          <w:sz w:val="20"/>
          <w:szCs w:val="20"/>
        </w:rPr>
        <w:t>.</w:t>
      </w:r>
      <w:r w:rsidR="00F941B9" w:rsidRPr="00483D1B">
        <w:rPr>
          <w:rFonts w:ascii="Cambria" w:hAnsi="Cambria"/>
          <w:sz w:val="20"/>
          <w:szCs w:val="20"/>
        </w:rPr>
        <w:t>, Lee, C</w:t>
      </w:r>
      <w:r w:rsidR="00597A41" w:rsidRPr="00483D1B">
        <w:rPr>
          <w:rFonts w:ascii="Cambria" w:hAnsi="Cambria"/>
          <w:sz w:val="20"/>
          <w:szCs w:val="20"/>
        </w:rPr>
        <w:t xml:space="preserve">. </w:t>
      </w:r>
      <w:r w:rsidR="00F941B9" w:rsidRPr="00483D1B">
        <w:rPr>
          <w:rFonts w:ascii="Cambria" w:hAnsi="Cambria"/>
          <w:sz w:val="20"/>
          <w:szCs w:val="20"/>
        </w:rPr>
        <w:t>H</w:t>
      </w:r>
      <w:r w:rsidR="00597A41" w:rsidRPr="00483D1B">
        <w:rPr>
          <w:rFonts w:ascii="Cambria" w:hAnsi="Cambria"/>
          <w:sz w:val="20"/>
          <w:szCs w:val="20"/>
        </w:rPr>
        <w:t>.</w:t>
      </w:r>
      <w:r w:rsidR="00F941B9" w:rsidRPr="00483D1B">
        <w:rPr>
          <w:rFonts w:ascii="Cambria" w:hAnsi="Cambria"/>
          <w:sz w:val="20"/>
          <w:szCs w:val="20"/>
        </w:rPr>
        <w:t xml:space="preserve">, </w:t>
      </w:r>
      <w:r w:rsidR="00597A41" w:rsidRPr="00483D1B">
        <w:rPr>
          <w:rFonts w:ascii="Cambria" w:hAnsi="Cambria"/>
          <w:sz w:val="20"/>
          <w:szCs w:val="20"/>
        </w:rPr>
        <w:t xml:space="preserve">and </w:t>
      </w:r>
      <w:r w:rsidR="00F941B9" w:rsidRPr="00483D1B">
        <w:rPr>
          <w:rFonts w:ascii="Cambria" w:hAnsi="Cambria"/>
          <w:sz w:val="20"/>
          <w:szCs w:val="20"/>
        </w:rPr>
        <w:t>Ling, M</w:t>
      </w:r>
      <w:r w:rsidR="00597A41" w:rsidRPr="00483D1B">
        <w:rPr>
          <w:rFonts w:ascii="Cambria" w:hAnsi="Cambria"/>
          <w:sz w:val="20"/>
          <w:szCs w:val="20"/>
        </w:rPr>
        <w:t xml:space="preserve">. </w:t>
      </w:r>
      <w:r w:rsidR="00F941B9" w:rsidRPr="00483D1B">
        <w:rPr>
          <w:rFonts w:ascii="Cambria" w:hAnsi="Cambria"/>
          <w:sz w:val="20"/>
          <w:szCs w:val="20"/>
        </w:rPr>
        <w:t>H</w:t>
      </w:r>
      <w:r w:rsidR="00597A41" w:rsidRPr="00483D1B">
        <w:rPr>
          <w:rFonts w:ascii="Cambria" w:hAnsi="Cambria"/>
          <w:sz w:val="20"/>
          <w:szCs w:val="20"/>
        </w:rPr>
        <w:t xml:space="preserve">. </w:t>
      </w:r>
      <w:r w:rsidR="00F941B9" w:rsidRPr="00483D1B">
        <w:rPr>
          <w:rFonts w:ascii="Cambria" w:hAnsi="Cambria"/>
          <w:sz w:val="20"/>
          <w:szCs w:val="20"/>
        </w:rPr>
        <w:t xml:space="preserve">T. </w:t>
      </w:r>
      <w:r w:rsidR="00597A41" w:rsidRPr="00483D1B">
        <w:rPr>
          <w:rFonts w:ascii="Cambria" w:hAnsi="Cambria"/>
          <w:sz w:val="20"/>
          <w:szCs w:val="20"/>
        </w:rPr>
        <w:t>(2012)</w:t>
      </w:r>
      <w:r w:rsidR="00F941B9" w:rsidRPr="00483D1B">
        <w:rPr>
          <w:rFonts w:ascii="Cambria" w:hAnsi="Cambria"/>
          <w:sz w:val="20"/>
          <w:szCs w:val="20"/>
        </w:rPr>
        <w:t xml:space="preserve"> Gradual and </w:t>
      </w:r>
      <w:r w:rsidR="00597A41" w:rsidRPr="00483D1B">
        <w:rPr>
          <w:rFonts w:ascii="Cambria" w:hAnsi="Cambria"/>
          <w:sz w:val="20"/>
          <w:szCs w:val="20"/>
        </w:rPr>
        <w:t xml:space="preserve">step-wise </w:t>
      </w:r>
      <w:proofErr w:type="spellStart"/>
      <w:r w:rsidR="00597A41" w:rsidRPr="00483D1B">
        <w:rPr>
          <w:rFonts w:ascii="Cambria" w:hAnsi="Cambria"/>
          <w:sz w:val="20"/>
          <w:szCs w:val="20"/>
        </w:rPr>
        <w:t>halophilization</w:t>
      </w:r>
      <w:proofErr w:type="spellEnd"/>
      <w:r w:rsidR="00597A41" w:rsidRPr="00483D1B">
        <w:rPr>
          <w:rFonts w:ascii="Cambria" w:hAnsi="Cambria"/>
          <w:sz w:val="20"/>
          <w:szCs w:val="20"/>
        </w:rPr>
        <w:t xml:space="preserve"> e</w:t>
      </w:r>
      <w:r w:rsidR="00F941B9" w:rsidRPr="00483D1B">
        <w:rPr>
          <w:rFonts w:ascii="Cambria" w:hAnsi="Cambria"/>
          <w:sz w:val="20"/>
          <w:szCs w:val="20"/>
        </w:rPr>
        <w:t>nables</w:t>
      </w:r>
      <w:r w:rsidR="00597A41" w:rsidRPr="00483D1B">
        <w:rPr>
          <w:rFonts w:ascii="Cambria" w:hAnsi="Cambria"/>
          <w:sz w:val="20"/>
          <w:szCs w:val="20"/>
        </w:rPr>
        <w:t xml:space="preserve"> </w:t>
      </w:r>
      <w:r w:rsidR="00597A41" w:rsidRPr="00483D1B">
        <w:rPr>
          <w:rFonts w:ascii="Cambria" w:hAnsi="Cambria"/>
          <w:i/>
          <w:sz w:val="20"/>
          <w:szCs w:val="20"/>
        </w:rPr>
        <w:t>Escherichia coli</w:t>
      </w:r>
      <w:r w:rsidR="00597A41" w:rsidRPr="00483D1B">
        <w:rPr>
          <w:rFonts w:ascii="Cambria" w:hAnsi="Cambria"/>
          <w:sz w:val="20"/>
          <w:szCs w:val="20"/>
        </w:rPr>
        <w:t xml:space="preserve"> ATCC 8739 to a</w:t>
      </w:r>
      <w:r w:rsidR="00F941B9" w:rsidRPr="00483D1B">
        <w:rPr>
          <w:rFonts w:ascii="Cambria" w:hAnsi="Cambria"/>
          <w:sz w:val="20"/>
          <w:szCs w:val="20"/>
        </w:rPr>
        <w:t xml:space="preserve">dapt to 11% </w:t>
      </w:r>
      <w:proofErr w:type="spellStart"/>
      <w:r w:rsidR="00F941B9" w:rsidRPr="00483D1B">
        <w:rPr>
          <w:rFonts w:ascii="Cambria" w:hAnsi="Cambria"/>
          <w:sz w:val="20"/>
          <w:szCs w:val="20"/>
        </w:rPr>
        <w:t>NaCl</w:t>
      </w:r>
      <w:proofErr w:type="spellEnd"/>
      <w:r w:rsidR="00F941B9" w:rsidRPr="00483D1B">
        <w:rPr>
          <w:rFonts w:ascii="Cambria" w:hAnsi="Cambria"/>
          <w:sz w:val="20"/>
          <w:szCs w:val="20"/>
        </w:rPr>
        <w:t>. Electronic Physician 4(3): 527-535.</w:t>
      </w:r>
    </w:p>
    <w:p w:rsidR="00597A41" w:rsidRPr="00483D1B" w:rsidRDefault="00617417" w:rsidP="009A667E">
      <w:pPr>
        <w:spacing w:after="0" w:line="240" w:lineRule="auto"/>
        <w:ind w:left="426" w:hanging="426"/>
        <w:rPr>
          <w:rFonts w:ascii="Cambria" w:hAnsi="Cambria"/>
          <w:sz w:val="20"/>
          <w:szCs w:val="20"/>
        </w:rPr>
      </w:pPr>
      <w:r w:rsidRPr="00483D1B">
        <w:rPr>
          <w:rFonts w:ascii="Cambria" w:hAnsi="Cambria"/>
          <w:sz w:val="20"/>
          <w:szCs w:val="20"/>
        </w:rPr>
        <w:t>[53</w:t>
      </w:r>
      <w:r w:rsidR="00EB3740" w:rsidRPr="00483D1B">
        <w:rPr>
          <w:rFonts w:ascii="Cambria" w:hAnsi="Cambria"/>
          <w:sz w:val="20"/>
          <w:szCs w:val="20"/>
        </w:rPr>
        <w:t xml:space="preserve">] </w:t>
      </w:r>
      <w:r w:rsidR="00F941B9" w:rsidRPr="00483D1B">
        <w:rPr>
          <w:rFonts w:ascii="Cambria" w:hAnsi="Cambria"/>
          <w:sz w:val="20"/>
          <w:szCs w:val="20"/>
        </w:rPr>
        <w:t>How, J</w:t>
      </w:r>
      <w:r w:rsidR="00597A41" w:rsidRPr="00483D1B">
        <w:rPr>
          <w:rFonts w:ascii="Cambria" w:hAnsi="Cambria"/>
          <w:sz w:val="20"/>
          <w:szCs w:val="20"/>
        </w:rPr>
        <w:t xml:space="preserve">. </w:t>
      </w:r>
      <w:r w:rsidR="00F941B9" w:rsidRPr="00483D1B">
        <w:rPr>
          <w:rFonts w:ascii="Cambria" w:hAnsi="Cambria"/>
          <w:sz w:val="20"/>
          <w:szCs w:val="20"/>
        </w:rPr>
        <w:t>A</w:t>
      </w:r>
      <w:r w:rsidR="00597A41" w:rsidRPr="00483D1B">
        <w:rPr>
          <w:rFonts w:ascii="Cambria" w:hAnsi="Cambria"/>
          <w:sz w:val="20"/>
          <w:szCs w:val="20"/>
        </w:rPr>
        <w:t>.</w:t>
      </w:r>
      <w:r w:rsidR="00F941B9" w:rsidRPr="00483D1B">
        <w:rPr>
          <w:rFonts w:ascii="Cambria" w:hAnsi="Cambria"/>
          <w:sz w:val="20"/>
          <w:szCs w:val="20"/>
        </w:rPr>
        <w:t>, Lim, J</w:t>
      </w:r>
      <w:r w:rsidR="00597A41" w:rsidRPr="00483D1B">
        <w:rPr>
          <w:rFonts w:ascii="Cambria" w:hAnsi="Cambria"/>
          <w:sz w:val="20"/>
          <w:szCs w:val="20"/>
        </w:rPr>
        <w:t xml:space="preserve">. </w:t>
      </w:r>
      <w:r w:rsidR="00F941B9" w:rsidRPr="00483D1B">
        <w:rPr>
          <w:rFonts w:ascii="Cambria" w:hAnsi="Cambria"/>
          <w:sz w:val="20"/>
          <w:szCs w:val="20"/>
        </w:rPr>
        <w:t>Z</w:t>
      </w:r>
      <w:r w:rsidR="00597A41" w:rsidRPr="00483D1B">
        <w:rPr>
          <w:rFonts w:ascii="Cambria" w:hAnsi="Cambria"/>
          <w:sz w:val="20"/>
          <w:szCs w:val="20"/>
        </w:rPr>
        <w:t xml:space="preserve">. </w:t>
      </w:r>
      <w:r w:rsidR="00F941B9" w:rsidRPr="00483D1B">
        <w:rPr>
          <w:rFonts w:ascii="Cambria" w:hAnsi="Cambria"/>
          <w:sz w:val="20"/>
          <w:szCs w:val="20"/>
        </w:rPr>
        <w:t>R</w:t>
      </w:r>
      <w:r w:rsidR="00597A41" w:rsidRPr="00483D1B">
        <w:rPr>
          <w:rFonts w:ascii="Cambria" w:hAnsi="Cambria"/>
          <w:sz w:val="20"/>
          <w:szCs w:val="20"/>
        </w:rPr>
        <w:t>.</w:t>
      </w:r>
      <w:r w:rsidR="00F941B9" w:rsidRPr="00483D1B">
        <w:rPr>
          <w:rFonts w:ascii="Cambria" w:hAnsi="Cambria"/>
          <w:sz w:val="20"/>
          <w:szCs w:val="20"/>
        </w:rPr>
        <w:t>, Goh, D</w:t>
      </w:r>
      <w:r w:rsidR="00597A41" w:rsidRPr="00483D1B">
        <w:rPr>
          <w:rFonts w:ascii="Cambria" w:hAnsi="Cambria"/>
          <w:sz w:val="20"/>
          <w:szCs w:val="20"/>
        </w:rPr>
        <w:t xml:space="preserve">. </w:t>
      </w:r>
      <w:r w:rsidR="00F941B9" w:rsidRPr="00483D1B">
        <w:rPr>
          <w:rFonts w:ascii="Cambria" w:hAnsi="Cambria"/>
          <w:sz w:val="20"/>
          <w:szCs w:val="20"/>
        </w:rPr>
        <w:t>J</w:t>
      </w:r>
      <w:r w:rsidR="00597A41" w:rsidRPr="00483D1B">
        <w:rPr>
          <w:rFonts w:ascii="Cambria" w:hAnsi="Cambria"/>
          <w:sz w:val="20"/>
          <w:szCs w:val="20"/>
        </w:rPr>
        <w:t xml:space="preserve">. </w:t>
      </w:r>
      <w:r w:rsidR="00F941B9" w:rsidRPr="00483D1B">
        <w:rPr>
          <w:rFonts w:ascii="Cambria" w:hAnsi="Cambria"/>
          <w:sz w:val="20"/>
          <w:szCs w:val="20"/>
        </w:rPr>
        <w:t>W</w:t>
      </w:r>
      <w:r w:rsidR="00597A41" w:rsidRPr="00483D1B">
        <w:rPr>
          <w:rFonts w:ascii="Cambria" w:hAnsi="Cambria"/>
          <w:sz w:val="20"/>
          <w:szCs w:val="20"/>
        </w:rPr>
        <w:t>., Ng</w:t>
      </w:r>
      <w:r w:rsidR="00F941B9" w:rsidRPr="00483D1B">
        <w:rPr>
          <w:rFonts w:ascii="Cambria" w:hAnsi="Cambria"/>
          <w:sz w:val="20"/>
          <w:szCs w:val="20"/>
        </w:rPr>
        <w:t>, W</w:t>
      </w:r>
      <w:r w:rsidR="00597A41" w:rsidRPr="00483D1B">
        <w:rPr>
          <w:rFonts w:ascii="Cambria" w:hAnsi="Cambria"/>
          <w:sz w:val="20"/>
          <w:szCs w:val="20"/>
        </w:rPr>
        <w:t xml:space="preserve">. </w:t>
      </w:r>
      <w:r w:rsidR="00F941B9" w:rsidRPr="00483D1B">
        <w:rPr>
          <w:rFonts w:ascii="Cambria" w:hAnsi="Cambria"/>
          <w:sz w:val="20"/>
          <w:szCs w:val="20"/>
        </w:rPr>
        <w:t>C</w:t>
      </w:r>
      <w:r w:rsidR="00597A41" w:rsidRPr="00483D1B">
        <w:rPr>
          <w:rFonts w:ascii="Cambria" w:hAnsi="Cambria"/>
          <w:sz w:val="20"/>
          <w:szCs w:val="20"/>
        </w:rPr>
        <w:t>.</w:t>
      </w:r>
      <w:r w:rsidR="00F941B9" w:rsidRPr="00483D1B">
        <w:rPr>
          <w:rFonts w:ascii="Cambria" w:hAnsi="Cambria"/>
          <w:sz w:val="20"/>
          <w:szCs w:val="20"/>
        </w:rPr>
        <w:t xml:space="preserve">, </w:t>
      </w:r>
      <w:proofErr w:type="spellStart"/>
      <w:r w:rsidR="00F941B9" w:rsidRPr="00483D1B">
        <w:rPr>
          <w:rFonts w:ascii="Cambria" w:hAnsi="Cambria"/>
          <w:sz w:val="20"/>
          <w:szCs w:val="20"/>
        </w:rPr>
        <w:t>Oon</w:t>
      </w:r>
      <w:proofErr w:type="spellEnd"/>
      <w:r w:rsidR="00F941B9" w:rsidRPr="00483D1B">
        <w:rPr>
          <w:rFonts w:ascii="Cambria" w:hAnsi="Cambria"/>
          <w:sz w:val="20"/>
          <w:szCs w:val="20"/>
        </w:rPr>
        <w:t>, J</w:t>
      </w:r>
      <w:r w:rsidR="00597A41" w:rsidRPr="00483D1B">
        <w:rPr>
          <w:rFonts w:ascii="Cambria" w:hAnsi="Cambria"/>
          <w:sz w:val="20"/>
          <w:szCs w:val="20"/>
        </w:rPr>
        <w:t xml:space="preserve">. </w:t>
      </w:r>
      <w:r w:rsidR="00F941B9" w:rsidRPr="00483D1B">
        <w:rPr>
          <w:rFonts w:ascii="Cambria" w:hAnsi="Cambria"/>
          <w:sz w:val="20"/>
          <w:szCs w:val="20"/>
        </w:rPr>
        <w:t>S</w:t>
      </w:r>
      <w:r w:rsidR="00597A41" w:rsidRPr="00483D1B">
        <w:rPr>
          <w:rFonts w:ascii="Cambria" w:hAnsi="Cambria"/>
          <w:sz w:val="20"/>
          <w:szCs w:val="20"/>
        </w:rPr>
        <w:t xml:space="preserve">. </w:t>
      </w:r>
      <w:r w:rsidR="00F941B9" w:rsidRPr="00483D1B">
        <w:rPr>
          <w:rFonts w:ascii="Cambria" w:hAnsi="Cambria"/>
          <w:sz w:val="20"/>
          <w:szCs w:val="20"/>
        </w:rPr>
        <w:t>H</w:t>
      </w:r>
      <w:r w:rsidR="00597A41" w:rsidRPr="00483D1B">
        <w:rPr>
          <w:rFonts w:ascii="Cambria" w:hAnsi="Cambria"/>
          <w:sz w:val="20"/>
          <w:szCs w:val="20"/>
        </w:rPr>
        <w:t>.</w:t>
      </w:r>
      <w:r w:rsidR="00F941B9" w:rsidRPr="00483D1B">
        <w:rPr>
          <w:rFonts w:ascii="Cambria" w:hAnsi="Cambria"/>
          <w:sz w:val="20"/>
          <w:szCs w:val="20"/>
        </w:rPr>
        <w:t>, Lee, K</w:t>
      </w:r>
      <w:r w:rsidR="00597A41" w:rsidRPr="00483D1B">
        <w:rPr>
          <w:rFonts w:ascii="Cambria" w:hAnsi="Cambria"/>
          <w:sz w:val="20"/>
          <w:szCs w:val="20"/>
        </w:rPr>
        <w:t xml:space="preserve">. </w:t>
      </w:r>
      <w:r w:rsidR="00F941B9" w:rsidRPr="00483D1B">
        <w:rPr>
          <w:rFonts w:ascii="Cambria" w:hAnsi="Cambria"/>
          <w:sz w:val="20"/>
          <w:szCs w:val="20"/>
        </w:rPr>
        <w:t>C</w:t>
      </w:r>
      <w:r w:rsidR="00597A41" w:rsidRPr="00483D1B">
        <w:rPr>
          <w:rFonts w:ascii="Cambria" w:hAnsi="Cambria"/>
          <w:sz w:val="20"/>
          <w:szCs w:val="20"/>
        </w:rPr>
        <w:t>.</w:t>
      </w:r>
      <w:r w:rsidR="00F941B9" w:rsidRPr="00483D1B">
        <w:rPr>
          <w:rFonts w:ascii="Cambria" w:hAnsi="Cambria"/>
          <w:sz w:val="20"/>
          <w:szCs w:val="20"/>
        </w:rPr>
        <w:t>, Lee, C</w:t>
      </w:r>
      <w:r w:rsidR="00597A41" w:rsidRPr="00483D1B">
        <w:rPr>
          <w:rFonts w:ascii="Cambria" w:hAnsi="Cambria"/>
          <w:sz w:val="20"/>
          <w:szCs w:val="20"/>
        </w:rPr>
        <w:t xml:space="preserve">. </w:t>
      </w:r>
      <w:r w:rsidR="00F941B9" w:rsidRPr="00483D1B">
        <w:rPr>
          <w:rFonts w:ascii="Cambria" w:hAnsi="Cambria"/>
          <w:sz w:val="20"/>
          <w:szCs w:val="20"/>
        </w:rPr>
        <w:t>H</w:t>
      </w:r>
      <w:r w:rsidR="00597A41" w:rsidRPr="00483D1B">
        <w:rPr>
          <w:rFonts w:ascii="Cambria" w:hAnsi="Cambria"/>
          <w:sz w:val="20"/>
          <w:szCs w:val="20"/>
        </w:rPr>
        <w:t>.</w:t>
      </w:r>
      <w:r w:rsidR="00F941B9" w:rsidRPr="00483D1B">
        <w:rPr>
          <w:rFonts w:ascii="Cambria" w:hAnsi="Cambria"/>
          <w:sz w:val="20"/>
          <w:szCs w:val="20"/>
        </w:rPr>
        <w:t xml:space="preserve">, </w:t>
      </w:r>
      <w:r w:rsidR="00597A41" w:rsidRPr="00483D1B">
        <w:rPr>
          <w:rFonts w:ascii="Cambria" w:hAnsi="Cambria"/>
          <w:sz w:val="20"/>
          <w:szCs w:val="20"/>
        </w:rPr>
        <w:t xml:space="preserve">and </w:t>
      </w:r>
      <w:r w:rsidR="00F941B9" w:rsidRPr="00483D1B">
        <w:rPr>
          <w:rFonts w:ascii="Cambria" w:hAnsi="Cambria"/>
          <w:sz w:val="20"/>
          <w:szCs w:val="20"/>
        </w:rPr>
        <w:t>Ling, M</w:t>
      </w:r>
      <w:r w:rsidR="00597A41" w:rsidRPr="00483D1B">
        <w:rPr>
          <w:rFonts w:ascii="Cambria" w:hAnsi="Cambria"/>
          <w:sz w:val="20"/>
          <w:szCs w:val="20"/>
        </w:rPr>
        <w:t xml:space="preserve">. </w:t>
      </w:r>
      <w:r w:rsidR="00F941B9" w:rsidRPr="00483D1B">
        <w:rPr>
          <w:rFonts w:ascii="Cambria" w:hAnsi="Cambria"/>
          <w:sz w:val="20"/>
          <w:szCs w:val="20"/>
        </w:rPr>
        <w:t>H</w:t>
      </w:r>
      <w:r w:rsidR="00597A41" w:rsidRPr="00483D1B">
        <w:rPr>
          <w:rFonts w:ascii="Cambria" w:hAnsi="Cambria"/>
          <w:sz w:val="20"/>
          <w:szCs w:val="20"/>
        </w:rPr>
        <w:t xml:space="preserve">. </w:t>
      </w:r>
      <w:r w:rsidR="00F941B9" w:rsidRPr="00483D1B">
        <w:rPr>
          <w:rFonts w:ascii="Cambria" w:hAnsi="Cambria"/>
          <w:sz w:val="20"/>
          <w:szCs w:val="20"/>
        </w:rPr>
        <w:t xml:space="preserve">T. </w:t>
      </w:r>
      <w:r w:rsidR="00597A41" w:rsidRPr="00483D1B">
        <w:rPr>
          <w:rFonts w:ascii="Cambria" w:hAnsi="Cambria"/>
          <w:sz w:val="20"/>
          <w:szCs w:val="20"/>
        </w:rPr>
        <w:t>(2013)</w:t>
      </w:r>
      <w:r w:rsidR="00F941B9" w:rsidRPr="00483D1B">
        <w:rPr>
          <w:rFonts w:ascii="Cambria" w:hAnsi="Cambria"/>
          <w:sz w:val="20"/>
          <w:szCs w:val="20"/>
        </w:rPr>
        <w:t xml:space="preserve"> Adaptation of </w:t>
      </w:r>
      <w:r w:rsidR="00F941B9" w:rsidRPr="00483D1B">
        <w:rPr>
          <w:rFonts w:ascii="Cambria" w:hAnsi="Cambria"/>
          <w:i/>
          <w:sz w:val="20"/>
          <w:szCs w:val="20"/>
        </w:rPr>
        <w:t>Escherichia coli</w:t>
      </w:r>
      <w:r w:rsidR="00F941B9" w:rsidRPr="00483D1B">
        <w:rPr>
          <w:rFonts w:ascii="Cambria" w:hAnsi="Cambria"/>
          <w:sz w:val="20"/>
          <w:szCs w:val="20"/>
        </w:rPr>
        <w:t xml:space="preserve"> ATCC 8739 to 11% </w:t>
      </w:r>
      <w:proofErr w:type="spellStart"/>
      <w:r w:rsidR="00F941B9" w:rsidRPr="00483D1B">
        <w:rPr>
          <w:rFonts w:ascii="Cambria" w:hAnsi="Cambria"/>
          <w:sz w:val="20"/>
          <w:szCs w:val="20"/>
        </w:rPr>
        <w:t>NaCl</w:t>
      </w:r>
      <w:proofErr w:type="spellEnd"/>
      <w:r w:rsidR="00F941B9" w:rsidRPr="00483D1B">
        <w:rPr>
          <w:rFonts w:ascii="Cambria" w:hAnsi="Cambria"/>
          <w:sz w:val="20"/>
          <w:szCs w:val="20"/>
        </w:rPr>
        <w:t>. Dataset Papers in Biology 201</w:t>
      </w:r>
      <w:r w:rsidR="00B07E7C" w:rsidRPr="00483D1B">
        <w:rPr>
          <w:rFonts w:ascii="Cambria" w:hAnsi="Cambria"/>
          <w:sz w:val="20"/>
          <w:szCs w:val="20"/>
        </w:rPr>
        <w:t>3, Article ID 219095.</w:t>
      </w:r>
    </w:p>
    <w:p w:rsidR="00816A11" w:rsidRPr="00E86294" w:rsidRDefault="00617417" w:rsidP="009A667E">
      <w:pPr>
        <w:spacing w:after="0" w:line="240" w:lineRule="auto"/>
        <w:ind w:left="426" w:hanging="426"/>
        <w:rPr>
          <w:rFonts w:ascii="Cambria" w:hAnsi="Cambria"/>
          <w:sz w:val="20"/>
          <w:szCs w:val="20"/>
        </w:rPr>
      </w:pPr>
      <w:r w:rsidRPr="00E86294">
        <w:rPr>
          <w:rFonts w:ascii="Cambria" w:hAnsi="Cambria"/>
          <w:sz w:val="20"/>
          <w:szCs w:val="20"/>
        </w:rPr>
        <w:t>[54</w:t>
      </w:r>
      <w:r w:rsidR="00EB3740" w:rsidRPr="00E86294">
        <w:rPr>
          <w:rFonts w:ascii="Cambria" w:hAnsi="Cambria"/>
          <w:sz w:val="20"/>
          <w:szCs w:val="20"/>
        </w:rPr>
        <w:t xml:space="preserve">] </w:t>
      </w:r>
      <w:r w:rsidR="00816A11" w:rsidRPr="00E86294">
        <w:rPr>
          <w:rFonts w:ascii="Cambria" w:hAnsi="Cambria"/>
          <w:sz w:val="20"/>
          <w:szCs w:val="20"/>
        </w:rPr>
        <w:t xml:space="preserve">Castillo, C. F. G, and Ling, M. H. T. (2014) Digital organism simulation environment (DOSE): A library for ecologically-based </w:t>
      </w:r>
      <w:r w:rsidR="00816A11" w:rsidRPr="00E86294">
        <w:rPr>
          <w:rFonts w:ascii="Cambria" w:hAnsi="Cambria"/>
          <w:i/>
          <w:sz w:val="20"/>
          <w:szCs w:val="20"/>
        </w:rPr>
        <w:t>in silico</w:t>
      </w:r>
      <w:r w:rsidR="00816A11" w:rsidRPr="00E86294">
        <w:rPr>
          <w:rFonts w:ascii="Cambria" w:hAnsi="Cambria"/>
          <w:sz w:val="20"/>
          <w:szCs w:val="20"/>
        </w:rPr>
        <w:t xml:space="preserve"> experimental evolution. Advances in Computer Science: an International Journal 3, 44-50.</w:t>
      </w:r>
    </w:p>
    <w:p w:rsidR="009F7590" w:rsidRPr="00C56912" w:rsidRDefault="00617417" w:rsidP="009A667E">
      <w:pPr>
        <w:spacing w:after="0" w:line="240" w:lineRule="auto"/>
        <w:ind w:left="426" w:hanging="426"/>
        <w:rPr>
          <w:rFonts w:ascii="Cambria" w:hAnsi="Cambria"/>
          <w:sz w:val="20"/>
          <w:szCs w:val="20"/>
        </w:rPr>
      </w:pPr>
      <w:r w:rsidRPr="00C56912">
        <w:rPr>
          <w:rFonts w:ascii="Cambria" w:hAnsi="Cambria"/>
          <w:sz w:val="20"/>
          <w:szCs w:val="20"/>
        </w:rPr>
        <w:t>[55</w:t>
      </w:r>
      <w:r w:rsidR="00EB3740" w:rsidRPr="00C56912">
        <w:rPr>
          <w:rFonts w:ascii="Cambria" w:hAnsi="Cambria"/>
          <w:sz w:val="20"/>
          <w:szCs w:val="20"/>
        </w:rPr>
        <w:t xml:space="preserve">] </w:t>
      </w:r>
      <w:r w:rsidR="009F7590" w:rsidRPr="00C56912">
        <w:rPr>
          <w:rFonts w:ascii="Cambria" w:hAnsi="Cambria"/>
          <w:sz w:val="20"/>
          <w:szCs w:val="20"/>
        </w:rPr>
        <w:t>Castillo, C</w:t>
      </w:r>
      <w:r w:rsidR="00816A11" w:rsidRPr="00C56912">
        <w:rPr>
          <w:rFonts w:ascii="Cambria" w:hAnsi="Cambria"/>
          <w:sz w:val="20"/>
          <w:szCs w:val="20"/>
        </w:rPr>
        <w:t xml:space="preserve">. </w:t>
      </w:r>
      <w:r w:rsidR="009F7590" w:rsidRPr="00C56912">
        <w:rPr>
          <w:rFonts w:ascii="Cambria" w:hAnsi="Cambria"/>
          <w:sz w:val="20"/>
          <w:szCs w:val="20"/>
        </w:rPr>
        <w:t>F</w:t>
      </w:r>
      <w:r w:rsidR="00816A11" w:rsidRPr="00C56912">
        <w:rPr>
          <w:rFonts w:ascii="Cambria" w:hAnsi="Cambria"/>
          <w:sz w:val="20"/>
          <w:szCs w:val="20"/>
        </w:rPr>
        <w:t xml:space="preserve">. </w:t>
      </w:r>
      <w:r w:rsidR="009F7590" w:rsidRPr="00C56912">
        <w:rPr>
          <w:rFonts w:ascii="Cambria" w:hAnsi="Cambria"/>
          <w:sz w:val="20"/>
          <w:szCs w:val="20"/>
        </w:rPr>
        <w:t xml:space="preserve">G, </w:t>
      </w:r>
      <w:r w:rsidR="00816A11" w:rsidRPr="00C56912">
        <w:rPr>
          <w:rFonts w:ascii="Cambria" w:hAnsi="Cambria"/>
          <w:sz w:val="20"/>
          <w:szCs w:val="20"/>
        </w:rPr>
        <w:t xml:space="preserve">and </w:t>
      </w:r>
      <w:r w:rsidR="009F7590" w:rsidRPr="00C56912">
        <w:rPr>
          <w:rFonts w:ascii="Cambria" w:hAnsi="Cambria"/>
          <w:sz w:val="20"/>
          <w:szCs w:val="20"/>
        </w:rPr>
        <w:t>Ling, M</w:t>
      </w:r>
      <w:r w:rsidR="00816A11" w:rsidRPr="00C56912">
        <w:rPr>
          <w:rFonts w:ascii="Cambria" w:hAnsi="Cambria"/>
          <w:sz w:val="20"/>
          <w:szCs w:val="20"/>
        </w:rPr>
        <w:t xml:space="preserve">. </w:t>
      </w:r>
      <w:r w:rsidR="009F7590" w:rsidRPr="00C56912">
        <w:rPr>
          <w:rFonts w:ascii="Cambria" w:hAnsi="Cambria"/>
          <w:sz w:val="20"/>
          <w:szCs w:val="20"/>
        </w:rPr>
        <w:t>H</w:t>
      </w:r>
      <w:r w:rsidR="00816A11" w:rsidRPr="00C56912">
        <w:rPr>
          <w:rFonts w:ascii="Cambria" w:hAnsi="Cambria"/>
          <w:sz w:val="20"/>
          <w:szCs w:val="20"/>
        </w:rPr>
        <w:t xml:space="preserve">. </w:t>
      </w:r>
      <w:r w:rsidR="009F7590" w:rsidRPr="00C56912">
        <w:rPr>
          <w:rFonts w:ascii="Cambria" w:hAnsi="Cambria"/>
          <w:sz w:val="20"/>
          <w:szCs w:val="20"/>
        </w:rPr>
        <w:t xml:space="preserve">T. </w:t>
      </w:r>
      <w:r w:rsidR="00816A11" w:rsidRPr="00C56912">
        <w:rPr>
          <w:rFonts w:ascii="Cambria" w:hAnsi="Cambria"/>
          <w:sz w:val="20"/>
          <w:szCs w:val="20"/>
        </w:rPr>
        <w:t>(2014)</w:t>
      </w:r>
      <w:r w:rsidR="009F7590" w:rsidRPr="00C56912">
        <w:rPr>
          <w:rFonts w:ascii="Cambria" w:hAnsi="Cambria"/>
          <w:sz w:val="20"/>
          <w:szCs w:val="20"/>
        </w:rPr>
        <w:t xml:space="preserve"> </w:t>
      </w:r>
      <w:r w:rsidR="00816A11" w:rsidRPr="00C56912">
        <w:rPr>
          <w:rFonts w:ascii="Cambria" w:hAnsi="Cambria"/>
          <w:sz w:val="20"/>
          <w:szCs w:val="20"/>
        </w:rPr>
        <w:t>Resistant traits in digital organisms do not revert preselection status despite extended deselection: Implications to microbial antibiotics r</w:t>
      </w:r>
      <w:r w:rsidR="009F7590" w:rsidRPr="00C56912">
        <w:rPr>
          <w:rFonts w:ascii="Cambria" w:hAnsi="Cambria"/>
          <w:sz w:val="20"/>
          <w:szCs w:val="20"/>
        </w:rPr>
        <w:t xml:space="preserve">esistance. </w:t>
      </w:r>
      <w:proofErr w:type="spellStart"/>
      <w:r w:rsidR="009F7590" w:rsidRPr="00C56912">
        <w:rPr>
          <w:rFonts w:ascii="Cambria" w:hAnsi="Cambria"/>
          <w:sz w:val="20"/>
          <w:szCs w:val="20"/>
        </w:rPr>
        <w:t>BioMed</w:t>
      </w:r>
      <w:proofErr w:type="spellEnd"/>
      <w:r w:rsidR="009F7590" w:rsidRPr="00C56912">
        <w:rPr>
          <w:rFonts w:ascii="Cambria" w:hAnsi="Cambria"/>
          <w:sz w:val="20"/>
          <w:szCs w:val="20"/>
        </w:rPr>
        <w:t xml:space="preserve"> Research International 2014, Article ID 648389.</w:t>
      </w:r>
    </w:p>
    <w:p w:rsidR="009F7590" w:rsidRDefault="00617417" w:rsidP="009A667E">
      <w:pPr>
        <w:spacing w:after="0" w:line="240" w:lineRule="auto"/>
        <w:ind w:left="426" w:hanging="426"/>
        <w:rPr>
          <w:rFonts w:ascii="Cambria" w:hAnsi="Cambria"/>
          <w:sz w:val="20"/>
          <w:szCs w:val="20"/>
        </w:rPr>
      </w:pPr>
      <w:r w:rsidRPr="00172F70">
        <w:rPr>
          <w:rFonts w:ascii="Cambria" w:hAnsi="Cambria"/>
          <w:sz w:val="20"/>
          <w:szCs w:val="20"/>
        </w:rPr>
        <w:t>[56</w:t>
      </w:r>
      <w:r w:rsidR="00EB3740" w:rsidRPr="00172F70">
        <w:rPr>
          <w:rFonts w:ascii="Cambria" w:hAnsi="Cambria"/>
          <w:sz w:val="20"/>
          <w:szCs w:val="20"/>
        </w:rPr>
        <w:t xml:space="preserve">] </w:t>
      </w:r>
      <w:r w:rsidR="009F7590" w:rsidRPr="00172F70">
        <w:rPr>
          <w:rFonts w:ascii="Cambria" w:hAnsi="Cambria"/>
          <w:sz w:val="20"/>
          <w:szCs w:val="20"/>
        </w:rPr>
        <w:t>Castillo, C</w:t>
      </w:r>
      <w:r w:rsidR="002D5EFC" w:rsidRPr="00172F70">
        <w:rPr>
          <w:rFonts w:ascii="Cambria" w:hAnsi="Cambria"/>
          <w:sz w:val="20"/>
          <w:szCs w:val="20"/>
        </w:rPr>
        <w:t xml:space="preserve">. </w:t>
      </w:r>
      <w:r w:rsidR="009F7590" w:rsidRPr="00172F70">
        <w:rPr>
          <w:rFonts w:ascii="Cambria" w:hAnsi="Cambria"/>
          <w:sz w:val="20"/>
          <w:szCs w:val="20"/>
        </w:rPr>
        <w:t>F</w:t>
      </w:r>
      <w:r w:rsidR="002D5EFC" w:rsidRPr="00172F70">
        <w:rPr>
          <w:rFonts w:ascii="Cambria" w:hAnsi="Cambria"/>
          <w:sz w:val="20"/>
          <w:szCs w:val="20"/>
        </w:rPr>
        <w:t xml:space="preserve">. </w:t>
      </w:r>
      <w:r w:rsidR="009F7590" w:rsidRPr="00172F70">
        <w:rPr>
          <w:rFonts w:ascii="Cambria" w:hAnsi="Cambria"/>
          <w:sz w:val="20"/>
          <w:szCs w:val="20"/>
        </w:rPr>
        <w:t xml:space="preserve">G, </w:t>
      </w:r>
      <w:proofErr w:type="spellStart"/>
      <w:r w:rsidR="009F7590" w:rsidRPr="00172F70">
        <w:rPr>
          <w:rFonts w:ascii="Cambria" w:hAnsi="Cambria"/>
          <w:sz w:val="20"/>
          <w:szCs w:val="20"/>
        </w:rPr>
        <w:t>Chay</w:t>
      </w:r>
      <w:proofErr w:type="spellEnd"/>
      <w:r w:rsidR="009F7590" w:rsidRPr="00172F70">
        <w:rPr>
          <w:rFonts w:ascii="Cambria" w:hAnsi="Cambria"/>
          <w:sz w:val="20"/>
          <w:szCs w:val="20"/>
        </w:rPr>
        <w:t xml:space="preserve"> Z</w:t>
      </w:r>
      <w:r w:rsidR="002D5EFC" w:rsidRPr="00172F70">
        <w:rPr>
          <w:rFonts w:ascii="Cambria" w:hAnsi="Cambria"/>
          <w:sz w:val="20"/>
          <w:szCs w:val="20"/>
        </w:rPr>
        <w:t xml:space="preserve">. </w:t>
      </w:r>
      <w:r w:rsidR="009F7590" w:rsidRPr="00172F70">
        <w:rPr>
          <w:rFonts w:ascii="Cambria" w:hAnsi="Cambria"/>
          <w:sz w:val="20"/>
          <w:szCs w:val="20"/>
        </w:rPr>
        <w:t>E</w:t>
      </w:r>
      <w:r w:rsidR="002D5EFC" w:rsidRPr="00172F70">
        <w:rPr>
          <w:rFonts w:ascii="Cambria" w:hAnsi="Cambria"/>
          <w:sz w:val="20"/>
          <w:szCs w:val="20"/>
        </w:rPr>
        <w:t>.</w:t>
      </w:r>
      <w:r w:rsidR="009F7590" w:rsidRPr="00172F70">
        <w:rPr>
          <w:rFonts w:ascii="Cambria" w:hAnsi="Cambria"/>
          <w:sz w:val="20"/>
          <w:szCs w:val="20"/>
        </w:rPr>
        <w:t xml:space="preserve">, </w:t>
      </w:r>
      <w:r w:rsidR="002D5EFC" w:rsidRPr="00172F70">
        <w:rPr>
          <w:rFonts w:ascii="Cambria" w:hAnsi="Cambria"/>
          <w:sz w:val="20"/>
          <w:szCs w:val="20"/>
        </w:rPr>
        <w:t xml:space="preserve">and </w:t>
      </w:r>
      <w:r w:rsidR="009F7590" w:rsidRPr="00172F70">
        <w:rPr>
          <w:rFonts w:ascii="Cambria" w:hAnsi="Cambria"/>
          <w:sz w:val="20"/>
          <w:szCs w:val="20"/>
        </w:rPr>
        <w:t>Ling, M</w:t>
      </w:r>
      <w:r w:rsidR="002D5EFC" w:rsidRPr="00172F70">
        <w:rPr>
          <w:rFonts w:ascii="Cambria" w:hAnsi="Cambria"/>
          <w:sz w:val="20"/>
          <w:szCs w:val="20"/>
        </w:rPr>
        <w:t xml:space="preserve">. </w:t>
      </w:r>
      <w:r w:rsidR="009F7590" w:rsidRPr="00172F70">
        <w:rPr>
          <w:rFonts w:ascii="Cambria" w:hAnsi="Cambria"/>
          <w:sz w:val="20"/>
          <w:szCs w:val="20"/>
        </w:rPr>
        <w:t>H</w:t>
      </w:r>
      <w:r w:rsidR="002D5EFC" w:rsidRPr="00172F70">
        <w:rPr>
          <w:rFonts w:ascii="Cambria" w:hAnsi="Cambria"/>
          <w:sz w:val="20"/>
          <w:szCs w:val="20"/>
        </w:rPr>
        <w:t xml:space="preserve">. </w:t>
      </w:r>
      <w:r w:rsidR="009F7590" w:rsidRPr="00172F70">
        <w:rPr>
          <w:rFonts w:ascii="Cambria" w:hAnsi="Cambria"/>
          <w:sz w:val="20"/>
          <w:szCs w:val="20"/>
        </w:rPr>
        <w:t xml:space="preserve">T. </w:t>
      </w:r>
      <w:r w:rsidR="002D5EFC" w:rsidRPr="00172F70">
        <w:rPr>
          <w:rFonts w:ascii="Cambria" w:hAnsi="Cambria"/>
          <w:sz w:val="20"/>
          <w:szCs w:val="20"/>
        </w:rPr>
        <w:t>(2015)</w:t>
      </w:r>
      <w:r w:rsidR="009F7590" w:rsidRPr="00172F70">
        <w:rPr>
          <w:rFonts w:ascii="Cambria" w:hAnsi="Cambria"/>
          <w:sz w:val="20"/>
          <w:szCs w:val="20"/>
        </w:rPr>
        <w:t xml:space="preserve"> </w:t>
      </w:r>
      <w:r w:rsidR="002D5EFC" w:rsidRPr="00172F70">
        <w:rPr>
          <w:rFonts w:ascii="Cambria" w:hAnsi="Cambria"/>
          <w:sz w:val="20"/>
          <w:szCs w:val="20"/>
        </w:rPr>
        <w:t>Resistance maintained in digital organisms despite guanine/cytosine-based fitness cost and extended de-selection: Implications to microbial antibiotics r</w:t>
      </w:r>
      <w:r w:rsidR="009F7590" w:rsidRPr="00172F70">
        <w:rPr>
          <w:rFonts w:ascii="Cambria" w:hAnsi="Cambria"/>
          <w:sz w:val="20"/>
          <w:szCs w:val="20"/>
        </w:rPr>
        <w:t>esistance. MOJ Proteomics &amp; Bioinformatics 2(2): 00039.</w:t>
      </w:r>
    </w:p>
    <w:p w:rsidR="00C1090E" w:rsidRDefault="00617417" w:rsidP="00C1090E">
      <w:pPr>
        <w:spacing w:after="0" w:line="240" w:lineRule="auto"/>
        <w:ind w:left="426" w:hanging="426"/>
        <w:rPr>
          <w:rFonts w:ascii="Cambria" w:hAnsi="Cambria"/>
          <w:sz w:val="20"/>
          <w:szCs w:val="20"/>
        </w:rPr>
      </w:pPr>
      <w:r>
        <w:rPr>
          <w:rFonts w:ascii="Cambria" w:hAnsi="Cambria"/>
          <w:sz w:val="20"/>
          <w:szCs w:val="20"/>
        </w:rPr>
        <w:lastRenderedPageBreak/>
        <w:t>[57</w:t>
      </w:r>
      <w:r w:rsidR="00834432" w:rsidRPr="00834432">
        <w:rPr>
          <w:rFonts w:ascii="Cambria" w:hAnsi="Cambria"/>
          <w:sz w:val="20"/>
          <w:szCs w:val="20"/>
        </w:rPr>
        <w:t>] Ling, M</w:t>
      </w:r>
      <w:r w:rsidR="00834432">
        <w:rPr>
          <w:rFonts w:ascii="Cambria" w:hAnsi="Cambria"/>
          <w:sz w:val="20"/>
          <w:szCs w:val="20"/>
        </w:rPr>
        <w:t xml:space="preserve">. </w:t>
      </w:r>
      <w:r w:rsidR="00834432" w:rsidRPr="00834432">
        <w:rPr>
          <w:rFonts w:ascii="Cambria" w:hAnsi="Cambria"/>
          <w:sz w:val="20"/>
          <w:szCs w:val="20"/>
        </w:rPr>
        <w:t>H</w:t>
      </w:r>
      <w:r w:rsidR="00834432">
        <w:rPr>
          <w:rFonts w:ascii="Cambria" w:hAnsi="Cambria"/>
          <w:sz w:val="20"/>
          <w:szCs w:val="20"/>
        </w:rPr>
        <w:t xml:space="preserve">. </w:t>
      </w:r>
      <w:r w:rsidR="00834432" w:rsidRPr="00834432">
        <w:rPr>
          <w:rFonts w:ascii="Cambria" w:hAnsi="Cambria"/>
          <w:sz w:val="20"/>
          <w:szCs w:val="20"/>
        </w:rPr>
        <w:t xml:space="preserve">T. </w:t>
      </w:r>
      <w:r w:rsidR="00834432">
        <w:rPr>
          <w:rFonts w:ascii="Cambria" w:hAnsi="Cambria"/>
          <w:sz w:val="20"/>
          <w:szCs w:val="20"/>
        </w:rPr>
        <w:t>(</w:t>
      </w:r>
      <w:r w:rsidR="00834432" w:rsidRPr="00834432">
        <w:rPr>
          <w:rFonts w:ascii="Cambria" w:hAnsi="Cambria"/>
          <w:sz w:val="20"/>
          <w:szCs w:val="20"/>
        </w:rPr>
        <w:t>2009</w:t>
      </w:r>
      <w:r w:rsidR="00834432">
        <w:rPr>
          <w:rFonts w:ascii="Cambria" w:hAnsi="Cambria"/>
          <w:sz w:val="20"/>
          <w:szCs w:val="20"/>
        </w:rPr>
        <w:t>)</w:t>
      </w:r>
      <w:r w:rsidR="00834432" w:rsidRPr="00834432">
        <w:rPr>
          <w:rFonts w:ascii="Cambria" w:hAnsi="Cambria"/>
          <w:sz w:val="20"/>
          <w:szCs w:val="20"/>
        </w:rPr>
        <w:t xml:space="preserve">. </w:t>
      </w:r>
      <w:r w:rsidR="00834432">
        <w:rPr>
          <w:rFonts w:ascii="Cambria" w:hAnsi="Cambria"/>
          <w:sz w:val="20"/>
          <w:szCs w:val="20"/>
        </w:rPr>
        <w:t xml:space="preserve">Understanding mouse </w:t>
      </w:r>
      <w:proofErr w:type="spellStart"/>
      <w:r w:rsidR="00834432">
        <w:rPr>
          <w:rFonts w:ascii="Cambria" w:hAnsi="Cambria"/>
          <w:sz w:val="20"/>
          <w:szCs w:val="20"/>
        </w:rPr>
        <w:t>lactogenesis</w:t>
      </w:r>
      <w:proofErr w:type="spellEnd"/>
      <w:r w:rsidR="00834432">
        <w:rPr>
          <w:rFonts w:ascii="Cambria" w:hAnsi="Cambria"/>
          <w:sz w:val="20"/>
          <w:szCs w:val="20"/>
        </w:rPr>
        <w:t xml:space="preserve"> by transcriptomics and literature a</w:t>
      </w:r>
      <w:r w:rsidR="00834432" w:rsidRPr="00834432">
        <w:rPr>
          <w:rFonts w:ascii="Cambria" w:hAnsi="Cambria"/>
          <w:sz w:val="20"/>
          <w:szCs w:val="20"/>
        </w:rPr>
        <w:t>nalysis. Doctor of Philosophy. Department of Zoology, The University of Melbourne, Australia.</w:t>
      </w:r>
    </w:p>
    <w:p w:rsidR="00CD3E1D" w:rsidRDefault="00617417" w:rsidP="00CD3E1D">
      <w:pPr>
        <w:spacing w:after="0" w:line="240" w:lineRule="auto"/>
        <w:ind w:left="426" w:hanging="426"/>
        <w:rPr>
          <w:rFonts w:ascii="Cambria" w:hAnsi="Cambria" w:cs="Times New Roman"/>
          <w:sz w:val="20"/>
          <w:szCs w:val="20"/>
        </w:rPr>
      </w:pPr>
      <w:r>
        <w:rPr>
          <w:rFonts w:ascii="Cambria" w:hAnsi="Cambria" w:cs="Times New Roman"/>
          <w:sz w:val="20"/>
          <w:szCs w:val="20"/>
        </w:rPr>
        <w:t>[58</w:t>
      </w:r>
      <w:r w:rsidR="00A833F6">
        <w:rPr>
          <w:rFonts w:ascii="Cambria" w:hAnsi="Cambria" w:cs="Times New Roman"/>
          <w:sz w:val="20"/>
          <w:szCs w:val="20"/>
        </w:rPr>
        <w:t xml:space="preserve">] </w:t>
      </w:r>
      <w:r w:rsidR="00C1090E" w:rsidRPr="00C1090E">
        <w:rPr>
          <w:rFonts w:ascii="Cambria" w:hAnsi="Cambria" w:cs="Times New Roman"/>
          <w:sz w:val="20"/>
          <w:szCs w:val="20"/>
        </w:rPr>
        <w:t>Myers, J.D. (2003). Collaborative electronic notebooks as electronic records: Design issues for the secure ele</w:t>
      </w:r>
      <w:r w:rsidR="00C1090E">
        <w:rPr>
          <w:rFonts w:ascii="Cambria" w:hAnsi="Cambria" w:cs="Times New Roman"/>
          <w:sz w:val="20"/>
          <w:szCs w:val="20"/>
        </w:rPr>
        <w:t>ctronic laboratory notebook (ELN). Simulation Series</w:t>
      </w:r>
      <w:r w:rsidR="00C1090E" w:rsidRPr="00C1090E">
        <w:rPr>
          <w:rFonts w:ascii="Cambria" w:hAnsi="Cambria" w:cs="Times New Roman"/>
          <w:sz w:val="20"/>
          <w:szCs w:val="20"/>
        </w:rPr>
        <w:t xml:space="preserve"> 35, 13–22.</w:t>
      </w:r>
    </w:p>
    <w:p w:rsidR="00CD3E1D" w:rsidRDefault="00617417" w:rsidP="00CD3E1D">
      <w:pPr>
        <w:spacing w:after="0" w:line="240" w:lineRule="auto"/>
        <w:ind w:left="426" w:hanging="426"/>
        <w:rPr>
          <w:rFonts w:ascii="Cambria" w:hAnsi="Cambria"/>
          <w:sz w:val="20"/>
          <w:szCs w:val="20"/>
        </w:rPr>
      </w:pPr>
      <w:r>
        <w:rPr>
          <w:rFonts w:ascii="Cambria" w:hAnsi="Cambria"/>
          <w:sz w:val="20"/>
          <w:szCs w:val="20"/>
        </w:rPr>
        <w:t>[59</w:t>
      </w:r>
      <w:r w:rsidR="001A080B">
        <w:rPr>
          <w:rFonts w:ascii="Cambria" w:hAnsi="Cambria"/>
          <w:sz w:val="20"/>
          <w:szCs w:val="20"/>
        </w:rPr>
        <w:t xml:space="preserve">] </w:t>
      </w:r>
      <w:r w:rsidR="00CD3E1D" w:rsidRPr="00CD3E1D">
        <w:rPr>
          <w:rFonts w:ascii="Cambria" w:hAnsi="Cambria"/>
          <w:sz w:val="20"/>
          <w:szCs w:val="20"/>
        </w:rPr>
        <w:t xml:space="preserve">Cock, P.J.A., </w:t>
      </w:r>
      <w:proofErr w:type="spellStart"/>
      <w:r w:rsidR="00CD3E1D" w:rsidRPr="00CD3E1D">
        <w:rPr>
          <w:rFonts w:ascii="Cambria" w:hAnsi="Cambria"/>
          <w:sz w:val="20"/>
          <w:szCs w:val="20"/>
        </w:rPr>
        <w:t>Antao</w:t>
      </w:r>
      <w:proofErr w:type="spellEnd"/>
      <w:r w:rsidR="00CD3E1D" w:rsidRPr="00CD3E1D">
        <w:rPr>
          <w:rFonts w:ascii="Cambria" w:hAnsi="Cambria"/>
          <w:sz w:val="20"/>
          <w:szCs w:val="20"/>
        </w:rPr>
        <w:t xml:space="preserve">, T., Chang, J.T., Chapman, B.A., Cox, C.J., </w:t>
      </w:r>
      <w:proofErr w:type="spellStart"/>
      <w:r w:rsidR="00CD3E1D" w:rsidRPr="00CD3E1D">
        <w:rPr>
          <w:rFonts w:ascii="Cambria" w:hAnsi="Cambria"/>
          <w:sz w:val="20"/>
          <w:szCs w:val="20"/>
        </w:rPr>
        <w:t>Dalke</w:t>
      </w:r>
      <w:proofErr w:type="spellEnd"/>
      <w:r w:rsidR="00CD3E1D" w:rsidRPr="00CD3E1D">
        <w:rPr>
          <w:rFonts w:ascii="Cambria" w:hAnsi="Cambria"/>
          <w:sz w:val="20"/>
          <w:szCs w:val="20"/>
        </w:rPr>
        <w:t xml:space="preserve">, A., Friedberg, I., </w:t>
      </w:r>
      <w:proofErr w:type="spellStart"/>
      <w:r w:rsidR="00CD3E1D" w:rsidRPr="00CD3E1D">
        <w:rPr>
          <w:rFonts w:ascii="Cambria" w:hAnsi="Cambria"/>
          <w:sz w:val="20"/>
          <w:szCs w:val="20"/>
        </w:rPr>
        <w:t>Hamelryck</w:t>
      </w:r>
      <w:proofErr w:type="spellEnd"/>
      <w:r w:rsidR="00CD3E1D" w:rsidRPr="00CD3E1D">
        <w:rPr>
          <w:rFonts w:ascii="Cambria" w:hAnsi="Cambria"/>
          <w:sz w:val="20"/>
          <w:szCs w:val="20"/>
        </w:rPr>
        <w:t xml:space="preserve">, T., </w:t>
      </w:r>
      <w:proofErr w:type="spellStart"/>
      <w:r w:rsidR="00CD3E1D" w:rsidRPr="00CD3E1D">
        <w:rPr>
          <w:rFonts w:ascii="Cambria" w:hAnsi="Cambria"/>
          <w:sz w:val="20"/>
          <w:szCs w:val="20"/>
        </w:rPr>
        <w:t>Kauff</w:t>
      </w:r>
      <w:proofErr w:type="spellEnd"/>
      <w:r w:rsidR="00CD3E1D" w:rsidRPr="00CD3E1D">
        <w:rPr>
          <w:rFonts w:ascii="Cambria" w:hAnsi="Cambria"/>
          <w:sz w:val="20"/>
          <w:szCs w:val="20"/>
        </w:rPr>
        <w:t xml:space="preserve">, F., </w:t>
      </w:r>
      <w:proofErr w:type="spellStart"/>
      <w:r w:rsidR="00CD3E1D" w:rsidRPr="00CD3E1D">
        <w:rPr>
          <w:rFonts w:ascii="Cambria" w:hAnsi="Cambria"/>
          <w:sz w:val="20"/>
          <w:szCs w:val="20"/>
        </w:rPr>
        <w:t>Wilczynski</w:t>
      </w:r>
      <w:proofErr w:type="spellEnd"/>
      <w:r w:rsidR="00CD3E1D" w:rsidRPr="00CD3E1D">
        <w:rPr>
          <w:rFonts w:ascii="Cambria" w:hAnsi="Cambria"/>
          <w:sz w:val="20"/>
          <w:szCs w:val="20"/>
        </w:rPr>
        <w:t xml:space="preserve">, B., et al. (2009). </w:t>
      </w:r>
      <w:proofErr w:type="spellStart"/>
      <w:r w:rsidR="00CD3E1D" w:rsidRPr="00CD3E1D">
        <w:rPr>
          <w:rFonts w:ascii="Cambria" w:hAnsi="Cambria"/>
          <w:sz w:val="20"/>
          <w:szCs w:val="20"/>
        </w:rPr>
        <w:t>Biopython</w:t>
      </w:r>
      <w:proofErr w:type="spellEnd"/>
      <w:r w:rsidR="00CD3E1D" w:rsidRPr="00CD3E1D">
        <w:rPr>
          <w:rFonts w:ascii="Cambria" w:hAnsi="Cambria"/>
          <w:sz w:val="20"/>
          <w:szCs w:val="20"/>
        </w:rPr>
        <w:t>: freely available Python tools for computational molecular biology and bioinformatics</w:t>
      </w:r>
      <w:r w:rsidR="00CD3E1D">
        <w:rPr>
          <w:rFonts w:ascii="Cambria" w:hAnsi="Cambria"/>
          <w:sz w:val="20"/>
          <w:szCs w:val="20"/>
        </w:rPr>
        <w:t>. Bioinformatics 25, 1422–1423.</w:t>
      </w:r>
    </w:p>
    <w:p w:rsidR="00054389" w:rsidRDefault="00617417" w:rsidP="00CD3E1D">
      <w:pPr>
        <w:spacing w:after="0" w:line="240" w:lineRule="auto"/>
        <w:ind w:left="426" w:hanging="426"/>
        <w:rPr>
          <w:rFonts w:ascii="Cambria" w:hAnsi="Cambria"/>
          <w:sz w:val="20"/>
          <w:szCs w:val="20"/>
        </w:rPr>
      </w:pPr>
      <w:r>
        <w:rPr>
          <w:rFonts w:ascii="Cambria" w:hAnsi="Cambria"/>
          <w:sz w:val="20"/>
          <w:szCs w:val="20"/>
        </w:rPr>
        <w:t>[60</w:t>
      </w:r>
      <w:r w:rsidR="00054389">
        <w:rPr>
          <w:rFonts w:ascii="Cambria" w:hAnsi="Cambria"/>
          <w:sz w:val="20"/>
          <w:szCs w:val="20"/>
        </w:rPr>
        <w:t xml:space="preserve">] </w:t>
      </w:r>
      <w:proofErr w:type="spellStart"/>
      <w:r w:rsidR="00054389" w:rsidRPr="00054389">
        <w:rPr>
          <w:rFonts w:ascii="Cambria" w:hAnsi="Cambria"/>
          <w:sz w:val="20"/>
          <w:szCs w:val="20"/>
        </w:rPr>
        <w:t>Hellegouarch</w:t>
      </w:r>
      <w:proofErr w:type="spellEnd"/>
      <w:r w:rsidR="00054389" w:rsidRPr="00054389">
        <w:rPr>
          <w:rFonts w:ascii="Cambria" w:hAnsi="Cambria"/>
          <w:sz w:val="20"/>
          <w:szCs w:val="20"/>
        </w:rPr>
        <w:t xml:space="preserve">, S. (2007). </w:t>
      </w:r>
      <w:proofErr w:type="spellStart"/>
      <w:r w:rsidR="00054389" w:rsidRPr="00054389">
        <w:rPr>
          <w:rFonts w:ascii="Cambria" w:hAnsi="Cambria"/>
          <w:sz w:val="20"/>
          <w:szCs w:val="20"/>
        </w:rPr>
        <w:t>CherryPy</w:t>
      </w:r>
      <w:proofErr w:type="spellEnd"/>
      <w:r w:rsidR="00054389" w:rsidRPr="00054389">
        <w:rPr>
          <w:rFonts w:ascii="Cambria" w:hAnsi="Cambria"/>
          <w:sz w:val="20"/>
          <w:szCs w:val="20"/>
        </w:rPr>
        <w:t xml:space="preserve"> essentials: Rapid python web application development (</w:t>
      </w:r>
      <w:proofErr w:type="spellStart"/>
      <w:r w:rsidR="00054389" w:rsidRPr="00054389">
        <w:rPr>
          <w:rFonts w:ascii="Cambria" w:hAnsi="Cambria"/>
          <w:sz w:val="20"/>
          <w:szCs w:val="20"/>
        </w:rPr>
        <w:t>Packt</w:t>
      </w:r>
      <w:proofErr w:type="spellEnd"/>
      <w:r w:rsidR="00054389" w:rsidRPr="00054389">
        <w:rPr>
          <w:rFonts w:ascii="Cambria" w:hAnsi="Cambria"/>
          <w:sz w:val="20"/>
          <w:szCs w:val="20"/>
        </w:rPr>
        <w:t xml:space="preserve"> Publishing Ltd)</w:t>
      </w:r>
    </w:p>
    <w:p w:rsidR="00054389" w:rsidRPr="00CD3E1D" w:rsidRDefault="00617417" w:rsidP="00CD3E1D">
      <w:pPr>
        <w:spacing w:after="0" w:line="240" w:lineRule="auto"/>
        <w:ind w:left="426" w:hanging="426"/>
        <w:rPr>
          <w:rFonts w:ascii="Cambria" w:hAnsi="Cambria" w:cs="Times New Roman"/>
          <w:sz w:val="20"/>
          <w:szCs w:val="20"/>
        </w:rPr>
      </w:pPr>
      <w:r>
        <w:rPr>
          <w:rFonts w:ascii="Cambria" w:hAnsi="Cambria"/>
          <w:sz w:val="20"/>
          <w:szCs w:val="20"/>
        </w:rPr>
        <w:t>[61</w:t>
      </w:r>
      <w:r w:rsidR="00054389">
        <w:rPr>
          <w:rFonts w:ascii="Cambria" w:hAnsi="Cambria"/>
          <w:sz w:val="20"/>
          <w:szCs w:val="20"/>
        </w:rPr>
        <w:t xml:space="preserve">] </w:t>
      </w:r>
      <w:r w:rsidR="00054389" w:rsidRPr="00054389">
        <w:rPr>
          <w:rFonts w:ascii="Cambria" w:hAnsi="Cambria"/>
          <w:sz w:val="20"/>
          <w:szCs w:val="20"/>
        </w:rPr>
        <w:t xml:space="preserve">Di </w:t>
      </w:r>
      <w:proofErr w:type="spellStart"/>
      <w:r w:rsidR="00054389" w:rsidRPr="00054389">
        <w:rPr>
          <w:rFonts w:ascii="Cambria" w:hAnsi="Cambria"/>
          <w:sz w:val="20"/>
          <w:szCs w:val="20"/>
        </w:rPr>
        <w:t>Pierro</w:t>
      </w:r>
      <w:proofErr w:type="spellEnd"/>
      <w:r w:rsidR="00054389" w:rsidRPr="00054389">
        <w:rPr>
          <w:rFonts w:ascii="Cambria" w:hAnsi="Cambria"/>
          <w:sz w:val="20"/>
          <w:szCs w:val="20"/>
        </w:rPr>
        <w:t xml:space="preserve">, M. </w:t>
      </w:r>
      <w:r w:rsidR="00054389">
        <w:rPr>
          <w:rFonts w:ascii="Cambria" w:hAnsi="Cambria"/>
          <w:sz w:val="20"/>
          <w:szCs w:val="20"/>
        </w:rPr>
        <w:t>(</w:t>
      </w:r>
      <w:r w:rsidR="00054389" w:rsidRPr="00054389">
        <w:rPr>
          <w:rFonts w:ascii="Cambria" w:hAnsi="Cambria"/>
          <w:sz w:val="20"/>
          <w:szCs w:val="20"/>
        </w:rPr>
        <w:t>2009</w:t>
      </w:r>
      <w:r w:rsidR="00054389">
        <w:rPr>
          <w:rFonts w:ascii="Cambria" w:hAnsi="Cambria"/>
          <w:sz w:val="20"/>
          <w:szCs w:val="20"/>
        </w:rPr>
        <w:t>)</w:t>
      </w:r>
      <w:r w:rsidR="00054389" w:rsidRPr="00054389">
        <w:rPr>
          <w:rFonts w:ascii="Cambria" w:hAnsi="Cambria"/>
          <w:sz w:val="20"/>
          <w:szCs w:val="20"/>
        </w:rPr>
        <w:t xml:space="preserve">. Web2py: enterprise web framework, 2nd edition. </w:t>
      </w:r>
      <w:r w:rsidR="00054389">
        <w:rPr>
          <w:rFonts w:ascii="Cambria" w:hAnsi="Cambria"/>
          <w:sz w:val="20"/>
          <w:szCs w:val="20"/>
        </w:rPr>
        <w:t>(Wiley Publishers)</w:t>
      </w:r>
    </w:p>
    <w:p w:rsidR="001A080B" w:rsidRDefault="00617417" w:rsidP="00C1090E">
      <w:pPr>
        <w:spacing w:after="0" w:line="240" w:lineRule="auto"/>
        <w:ind w:left="426" w:hanging="426"/>
        <w:rPr>
          <w:rFonts w:ascii="Cambria" w:hAnsi="Cambria"/>
          <w:sz w:val="20"/>
          <w:szCs w:val="20"/>
        </w:rPr>
      </w:pPr>
      <w:r>
        <w:rPr>
          <w:rFonts w:ascii="Cambria" w:hAnsi="Cambria"/>
          <w:sz w:val="20"/>
          <w:szCs w:val="20"/>
        </w:rPr>
        <w:t>[62</w:t>
      </w:r>
      <w:r w:rsidR="00054389">
        <w:rPr>
          <w:rFonts w:ascii="Cambria" w:hAnsi="Cambria"/>
          <w:sz w:val="20"/>
          <w:szCs w:val="20"/>
        </w:rPr>
        <w:t xml:space="preserve">] </w:t>
      </w:r>
      <w:r w:rsidR="001A080B" w:rsidRPr="001A080B">
        <w:rPr>
          <w:rFonts w:ascii="Cambria" w:hAnsi="Cambria"/>
          <w:sz w:val="20"/>
          <w:szCs w:val="20"/>
        </w:rPr>
        <w:t>US FDA. 1997. Electronic records; Electronic signatures (21 CFR Part 11). Federal Register 62(54):13430-13466. [Docket No. 92N–0251]</w:t>
      </w:r>
    </w:p>
    <w:p w:rsidR="007A2F90" w:rsidRDefault="00617417" w:rsidP="007A2F90">
      <w:pPr>
        <w:spacing w:after="0" w:line="240" w:lineRule="auto"/>
        <w:ind w:left="426" w:hanging="426"/>
        <w:rPr>
          <w:rFonts w:ascii="Cambria" w:hAnsi="Cambria"/>
          <w:sz w:val="20"/>
          <w:szCs w:val="20"/>
        </w:rPr>
      </w:pPr>
      <w:r>
        <w:rPr>
          <w:rFonts w:ascii="Cambria" w:hAnsi="Cambria"/>
          <w:sz w:val="20"/>
          <w:szCs w:val="20"/>
        </w:rPr>
        <w:t>[63</w:t>
      </w:r>
      <w:r w:rsidR="007A2F90">
        <w:rPr>
          <w:rFonts w:ascii="Cambria" w:hAnsi="Cambria"/>
          <w:sz w:val="20"/>
          <w:szCs w:val="20"/>
        </w:rPr>
        <w:t xml:space="preserve">] </w:t>
      </w:r>
      <w:r w:rsidR="007A2F90" w:rsidRPr="007A2F90">
        <w:rPr>
          <w:rFonts w:ascii="Cambria" w:hAnsi="Cambria"/>
          <w:sz w:val="20"/>
          <w:szCs w:val="20"/>
        </w:rPr>
        <w:t xml:space="preserve">Dundas, J., and Ling, M.H. (2012). Reference genes for measuring mRNA expression. </w:t>
      </w:r>
      <w:r w:rsidR="007A2F90">
        <w:rPr>
          <w:rFonts w:ascii="Cambria" w:hAnsi="Cambria"/>
          <w:sz w:val="20"/>
          <w:szCs w:val="20"/>
        </w:rPr>
        <w:t>Theory in Biosciences 131, 1–9.</w:t>
      </w:r>
    </w:p>
    <w:p w:rsidR="007A2F90" w:rsidRDefault="00617417" w:rsidP="007A2F90">
      <w:pPr>
        <w:spacing w:after="0" w:line="240" w:lineRule="auto"/>
        <w:ind w:left="426" w:hanging="426"/>
        <w:rPr>
          <w:rFonts w:ascii="Cambria" w:hAnsi="Cambria"/>
          <w:sz w:val="20"/>
          <w:szCs w:val="20"/>
        </w:rPr>
      </w:pPr>
      <w:r>
        <w:rPr>
          <w:rFonts w:ascii="Cambria" w:hAnsi="Cambria"/>
          <w:sz w:val="20"/>
          <w:szCs w:val="20"/>
        </w:rPr>
        <w:t>[64</w:t>
      </w:r>
      <w:r w:rsidR="007A2F90">
        <w:rPr>
          <w:rFonts w:ascii="Cambria" w:hAnsi="Cambria"/>
          <w:sz w:val="20"/>
          <w:szCs w:val="20"/>
        </w:rPr>
        <w:t xml:space="preserve">] </w:t>
      </w:r>
      <w:proofErr w:type="spellStart"/>
      <w:r w:rsidR="007A2F90" w:rsidRPr="007A2F90">
        <w:rPr>
          <w:rFonts w:ascii="Cambria" w:hAnsi="Cambria"/>
          <w:sz w:val="20"/>
          <w:szCs w:val="20"/>
        </w:rPr>
        <w:t>Kozera</w:t>
      </w:r>
      <w:proofErr w:type="spellEnd"/>
      <w:r w:rsidR="007A2F90" w:rsidRPr="007A2F90">
        <w:rPr>
          <w:rFonts w:ascii="Cambria" w:hAnsi="Cambria"/>
          <w:sz w:val="20"/>
          <w:szCs w:val="20"/>
        </w:rPr>
        <w:t xml:space="preserve">, B., and </w:t>
      </w:r>
      <w:proofErr w:type="spellStart"/>
      <w:r w:rsidR="007A2F90" w:rsidRPr="007A2F90">
        <w:rPr>
          <w:rFonts w:ascii="Cambria" w:hAnsi="Cambria"/>
          <w:sz w:val="20"/>
          <w:szCs w:val="20"/>
        </w:rPr>
        <w:t>Rapacz</w:t>
      </w:r>
      <w:proofErr w:type="spellEnd"/>
      <w:r w:rsidR="007A2F90" w:rsidRPr="007A2F90">
        <w:rPr>
          <w:rFonts w:ascii="Cambria" w:hAnsi="Cambria"/>
          <w:sz w:val="20"/>
          <w:szCs w:val="20"/>
        </w:rPr>
        <w:t>, M. (2013). Refe</w:t>
      </w:r>
      <w:r w:rsidR="007A2F90">
        <w:rPr>
          <w:rFonts w:ascii="Cambria" w:hAnsi="Cambria"/>
          <w:sz w:val="20"/>
          <w:szCs w:val="20"/>
        </w:rPr>
        <w:t>rence genes in real-time PCR. Journal of</w:t>
      </w:r>
      <w:r w:rsidR="007A2F90" w:rsidRPr="007A2F90">
        <w:rPr>
          <w:rFonts w:ascii="Cambria" w:hAnsi="Cambria"/>
          <w:sz w:val="20"/>
          <w:szCs w:val="20"/>
        </w:rPr>
        <w:t xml:space="preserve"> A</w:t>
      </w:r>
      <w:r w:rsidR="007A2F90">
        <w:rPr>
          <w:rFonts w:ascii="Cambria" w:hAnsi="Cambria"/>
          <w:sz w:val="20"/>
          <w:szCs w:val="20"/>
        </w:rPr>
        <w:t>pplied Genetics</w:t>
      </w:r>
      <w:r w:rsidR="007A2F90" w:rsidRPr="007A2F90">
        <w:rPr>
          <w:rFonts w:ascii="Cambria" w:hAnsi="Cambria"/>
          <w:sz w:val="20"/>
          <w:szCs w:val="20"/>
        </w:rPr>
        <w:t xml:space="preserve"> 54, 391–406.</w:t>
      </w:r>
    </w:p>
    <w:p w:rsidR="007A2F90" w:rsidRPr="007A2F90" w:rsidRDefault="00617417" w:rsidP="007A2F90">
      <w:pPr>
        <w:spacing w:after="0" w:line="240" w:lineRule="auto"/>
        <w:ind w:left="426" w:hanging="426"/>
        <w:rPr>
          <w:rFonts w:ascii="Cambria" w:hAnsi="Cambria"/>
          <w:sz w:val="20"/>
          <w:szCs w:val="20"/>
        </w:rPr>
      </w:pPr>
      <w:r>
        <w:rPr>
          <w:rFonts w:ascii="Cambria" w:hAnsi="Cambria"/>
          <w:sz w:val="20"/>
          <w:szCs w:val="20"/>
        </w:rPr>
        <w:t>[65</w:t>
      </w:r>
      <w:r w:rsidR="007A2F90">
        <w:rPr>
          <w:rFonts w:ascii="Cambria" w:hAnsi="Cambria"/>
          <w:sz w:val="20"/>
          <w:szCs w:val="20"/>
        </w:rPr>
        <w:t xml:space="preserve">] </w:t>
      </w:r>
      <w:r w:rsidR="007A2F90" w:rsidRPr="007A2F90">
        <w:rPr>
          <w:rFonts w:ascii="Cambria" w:hAnsi="Cambria"/>
          <w:sz w:val="20"/>
          <w:szCs w:val="20"/>
        </w:rPr>
        <w:t xml:space="preserve">Chapman, J.R., and </w:t>
      </w:r>
      <w:proofErr w:type="spellStart"/>
      <w:r w:rsidR="007A2F90" w:rsidRPr="007A2F90">
        <w:rPr>
          <w:rFonts w:ascii="Cambria" w:hAnsi="Cambria"/>
          <w:sz w:val="20"/>
          <w:szCs w:val="20"/>
        </w:rPr>
        <w:t>Waldenström</w:t>
      </w:r>
      <w:proofErr w:type="spellEnd"/>
      <w:r w:rsidR="007A2F90" w:rsidRPr="007A2F90">
        <w:rPr>
          <w:rFonts w:ascii="Cambria" w:hAnsi="Cambria"/>
          <w:sz w:val="20"/>
          <w:szCs w:val="20"/>
        </w:rPr>
        <w:t xml:space="preserve">, J. (2015). With Reference to Reference Genes: A Systematic Review of Endogenous Controls in Gene Expression Studies. </w:t>
      </w:r>
      <w:proofErr w:type="spellStart"/>
      <w:r w:rsidR="007A2F90" w:rsidRPr="007A2F90">
        <w:rPr>
          <w:rFonts w:ascii="Cambria" w:hAnsi="Cambria"/>
          <w:sz w:val="20"/>
          <w:szCs w:val="20"/>
        </w:rPr>
        <w:t>PLoS</w:t>
      </w:r>
      <w:proofErr w:type="spellEnd"/>
      <w:r w:rsidR="007A2F90" w:rsidRPr="007A2F90">
        <w:rPr>
          <w:rFonts w:ascii="Cambria" w:hAnsi="Cambria"/>
          <w:sz w:val="20"/>
          <w:szCs w:val="20"/>
        </w:rPr>
        <w:t xml:space="preserve"> ONE 10, e0141853.</w:t>
      </w:r>
    </w:p>
    <w:p w:rsidR="007A2F90" w:rsidRPr="00B82268" w:rsidRDefault="00B82268" w:rsidP="00B82268">
      <w:pPr>
        <w:spacing w:after="0" w:line="240" w:lineRule="auto"/>
        <w:ind w:left="425" w:hanging="425"/>
        <w:rPr>
          <w:rFonts w:ascii="Cambria" w:hAnsi="Cambria" w:cs="Times New Roman"/>
          <w:sz w:val="20"/>
          <w:szCs w:val="20"/>
        </w:rPr>
      </w:pPr>
      <w:r w:rsidRPr="00B82268">
        <w:rPr>
          <w:rFonts w:ascii="Cambria" w:hAnsi="Cambria"/>
          <w:sz w:val="20"/>
          <w:szCs w:val="20"/>
        </w:rPr>
        <w:t xml:space="preserve">[66] </w:t>
      </w:r>
      <w:r w:rsidRPr="00B82268">
        <w:rPr>
          <w:rFonts w:ascii="Cambria" w:hAnsi="Cambria" w:cs="Times New Roman"/>
          <w:sz w:val="20"/>
          <w:szCs w:val="20"/>
        </w:rPr>
        <w:t xml:space="preserve">Silver, N., Best, S., Jiang, J., Thein, S.L. (2006). Selection of housekeeping genes for gene expression studies in human reticulocytes using real-time PCR. </w:t>
      </w:r>
      <w:r w:rsidR="005F54A9">
        <w:rPr>
          <w:rFonts w:ascii="Cambria" w:hAnsi="Cambria" w:cs="Times New Roman"/>
          <w:sz w:val="20"/>
          <w:szCs w:val="20"/>
        </w:rPr>
        <w:t xml:space="preserve">BMC Molecular Biology 7, </w:t>
      </w:r>
      <w:r w:rsidRPr="00B82268">
        <w:rPr>
          <w:rFonts w:ascii="Cambria" w:hAnsi="Cambria" w:cs="Times New Roman"/>
          <w:sz w:val="20"/>
          <w:szCs w:val="20"/>
        </w:rPr>
        <w:t>33.</w:t>
      </w:r>
    </w:p>
    <w:p w:rsidR="00B82268" w:rsidRDefault="00B82268" w:rsidP="00B82268">
      <w:pPr>
        <w:spacing w:after="0" w:line="240" w:lineRule="auto"/>
        <w:ind w:left="425" w:hanging="425"/>
        <w:jc w:val="both"/>
        <w:rPr>
          <w:rFonts w:ascii="Cambria" w:hAnsi="Cambria" w:cs="Times New Roman"/>
          <w:sz w:val="20"/>
          <w:szCs w:val="20"/>
        </w:rPr>
      </w:pPr>
      <w:r w:rsidRPr="00B82268">
        <w:rPr>
          <w:rFonts w:ascii="Cambria" w:hAnsi="Cambria" w:cs="Times New Roman"/>
          <w:sz w:val="20"/>
          <w:szCs w:val="20"/>
        </w:rPr>
        <w:t>[67] Al-Bader, M.D., Al-</w:t>
      </w:r>
      <w:proofErr w:type="spellStart"/>
      <w:r w:rsidRPr="00B82268">
        <w:rPr>
          <w:rFonts w:ascii="Cambria" w:hAnsi="Cambria" w:cs="Times New Roman"/>
          <w:sz w:val="20"/>
          <w:szCs w:val="20"/>
        </w:rPr>
        <w:t>Sarraf</w:t>
      </w:r>
      <w:proofErr w:type="spellEnd"/>
      <w:r w:rsidRPr="00B82268">
        <w:rPr>
          <w:rFonts w:ascii="Cambria" w:hAnsi="Cambria" w:cs="Times New Roman"/>
          <w:sz w:val="20"/>
          <w:szCs w:val="20"/>
        </w:rPr>
        <w:t>, H.A. (2005). Housekeeping gene expression during fetal brain development in the rat—validation by semi-quantitative RT-PCR. Devel</w:t>
      </w:r>
      <w:r w:rsidR="005F54A9">
        <w:rPr>
          <w:rFonts w:ascii="Cambria" w:hAnsi="Cambria" w:cs="Times New Roman"/>
          <w:sz w:val="20"/>
          <w:szCs w:val="20"/>
        </w:rPr>
        <w:t xml:space="preserve">opmental Brain Research 156, </w:t>
      </w:r>
      <w:r w:rsidRPr="00B82268">
        <w:rPr>
          <w:rFonts w:ascii="Cambria" w:hAnsi="Cambria" w:cs="Times New Roman"/>
          <w:sz w:val="20"/>
          <w:szCs w:val="20"/>
        </w:rPr>
        <w:t>38-45.</w:t>
      </w:r>
    </w:p>
    <w:p w:rsidR="00FB327E" w:rsidRDefault="005F54A9" w:rsidP="00FB327E">
      <w:pPr>
        <w:spacing w:after="0" w:line="240" w:lineRule="auto"/>
        <w:ind w:left="425" w:hanging="425"/>
        <w:jc w:val="both"/>
        <w:rPr>
          <w:rFonts w:ascii="Cambria" w:hAnsi="Cambria" w:cs="Times New Roman"/>
          <w:sz w:val="20"/>
          <w:szCs w:val="20"/>
        </w:rPr>
      </w:pPr>
      <w:r>
        <w:rPr>
          <w:rFonts w:ascii="Cambria" w:hAnsi="Cambria" w:cs="Times New Roman"/>
          <w:sz w:val="20"/>
          <w:szCs w:val="20"/>
        </w:rPr>
        <w:t xml:space="preserve">[68] </w:t>
      </w:r>
      <w:r w:rsidRPr="005F54A9">
        <w:rPr>
          <w:rFonts w:ascii="Cambria" w:hAnsi="Cambria" w:cs="Times New Roman"/>
          <w:sz w:val="20"/>
          <w:szCs w:val="20"/>
        </w:rPr>
        <w:t>Andersen, C. L.</w:t>
      </w:r>
      <w:r>
        <w:rPr>
          <w:rFonts w:ascii="Cambria" w:hAnsi="Cambria" w:cs="Times New Roman"/>
          <w:sz w:val="20"/>
          <w:szCs w:val="20"/>
        </w:rPr>
        <w:t>,</w:t>
      </w:r>
      <w:r w:rsidRPr="005F54A9">
        <w:rPr>
          <w:rFonts w:ascii="Cambria" w:hAnsi="Cambria" w:cs="Times New Roman"/>
          <w:sz w:val="20"/>
          <w:szCs w:val="20"/>
        </w:rPr>
        <w:t xml:space="preserve"> Jensen, J. L.</w:t>
      </w:r>
      <w:r>
        <w:rPr>
          <w:rFonts w:ascii="Cambria" w:hAnsi="Cambria" w:cs="Times New Roman"/>
          <w:sz w:val="20"/>
          <w:szCs w:val="20"/>
        </w:rPr>
        <w:t>,</w:t>
      </w:r>
      <w:r w:rsidRPr="005F54A9">
        <w:rPr>
          <w:rFonts w:ascii="Cambria" w:hAnsi="Cambria" w:cs="Times New Roman"/>
          <w:sz w:val="20"/>
          <w:szCs w:val="20"/>
        </w:rPr>
        <w:t xml:space="preserve"> and </w:t>
      </w:r>
      <w:proofErr w:type="spellStart"/>
      <w:r w:rsidRPr="005F54A9">
        <w:rPr>
          <w:rFonts w:ascii="Cambria" w:hAnsi="Cambria" w:cs="Times New Roman"/>
          <w:sz w:val="20"/>
          <w:szCs w:val="20"/>
        </w:rPr>
        <w:t>Ørntoft</w:t>
      </w:r>
      <w:proofErr w:type="spellEnd"/>
      <w:r w:rsidRPr="005F54A9">
        <w:rPr>
          <w:rFonts w:ascii="Cambria" w:hAnsi="Cambria" w:cs="Times New Roman"/>
          <w:sz w:val="20"/>
          <w:szCs w:val="20"/>
        </w:rPr>
        <w:t xml:space="preserve">, T. F. </w:t>
      </w:r>
      <w:r>
        <w:rPr>
          <w:rFonts w:ascii="Cambria" w:hAnsi="Cambria" w:cs="Times New Roman"/>
          <w:sz w:val="20"/>
          <w:szCs w:val="20"/>
        </w:rPr>
        <w:t xml:space="preserve">(2004). Normalization </w:t>
      </w:r>
      <w:r w:rsidRPr="005F54A9">
        <w:rPr>
          <w:rFonts w:ascii="Cambria" w:hAnsi="Cambria" w:cs="Times New Roman"/>
          <w:sz w:val="20"/>
          <w:szCs w:val="20"/>
        </w:rPr>
        <w:t>of real-time quantitative re</w:t>
      </w:r>
      <w:r>
        <w:rPr>
          <w:rFonts w:ascii="Cambria" w:hAnsi="Cambria" w:cs="Times New Roman"/>
          <w:sz w:val="20"/>
          <w:szCs w:val="20"/>
        </w:rPr>
        <w:t xml:space="preserve">verse transcription-PCR data: a </w:t>
      </w:r>
      <w:r w:rsidRPr="005F54A9">
        <w:rPr>
          <w:rFonts w:ascii="Cambria" w:hAnsi="Cambria" w:cs="Times New Roman"/>
          <w:sz w:val="20"/>
          <w:szCs w:val="20"/>
        </w:rPr>
        <w:t>model-based variance estima</w:t>
      </w:r>
      <w:r>
        <w:rPr>
          <w:rFonts w:ascii="Cambria" w:hAnsi="Cambria" w:cs="Times New Roman"/>
          <w:sz w:val="20"/>
          <w:szCs w:val="20"/>
        </w:rPr>
        <w:t xml:space="preserve">tion approach to identify genes </w:t>
      </w:r>
      <w:r w:rsidRPr="005F54A9">
        <w:rPr>
          <w:rFonts w:ascii="Cambria" w:hAnsi="Cambria" w:cs="Times New Roman"/>
          <w:sz w:val="20"/>
          <w:szCs w:val="20"/>
        </w:rPr>
        <w:t>suited for normalization, appl</w:t>
      </w:r>
      <w:r>
        <w:rPr>
          <w:rFonts w:ascii="Cambria" w:hAnsi="Cambria" w:cs="Times New Roman"/>
          <w:sz w:val="20"/>
          <w:szCs w:val="20"/>
        </w:rPr>
        <w:t xml:space="preserve">ied to bladder and colon cancer </w:t>
      </w:r>
      <w:r w:rsidRPr="005F54A9">
        <w:rPr>
          <w:rFonts w:ascii="Cambria" w:hAnsi="Cambria" w:cs="Times New Roman"/>
          <w:sz w:val="20"/>
          <w:szCs w:val="20"/>
        </w:rPr>
        <w:t>da</w:t>
      </w:r>
      <w:r>
        <w:rPr>
          <w:rFonts w:ascii="Cambria" w:hAnsi="Cambria" w:cs="Times New Roman"/>
          <w:sz w:val="20"/>
          <w:szCs w:val="20"/>
        </w:rPr>
        <w:t>ta sets,” Cancer Research 64,</w:t>
      </w:r>
      <w:r w:rsidRPr="005F54A9">
        <w:rPr>
          <w:rFonts w:ascii="Cambria" w:hAnsi="Cambria" w:cs="Times New Roman"/>
          <w:sz w:val="20"/>
          <w:szCs w:val="20"/>
        </w:rPr>
        <w:t xml:space="preserve"> 5245–5250</w:t>
      </w:r>
      <w:r>
        <w:rPr>
          <w:rFonts w:ascii="Cambria" w:hAnsi="Cambria" w:cs="Times New Roman"/>
          <w:sz w:val="20"/>
          <w:szCs w:val="20"/>
        </w:rPr>
        <w:t>.</w:t>
      </w:r>
    </w:p>
    <w:p w:rsidR="00FB327E" w:rsidRDefault="00FB327E" w:rsidP="00FB327E">
      <w:pPr>
        <w:spacing w:after="0" w:line="240" w:lineRule="auto"/>
        <w:ind w:left="425" w:hanging="425"/>
        <w:jc w:val="both"/>
        <w:rPr>
          <w:rFonts w:ascii="Cambria" w:hAnsi="Cambria" w:cs="Times New Roman"/>
          <w:sz w:val="20"/>
          <w:szCs w:val="20"/>
        </w:rPr>
      </w:pPr>
      <w:r>
        <w:rPr>
          <w:rFonts w:ascii="Cambria" w:hAnsi="Cambria" w:cs="Times New Roman"/>
          <w:sz w:val="20"/>
          <w:szCs w:val="20"/>
        </w:rPr>
        <w:t>[69]</w:t>
      </w:r>
      <w:r w:rsidRPr="00FB327E">
        <w:rPr>
          <w:rFonts w:ascii="Cambria" w:hAnsi="Cambria" w:cs="Times New Roman"/>
          <w:sz w:val="20"/>
          <w:szCs w:val="20"/>
        </w:rPr>
        <w:t xml:space="preserve"> Williams, D. R</w:t>
      </w:r>
      <w:r>
        <w:rPr>
          <w:rFonts w:ascii="Cambria" w:hAnsi="Cambria" w:cs="Times New Roman"/>
          <w:sz w:val="20"/>
          <w:szCs w:val="20"/>
        </w:rPr>
        <w:t>.,</w:t>
      </w:r>
      <w:r w:rsidRPr="00FB327E">
        <w:rPr>
          <w:rFonts w:ascii="Cambria" w:hAnsi="Cambria" w:cs="Times New Roman"/>
          <w:sz w:val="20"/>
          <w:szCs w:val="20"/>
        </w:rPr>
        <w:t xml:space="preserve"> Epperson, L. E.</w:t>
      </w:r>
      <w:r>
        <w:rPr>
          <w:rFonts w:ascii="Cambria" w:hAnsi="Cambria" w:cs="Times New Roman"/>
          <w:sz w:val="20"/>
          <w:szCs w:val="20"/>
        </w:rPr>
        <w:t>,</w:t>
      </w:r>
      <w:r w:rsidRPr="00FB327E">
        <w:rPr>
          <w:rFonts w:ascii="Cambria" w:hAnsi="Cambria" w:cs="Times New Roman"/>
          <w:sz w:val="20"/>
          <w:szCs w:val="20"/>
        </w:rPr>
        <w:t xml:space="preserve"> Li </w:t>
      </w:r>
      <w:r>
        <w:rPr>
          <w:rFonts w:ascii="Cambria" w:hAnsi="Cambria" w:cs="Times New Roman"/>
          <w:sz w:val="20"/>
          <w:szCs w:val="20"/>
        </w:rPr>
        <w:t xml:space="preserve">W. et al. (2005). Seasonally </w:t>
      </w:r>
      <w:r w:rsidRPr="00FB327E">
        <w:rPr>
          <w:rFonts w:ascii="Cambria" w:hAnsi="Cambria" w:cs="Times New Roman"/>
          <w:sz w:val="20"/>
          <w:szCs w:val="20"/>
        </w:rPr>
        <w:t>hibernating phenotype assessed</w:t>
      </w:r>
      <w:r>
        <w:rPr>
          <w:rFonts w:ascii="Cambria" w:hAnsi="Cambria" w:cs="Times New Roman"/>
          <w:sz w:val="20"/>
          <w:szCs w:val="20"/>
        </w:rPr>
        <w:t xml:space="preserve"> through transcript screening. Physiological Genomics 24, 13–22.</w:t>
      </w:r>
    </w:p>
    <w:p w:rsidR="00B97E3A" w:rsidRDefault="00B97E3A" w:rsidP="00B97E3A">
      <w:pPr>
        <w:spacing w:after="0" w:line="240" w:lineRule="auto"/>
        <w:ind w:left="425" w:hanging="425"/>
        <w:rPr>
          <w:rFonts w:ascii="Cambria" w:hAnsi="Cambria"/>
          <w:sz w:val="20"/>
          <w:szCs w:val="20"/>
        </w:rPr>
      </w:pPr>
      <w:r>
        <w:rPr>
          <w:rFonts w:ascii="Cambria" w:hAnsi="Cambria" w:cs="Times New Roman"/>
          <w:sz w:val="20"/>
          <w:szCs w:val="20"/>
        </w:rPr>
        <w:t xml:space="preserve">[70] </w:t>
      </w:r>
      <w:proofErr w:type="spellStart"/>
      <w:r w:rsidRPr="00B97E3A">
        <w:rPr>
          <w:rFonts w:ascii="Cambria" w:hAnsi="Cambria"/>
          <w:sz w:val="20"/>
          <w:szCs w:val="20"/>
        </w:rPr>
        <w:t>Vandesompele</w:t>
      </w:r>
      <w:proofErr w:type="spellEnd"/>
      <w:r w:rsidRPr="00B97E3A">
        <w:rPr>
          <w:rFonts w:ascii="Cambria" w:hAnsi="Cambria"/>
          <w:sz w:val="20"/>
          <w:szCs w:val="20"/>
        </w:rPr>
        <w:t xml:space="preserve">, J., De </w:t>
      </w:r>
      <w:proofErr w:type="spellStart"/>
      <w:r w:rsidRPr="00B97E3A">
        <w:rPr>
          <w:rFonts w:ascii="Cambria" w:hAnsi="Cambria"/>
          <w:sz w:val="20"/>
          <w:szCs w:val="20"/>
        </w:rPr>
        <w:t>Preter</w:t>
      </w:r>
      <w:proofErr w:type="spellEnd"/>
      <w:r w:rsidRPr="00B97E3A">
        <w:rPr>
          <w:rFonts w:ascii="Cambria" w:hAnsi="Cambria"/>
          <w:sz w:val="20"/>
          <w:szCs w:val="20"/>
        </w:rPr>
        <w:t xml:space="preserve">, K., </w:t>
      </w:r>
      <w:proofErr w:type="spellStart"/>
      <w:r w:rsidRPr="00B97E3A">
        <w:rPr>
          <w:rFonts w:ascii="Cambria" w:hAnsi="Cambria"/>
          <w:sz w:val="20"/>
          <w:szCs w:val="20"/>
        </w:rPr>
        <w:t>Pattyn</w:t>
      </w:r>
      <w:proofErr w:type="spellEnd"/>
      <w:r w:rsidRPr="00B97E3A">
        <w:rPr>
          <w:rFonts w:ascii="Cambria" w:hAnsi="Cambria"/>
          <w:sz w:val="20"/>
          <w:szCs w:val="20"/>
        </w:rPr>
        <w:t xml:space="preserve">, F., </w:t>
      </w:r>
      <w:proofErr w:type="spellStart"/>
      <w:r w:rsidRPr="00B97E3A">
        <w:rPr>
          <w:rFonts w:ascii="Cambria" w:hAnsi="Cambria"/>
          <w:sz w:val="20"/>
          <w:szCs w:val="20"/>
        </w:rPr>
        <w:t>Poppe</w:t>
      </w:r>
      <w:proofErr w:type="spellEnd"/>
      <w:r w:rsidRPr="00B97E3A">
        <w:rPr>
          <w:rFonts w:ascii="Cambria" w:hAnsi="Cambria"/>
          <w:sz w:val="20"/>
          <w:szCs w:val="20"/>
        </w:rPr>
        <w:t xml:space="preserve">, B., Van Roy, N., De </w:t>
      </w:r>
      <w:proofErr w:type="spellStart"/>
      <w:r w:rsidRPr="00B97E3A">
        <w:rPr>
          <w:rFonts w:ascii="Cambria" w:hAnsi="Cambria"/>
          <w:sz w:val="20"/>
          <w:szCs w:val="20"/>
        </w:rPr>
        <w:t>Paepe</w:t>
      </w:r>
      <w:proofErr w:type="spellEnd"/>
      <w:r w:rsidRPr="00B97E3A">
        <w:rPr>
          <w:rFonts w:ascii="Cambria" w:hAnsi="Cambria"/>
          <w:sz w:val="20"/>
          <w:szCs w:val="20"/>
        </w:rPr>
        <w:t xml:space="preserve">, A., and </w:t>
      </w:r>
      <w:proofErr w:type="spellStart"/>
      <w:r w:rsidRPr="00B97E3A">
        <w:rPr>
          <w:rFonts w:ascii="Cambria" w:hAnsi="Cambria"/>
          <w:sz w:val="20"/>
          <w:szCs w:val="20"/>
        </w:rPr>
        <w:t>Speleman</w:t>
      </w:r>
      <w:proofErr w:type="spellEnd"/>
      <w:r w:rsidRPr="00B97E3A">
        <w:rPr>
          <w:rFonts w:ascii="Cambria" w:hAnsi="Cambria"/>
          <w:sz w:val="20"/>
          <w:szCs w:val="20"/>
        </w:rPr>
        <w:t>, F. (2002). Accurate normalization of real-time quantitative RT-PCR data by geometric averaging of multiple internal control genes. Genome Biol</w:t>
      </w:r>
      <w:r>
        <w:rPr>
          <w:rFonts w:ascii="Cambria" w:hAnsi="Cambria"/>
          <w:sz w:val="20"/>
          <w:szCs w:val="20"/>
        </w:rPr>
        <w:t>ogy 3, RESEARCH0034.</w:t>
      </w:r>
    </w:p>
    <w:p w:rsidR="00AF234C" w:rsidRDefault="00B97E3A" w:rsidP="00AF234C">
      <w:pPr>
        <w:spacing w:after="0" w:line="240" w:lineRule="auto"/>
        <w:ind w:left="425" w:hanging="425"/>
        <w:rPr>
          <w:rFonts w:ascii="Cambria" w:hAnsi="Cambria"/>
          <w:sz w:val="20"/>
          <w:szCs w:val="20"/>
        </w:rPr>
      </w:pPr>
      <w:r>
        <w:rPr>
          <w:rFonts w:ascii="Cambria" w:hAnsi="Cambria"/>
          <w:sz w:val="20"/>
          <w:szCs w:val="20"/>
        </w:rPr>
        <w:t xml:space="preserve">[71] </w:t>
      </w:r>
      <w:proofErr w:type="spellStart"/>
      <w:r w:rsidRPr="00B97E3A">
        <w:rPr>
          <w:rFonts w:ascii="Cambria" w:hAnsi="Cambria"/>
          <w:sz w:val="20"/>
          <w:szCs w:val="20"/>
        </w:rPr>
        <w:t>Pfaffl</w:t>
      </w:r>
      <w:proofErr w:type="spellEnd"/>
      <w:r w:rsidRPr="00B97E3A">
        <w:rPr>
          <w:rFonts w:ascii="Cambria" w:hAnsi="Cambria"/>
          <w:sz w:val="20"/>
          <w:szCs w:val="20"/>
        </w:rPr>
        <w:t xml:space="preserve">, M.W., </w:t>
      </w:r>
      <w:proofErr w:type="spellStart"/>
      <w:r w:rsidRPr="00B97E3A">
        <w:rPr>
          <w:rFonts w:ascii="Cambria" w:hAnsi="Cambria"/>
          <w:sz w:val="20"/>
          <w:szCs w:val="20"/>
        </w:rPr>
        <w:t>Tichopad</w:t>
      </w:r>
      <w:proofErr w:type="spellEnd"/>
      <w:r w:rsidRPr="00B97E3A">
        <w:rPr>
          <w:rFonts w:ascii="Cambria" w:hAnsi="Cambria"/>
          <w:sz w:val="20"/>
          <w:szCs w:val="20"/>
        </w:rPr>
        <w:t xml:space="preserve">, A., </w:t>
      </w:r>
      <w:proofErr w:type="spellStart"/>
      <w:r w:rsidRPr="00B97E3A">
        <w:rPr>
          <w:rFonts w:ascii="Cambria" w:hAnsi="Cambria"/>
          <w:sz w:val="20"/>
          <w:szCs w:val="20"/>
        </w:rPr>
        <w:t>Prgomet</w:t>
      </w:r>
      <w:proofErr w:type="spellEnd"/>
      <w:r w:rsidRPr="00B97E3A">
        <w:rPr>
          <w:rFonts w:ascii="Cambria" w:hAnsi="Cambria"/>
          <w:sz w:val="20"/>
          <w:szCs w:val="20"/>
        </w:rPr>
        <w:t xml:space="preserve">, C., and </w:t>
      </w:r>
      <w:proofErr w:type="spellStart"/>
      <w:r w:rsidRPr="00B97E3A">
        <w:rPr>
          <w:rFonts w:ascii="Cambria" w:hAnsi="Cambria"/>
          <w:sz w:val="20"/>
          <w:szCs w:val="20"/>
        </w:rPr>
        <w:t>Neuvians</w:t>
      </w:r>
      <w:proofErr w:type="spellEnd"/>
      <w:r w:rsidRPr="00B97E3A">
        <w:rPr>
          <w:rFonts w:ascii="Cambria" w:hAnsi="Cambria"/>
          <w:sz w:val="20"/>
          <w:szCs w:val="20"/>
        </w:rPr>
        <w:t xml:space="preserve">, T.P. (2004). Determination of stable housekeeping genes, differentially regulated target genes and sample integrity: </w:t>
      </w:r>
      <w:proofErr w:type="spellStart"/>
      <w:r w:rsidRPr="00B97E3A">
        <w:rPr>
          <w:rFonts w:ascii="Cambria" w:hAnsi="Cambria"/>
          <w:sz w:val="20"/>
          <w:szCs w:val="20"/>
        </w:rPr>
        <w:t>BestKeeper</w:t>
      </w:r>
      <w:proofErr w:type="spellEnd"/>
      <w:r w:rsidRPr="00B97E3A">
        <w:rPr>
          <w:rFonts w:ascii="Cambria" w:hAnsi="Cambria"/>
          <w:sz w:val="20"/>
          <w:szCs w:val="20"/>
        </w:rPr>
        <w:t>--Excel-based tool using pai</w:t>
      </w:r>
      <w:r>
        <w:rPr>
          <w:rFonts w:ascii="Cambria" w:hAnsi="Cambria"/>
          <w:sz w:val="20"/>
          <w:szCs w:val="20"/>
        </w:rPr>
        <w:t>r-wise correlations. Biotechnology</w:t>
      </w:r>
      <w:r w:rsidRPr="00B97E3A">
        <w:rPr>
          <w:rFonts w:ascii="Cambria" w:hAnsi="Cambria"/>
          <w:sz w:val="20"/>
          <w:szCs w:val="20"/>
        </w:rPr>
        <w:t xml:space="preserve"> Le</w:t>
      </w:r>
      <w:r>
        <w:rPr>
          <w:rFonts w:ascii="Cambria" w:hAnsi="Cambria"/>
          <w:sz w:val="20"/>
          <w:szCs w:val="20"/>
        </w:rPr>
        <w:t>tters</w:t>
      </w:r>
      <w:r w:rsidRPr="00B97E3A">
        <w:rPr>
          <w:rFonts w:ascii="Cambria" w:hAnsi="Cambria"/>
          <w:sz w:val="20"/>
          <w:szCs w:val="20"/>
        </w:rPr>
        <w:t xml:space="preserve"> 26, 509–515.</w:t>
      </w:r>
    </w:p>
    <w:p w:rsidR="00AF234C" w:rsidRDefault="00AF234C" w:rsidP="00AF234C">
      <w:pPr>
        <w:spacing w:after="0" w:line="240" w:lineRule="auto"/>
        <w:ind w:left="425" w:hanging="425"/>
        <w:rPr>
          <w:rFonts w:ascii="Cambria" w:hAnsi="Cambria"/>
          <w:sz w:val="20"/>
          <w:szCs w:val="20"/>
        </w:rPr>
      </w:pPr>
      <w:r>
        <w:rPr>
          <w:rFonts w:ascii="Cambria" w:hAnsi="Cambria"/>
          <w:sz w:val="20"/>
          <w:szCs w:val="20"/>
        </w:rPr>
        <w:t xml:space="preserve">[72] </w:t>
      </w:r>
      <w:proofErr w:type="spellStart"/>
      <w:r w:rsidRPr="00AF234C">
        <w:rPr>
          <w:rFonts w:ascii="Cambria" w:hAnsi="Cambria"/>
          <w:sz w:val="20"/>
          <w:szCs w:val="20"/>
        </w:rPr>
        <w:t>Klie</w:t>
      </w:r>
      <w:proofErr w:type="spellEnd"/>
      <w:r w:rsidRPr="00AF234C">
        <w:rPr>
          <w:rFonts w:ascii="Cambria" w:hAnsi="Cambria"/>
          <w:sz w:val="20"/>
          <w:szCs w:val="20"/>
        </w:rPr>
        <w:t xml:space="preserve">, M., and </w:t>
      </w:r>
      <w:proofErr w:type="spellStart"/>
      <w:r w:rsidRPr="00AF234C">
        <w:rPr>
          <w:rFonts w:ascii="Cambria" w:hAnsi="Cambria"/>
          <w:sz w:val="20"/>
          <w:szCs w:val="20"/>
        </w:rPr>
        <w:t>Debener</w:t>
      </w:r>
      <w:proofErr w:type="spellEnd"/>
      <w:r w:rsidRPr="00AF234C">
        <w:rPr>
          <w:rFonts w:ascii="Cambria" w:hAnsi="Cambria"/>
          <w:sz w:val="20"/>
          <w:szCs w:val="20"/>
        </w:rPr>
        <w:t xml:space="preserve">, T. (2011). Identification of superior reference genes for data </w:t>
      </w:r>
      <w:proofErr w:type="spellStart"/>
      <w:r w:rsidRPr="00AF234C">
        <w:rPr>
          <w:rFonts w:ascii="Cambria" w:hAnsi="Cambria"/>
          <w:sz w:val="20"/>
          <w:szCs w:val="20"/>
        </w:rPr>
        <w:t>normalisation</w:t>
      </w:r>
      <w:proofErr w:type="spellEnd"/>
      <w:r w:rsidRPr="00AF234C">
        <w:rPr>
          <w:rFonts w:ascii="Cambria" w:hAnsi="Cambria"/>
          <w:sz w:val="20"/>
          <w:szCs w:val="20"/>
        </w:rPr>
        <w:t xml:space="preserve"> of expression studies via quantitative PCR in hybrid roses (Rosa </w:t>
      </w:r>
      <w:proofErr w:type="spellStart"/>
      <w:r w:rsidRPr="00AF234C">
        <w:rPr>
          <w:rFonts w:ascii="Cambria" w:hAnsi="Cambria"/>
          <w:sz w:val="20"/>
          <w:szCs w:val="20"/>
        </w:rPr>
        <w:t>hybrida</w:t>
      </w:r>
      <w:proofErr w:type="spellEnd"/>
      <w:r w:rsidRPr="00AF234C">
        <w:rPr>
          <w:rFonts w:ascii="Cambria" w:hAnsi="Cambria"/>
          <w:sz w:val="20"/>
          <w:szCs w:val="20"/>
        </w:rPr>
        <w:t>). BMC Res</w:t>
      </w:r>
      <w:r w:rsidR="00456FD2">
        <w:rPr>
          <w:rFonts w:ascii="Cambria" w:hAnsi="Cambria"/>
          <w:sz w:val="20"/>
          <w:szCs w:val="20"/>
        </w:rPr>
        <w:t>earch</w:t>
      </w:r>
      <w:r w:rsidRPr="00AF234C">
        <w:rPr>
          <w:rFonts w:ascii="Cambria" w:hAnsi="Cambria"/>
          <w:sz w:val="20"/>
          <w:szCs w:val="20"/>
        </w:rPr>
        <w:t xml:space="preserve"> Notes 4, 518.</w:t>
      </w:r>
    </w:p>
    <w:p w:rsidR="00615D3A" w:rsidRDefault="00615D3A" w:rsidP="00AF234C">
      <w:pPr>
        <w:spacing w:after="0" w:line="240" w:lineRule="auto"/>
        <w:ind w:left="425" w:hanging="425"/>
        <w:rPr>
          <w:rFonts w:ascii="Cambria" w:hAnsi="Cambria"/>
          <w:sz w:val="20"/>
          <w:szCs w:val="20"/>
        </w:rPr>
      </w:pPr>
      <w:r>
        <w:rPr>
          <w:rFonts w:ascii="Cambria" w:hAnsi="Cambria"/>
          <w:sz w:val="20"/>
          <w:szCs w:val="20"/>
        </w:rPr>
        <w:t xml:space="preserve">[73] </w:t>
      </w:r>
      <w:r w:rsidRPr="00615D3A">
        <w:rPr>
          <w:rFonts w:ascii="Cambria" w:hAnsi="Cambria"/>
          <w:sz w:val="20"/>
          <w:szCs w:val="20"/>
        </w:rPr>
        <w:t>Ling, M</w:t>
      </w:r>
      <w:r>
        <w:rPr>
          <w:rFonts w:ascii="Cambria" w:hAnsi="Cambria"/>
          <w:sz w:val="20"/>
          <w:szCs w:val="20"/>
        </w:rPr>
        <w:t xml:space="preserve">. </w:t>
      </w:r>
      <w:r w:rsidRPr="00615D3A">
        <w:rPr>
          <w:rFonts w:ascii="Cambria" w:hAnsi="Cambria"/>
          <w:sz w:val="20"/>
          <w:szCs w:val="20"/>
        </w:rPr>
        <w:t>H</w:t>
      </w:r>
      <w:r>
        <w:rPr>
          <w:rFonts w:ascii="Cambria" w:hAnsi="Cambria"/>
          <w:sz w:val="20"/>
          <w:szCs w:val="20"/>
        </w:rPr>
        <w:t xml:space="preserve">. </w:t>
      </w:r>
      <w:r w:rsidRPr="00615D3A">
        <w:rPr>
          <w:rFonts w:ascii="Cambria" w:hAnsi="Cambria"/>
          <w:sz w:val="20"/>
          <w:szCs w:val="20"/>
        </w:rPr>
        <w:t>T</w:t>
      </w:r>
      <w:r>
        <w:rPr>
          <w:rFonts w:ascii="Cambria" w:hAnsi="Cambria"/>
          <w:sz w:val="20"/>
          <w:szCs w:val="20"/>
        </w:rPr>
        <w:t>.</w:t>
      </w:r>
      <w:r w:rsidRPr="00615D3A">
        <w:rPr>
          <w:rFonts w:ascii="Cambria" w:hAnsi="Cambria"/>
          <w:sz w:val="20"/>
          <w:szCs w:val="20"/>
        </w:rPr>
        <w:t>, Ban, Y</w:t>
      </w:r>
      <w:r>
        <w:rPr>
          <w:rFonts w:ascii="Cambria" w:hAnsi="Cambria"/>
          <w:sz w:val="20"/>
          <w:szCs w:val="20"/>
        </w:rPr>
        <w:t>.</w:t>
      </w:r>
      <w:r w:rsidRPr="00615D3A">
        <w:rPr>
          <w:rFonts w:ascii="Cambria" w:hAnsi="Cambria"/>
          <w:sz w:val="20"/>
          <w:szCs w:val="20"/>
        </w:rPr>
        <w:t>, Wen, H</w:t>
      </w:r>
      <w:r>
        <w:rPr>
          <w:rFonts w:ascii="Cambria" w:hAnsi="Cambria"/>
          <w:sz w:val="20"/>
          <w:szCs w:val="20"/>
        </w:rPr>
        <w:t>.</w:t>
      </w:r>
      <w:r w:rsidRPr="00615D3A">
        <w:rPr>
          <w:rFonts w:ascii="Cambria" w:hAnsi="Cambria"/>
          <w:sz w:val="20"/>
          <w:szCs w:val="20"/>
        </w:rPr>
        <w:t>, Wang, S</w:t>
      </w:r>
      <w:r>
        <w:rPr>
          <w:rFonts w:ascii="Cambria" w:hAnsi="Cambria"/>
          <w:sz w:val="20"/>
          <w:szCs w:val="20"/>
        </w:rPr>
        <w:t xml:space="preserve">. </w:t>
      </w:r>
      <w:r w:rsidRPr="00615D3A">
        <w:rPr>
          <w:rFonts w:ascii="Cambria" w:hAnsi="Cambria"/>
          <w:sz w:val="20"/>
          <w:szCs w:val="20"/>
        </w:rPr>
        <w:t>M</w:t>
      </w:r>
      <w:r>
        <w:rPr>
          <w:rFonts w:ascii="Cambria" w:hAnsi="Cambria"/>
          <w:sz w:val="20"/>
          <w:szCs w:val="20"/>
        </w:rPr>
        <w:t>.</w:t>
      </w:r>
      <w:r w:rsidRPr="00615D3A">
        <w:rPr>
          <w:rFonts w:ascii="Cambria" w:hAnsi="Cambria"/>
          <w:sz w:val="20"/>
          <w:szCs w:val="20"/>
        </w:rPr>
        <w:t xml:space="preserve">, </w:t>
      </w:r>
      <w:r>
        <w:rPr>
          <w:rFonts w:ascii="Cambria" w:hAnsi="Cambria"/>
          <w:sz w:val="20"/>
          <w:szCs w:val="20"/>
        </w:rPr>
        <w:t xml:space="preserve">and </w:t>
      </w:r>
      <w:r w:rsidRPr="00615D3A">
        <w:rPr>
          <w:rFonts w:ascii="Cambria" w:hAnsi="Cambria"/>
          <w:sz w:val="20"/>
          <w:szCs w:val="20"/>
        </w:rPr>
        <w:t>Ge, S</w:t>
      </w:r>
      <w:r>
        <w:rPr>
          <w:rFonts w:ascii="Cambria" w:hAnsi="Cambria"/>
          <w:sz w:val="20"/>
          <w:szCs w:val="20"/>
        </w:rPr>
        <w:t xml:space="preserve">. </w:t>
      </w:r>
      <w:r w:rsidRPr="00615D3A">
        <w:rPr>
          <w:rFonts w:ascii="Cambria" w:hAnsi="Cambria"/>
          <w:sz w:val="20"/>
          <w:szCs w:val="20"/>
        </w:rPr>
        <w:t xml:space="preserve">X. </w:t>
      </w:r>
      <w:r>
        <w:rPr>
          <w:rFonts w:ascii="Cambria" w:hAnsi="Cambria"/>
          <w:sz w:val="20"/>
          <w:szCs w:val="20"/>
        </w:rPr>
        <w:t>(</w:t>
      </w:r>
      <w:r w:rsidRPr="00615D3A">
        <w:rPr>
          <w:rFonts w:ascii="Cambria" w:hAnsi="Cambria"/>
          <w:sz w:val="20"/>
          <w:szCs w:val="20"/>
        </w:rPr>
        <w:t>2013</w:t>
      </w:r>
      <w:r>
        <w:rPr>
          <w:rFonts w:ascii="Cambria" w:hAnsi="Cambria"/>
          <w:sz w:val="20"/>
          <w:szCs w:val="20"/>
        </w:rPr>
        <w:t>). Conserved expression of natural antisense transcripts in mammals. BMC Genomics 14,</w:t>
      </w:r>
      <w:r w:rsidRPr="00615D3A">
        <w:rPr>
          <w:rFonts w:ascii="Cambria" w:hAnsi="Cambria"/>
          <w:sz w:val="20"/>
          <w:szCs w:val="20"/>
        </w:rPr>
        <w:t xml:space="preserve"> 243.</w:t>
      </w:r>
    </w:p>
    <w:p w:rsidR="002557A8" w:rsidRDefault="002557A8" w:rsidP="00AF234C">
      <w:pPr>
        <w:spacing w:after="0" w:line="240" w:lineRule="auto"/>
        <w:ind w:left="425" w:hanging="425"/>
        <w:rPr>
          <w:rFonts w:ascii="Cambria" w:hAnsi="Cambria"/>
          <w:sz w:val="20"/>
          <w:szCs w:val="20"/>
        </w:rPr>
      </w:pPr>
      <w:r>
        <w:rPr>
          <w:rFonts w:ascii="Cambria" w:hAnsi="Cambria"/>
          <w:sz w:val="20"/>
          <w:szCs w:val="20"/>
        </w:rPr>
        <w:t xml:space="preserve">[74] </w:t>
      </w:r>
      <w:proofErr w:type="spellStart"/>
      <w:r>
        <w:rPr>
          <w:rFonts w:ascii="Cambria" w:hAnsi="Cambria"/>
          <w:sz w:val="20"/>
          <w:szCs w:val="20"/>
        </w:rPr>
        <w:t>Comeron</w:t>
      </w:r>
      <w:proofErr w:type="spellEnd"/>
      <w:r>
        <w:rPr>
          <w:rFonts w:ascii="Cambria" w:hAnsi="Cambria"/>
          <w:sz w:val="20"/>
          <w:szCs w:val="20"/>
        </w:rPr>
        <w:t xml:space="preserve">, J. M., and </w:t>
      </w:r>
      <w:proofErr w:type="spellStart"/>
      <w:r w:rsidRPr="002557A8">
        <w:rPr>
          <w:rFonts w:ascii="Cambria" w:hAnsi="Cambria"/>
          <w:sz w:val="20"/>
          <w:szCs w:val="20"/>
        </w:rPr>
        <w:t>Aguadé</w:t>
      </w:r>
      <w:proofErr w:type="spellEnd"/>
      <w:r w:rsidRPr="002557A8">
        <w:rPr>
          <w:rFonts w:ascii="Cambria" w:hAnsi="Cambria"/>
          <w:sz w:val="20"/>
          <w:szCs w:val="20"/>
        </w:rPr>
        <w:t>, M. (1998).</w:t>
      </w:r>
      <w:r>
        <w:rPr>
          <w:rFonts w:ascii="Cambria" w:hAnsi="Cambria"/>
          <w:sz w:val="20"/>
          <w:szCs w:val="20"/>
        </w:rPr>
        <w:t xml:space="preserve"> </w:t>
      </w:r>
      <w:r w:rsidRPr="002557A8">
        <w:rPr>
          <w:rFonts w:ascii="Cambria" w:hAnsi="Cambria"/>
          <w:sz w:val="20"/>
          <w:szCs w:val="20"/>
        </w:rPr>
        <w:t>An evaluation of measures of synonymou</w:t>
      </w:r>
      <w:r>
        <w:rPr>
          <w:rFonts w:ascii="Cambria" w:hAnsi="Cambria"/>
          <w:sz w:val="20"/>
          <w:szCs w:val="20"/>
        </w:rPr>
        <w:t>s codon usage bias. Journal of M</w:t>
      </w:r>
      <w:r w:rsidRPr="002557A8">
        <w:rPr>
          <w:rFonts w:ascii="Cambria" w:hAnsi="Cambria"/>
          <w:sz w:val="20"/>
          <w:szCs w:val="20"/>
        </w:rPr>
        <w:t>olec</w:t>
      </w:r>
      <w:r>
        <w:rPr>
          <w:rFonts w:ascii="Cambria" w:hAnsi="Cambria"/>
          <w:sz w:val="20"/>
          <w:szCs w:val="20"/>
        </w:rPr>
        <w:t>ular Evolution 4</w:t>
      </w:r>
      <w:r w:rsidRPr="002557A8">
        <w:rPr>
          <w:rFonts w:ascii="Cambria" w:hAnsi="Cambria"/>
          <w:sz w:val="20"/>
          <w:szCs w:val="20"/>
        </w:rPr>
        <w:t>, 268-274.</w:t>
      </w:r>
    </w:p>
    <w:p w:rsidR="005E1C65" w:rsidRDefault="005E1C65" w:rsidP="00AF234C">
      <w:pPr>
        <w:spacing w:after="0" w:line="240" w:lineRule="auto"/>
        <w:ind w:left="425" w:hanging="425"/>
        <w:rPr>
          <w:rFonts w:ascii="Cambria" w:hAnsi="Cambria"/>
          <w:sz w:val="20"/>
          <w:szCs w:val="20"/>
        </w:rPr>
      </w:pPr>
      <w:r>
        <w:rPr>
          <w:rFonts w:ascii="Cambria" w:hAnsi="Cambria"/>
          <w:sz w:val="20"/>
          <w:szCs w:val="20"/>
        </w:rPr>
        <w:t xml:space="preserve">[75] </w:t>
      </w:r>
      <w:r w:rsidRPr="005E1C65">
        <w:rPr>
          <w:rFonts w:ascii="Cambria" w:hAnsi="Cambria"/>
          <w:sz w:val="20"/>
          <w:szCs w:val="20"/>
        </w:rPr>
        <w:t>Jor</w:t>
      </w:r>
      <w:r>
        <w:rPr>
          <w:rFonts w:ascii="Cambria" w:hAnsi="Cambria"/>
          <w:sz w:val="20"/>
          <w:szCs w:val="20"/>
        </w:rPr>
        <w:t xml:space="preserve">dan, I.K., Marino-Ramirez, L., and </w:t>
      </w:r>
      <w:proofErr w:type="spellStart"/>
      <w:r w:rsidRPr="005E1C65">
        <w:rPr>
          <w:rFonts w:ascii="Cambria" w:hAnsi="Cambria"/>
          <w:sz w:val="20"/>
          <w:szCs w:val="20"/>
        </w:rPr>
        <w:t>Koonin</w:t>
      </w:r>
      <w:proofErr w:type="spellEnd"/>
      <w:r w:rsidRPr="005E1C65">
        <w:rPr>
          <w:rFonts w:ascii="Cambria" w:hAnsi="Cambria"/>
          <w:sz w:val="20"/>
          <w:szCs w:val="20"/>
        </w:rPr>
        <w:t>, E.V. (2005). Evolutionary significance of gene e</w:t>
      </w:r>
      <w:r>
        <w:rPr>
          <w:rFonts w:ascii="Cambria" w:hAnsi="Cambria"/>
          <w:sz w:val="20"/>
          <w:szCs w:val="20"/>
        </w:rPr>
        <w:t>xpression divergence. Gene 345,</w:t>
      </w:r>
      <w:r w:rsidRPr="005E1C65">
        <w:rPr>
          <w:rFonts w:ascii="Cambria" w:hAnsi="Cambria"/>
          <w:sz w:val="20"/>
          <w:szCs w:val="20"/>
        </w:rPr>
        <w:t>119-126.</w:t>
      </w:r>
    </w:p>
    <w:p w:rsidR="00F66824" w:rsidRDefault="00206D36" w:rsidP="00A620A6">
      <w:pPr>
        <w:spacing w:after="0" w:line="240" w:lineRule="auto"/>
        <w:ind w:left="425" w:hanging="425"/>
        <w:rPr>
          <w:rFonts w:ascii="Cambria" w:hAnsi="Cambria"/>
          <w:sz w:val="20"/>
          <w:szCs w:val="20"/>
        </w:rPr>
      </w:pPr>
      <w:r>
        <w:rPr>
          <w:rFonts w:ascii="Cambria" w:hAnsi="Cambria"/>
          <w:sz w:val="20"/>
          <w:szCs w:val="20"/>
        </w:rPr>
        <w:t xml:space="preserve">[76] </w:t>
      </w:r>
      <w:proofErr w:type="spellStart"/>
      <w:r w:rsidRPr="00206D36">
        <w:rPr>
          <w:rFonts w:ascii="Cambria" w:hAnsi="Cambria"/>
          <w:sz w:val="20"/>
          <w:szCs w:val="20"/>
        </w:rPr>
        <w:t>Dobzhansky</w:t>
      </w:r>
      <w:proofErr w:type="spellEnd"/>
      <w:r w:rsidRPr="00206D36">
        <w:rPr>
          <w:rFonts w:ascii="Cambria" w:hAnsi="Cambria"/>
          <w:sz w:val="20"/>
          <w:szCs w:val="20"/>
        </w:rPr>
        <w:t xml:space="preserve">, </w:t>
      </w:r>
      <w:r>
        <w:rPr>
          <w:rFonts w:ascii="Cambria" w:hAnsi="Cambria"/>
          <w:sz w:val="20"/>
          <w:szCs w:val="20"/>
        </w:rPr>
        <w:t xml:space="preserve">T. (1973). </w:t>
      </w:r>
      <w:r w:rsidRPr="00206D36">
        <w:rPr>
          <w:rFonts w:ascii="Cambria" w:hAnsi="Cambria"/>
          <w:sz w:val="20"/>
          <w:szCs w:val="20"/>
        </w:rPr>
        <w:t>Nothing i</w:t>
      </w:r>
      <w:r>
        <w:rPr>
          <w:rFonts w:ascii="Cambria" w:hAnsi="Cambria"/>
          <w:sz w:val="20"/>
          <w:szCs w:val="20"/>
        </w:rPr>
        <w:t xml:space="preserve">n biology makes sense except in the light of evolution. </w:t>
      </w:r>
      <w:r w:rsidRPr="00206D36">
        <w:rPr>
          <w:rFonts w:ascii="Cambria" w:hAnsi="Cambria"/>
          <w:sz w:val="20"/>
          <w:szCs w:val="20"/>
        </w:rPr>
        <w:t>The</w:t>
      </w:r>
      <w:r>
        <w:rPr>
          <w:rFonts w:ascii="Cambria" w:hAnsi="Cambria"/>
          <w:sz w:val="20"/>
          <w:szCs w:val="20"/>
        </w:rPr>
        <w:t xml:space="preserve"> American Biology Teacher </w:t>
      </w:r>
      <w:r w:rsidRPr="00206D36">
        <w:rPr>
          <w:rFonts w:ascii="Cambria" w:hAnsi="Cambria"/>
          <w:sz w:val="20"/>
          <w:szCs w:val="20"/>
        </w:rPr>
        <w:t>35</w:t>
      </w:r>
      <w:r>
        <w:rPr>
          <w:rFonts w:ascii="Cambria" w:hAnsi="Cambria"/>
          <w:sz w:val="20"/>
          <w:szCs w:val="20"/>
        </w:rPr>
        <w:t>,</w:t>
      </w:r>
      <w:r w:rsidRPr="00206D36">
        <w:rPr>
          <w:rFonts w:ascii="Cambria" w:hAnsi="Cambria"/>
          <w:sz w:val="20"/>
          <w:szCs w:val="20"/>
        </w:rPr>
        <w:t xml:space="preserve"> 125-129.</w:t>
      </w:r>
    </w:p>
    <w:p w:rsidR="00764C75" w:rsidRPr="00764C75" w:rsidRDefault="00A620A6" w:rsidP="00764C75">
      <w:pPr>
        <w:spacing w:after="0" w:line="240" w:lineRule="auto"/>
        <w:ind w:left="425" w:hanging="425"/>
        <w:rPr>
          <w:rFonts w:ascii="Cambria" w:hAnsi="Cambria"/>
          <w:sz w:val="20"/>
          <w:szCs w:val="20"/>
        </w:rPr>
      </w:pPr>
      <w:r>
        <w:rPr>
          <w:rFonts w:ascii="Cambria" w:hAnsi="Cambria"/>
          <w:sz w:val="20"/>
          <w:szCs w:val="20"/>
        </w:rPr>
        <w:t xml:space="preserve">[77] </w:t>
      </w:r>
      <w:proofErr w:type="spellStart"/>
      <w:r w:rsidR="00764C75" w:rsidRPr="00764C75">
        <w:rPr>
          <w:rFonts w:ascii="Cambria" w:hAnsi="Cambria"/>
          <w:sz w:val="20"/>
          <w:szCs w:val="20"/>
        </w:rPr>
        <w:t>Travisano</w:t>
      </w:r>
      <w:proofErr w:type="spellEnd"/>
      <w:r w:rsidR="00764C75" w:rsidRPr="00764C75">
        <w:rPr>
          <w:rFonts w:ascii="Cambria" w:hAnsi="Cambria"/>
          <w:sz w:val="20"/>
          <w:szCs w:val="20"/>
        </w:rPr>
        <w:t xml:space="preserve">, M., and </w:t>
      </w:r>
      <w:proofErr w:type="spellStart"/>
      <w:r w:rsidR="00764C75" w:rsidRPr="00764C75">
        <w:rPr>
          <w:rFonts w:ascii="Cambria" w:hAnsi="Cambria"/>
          <w:sz w:val="20"/>
          <w:szCs w:val="20"/>
        </w:rPr>
        <w:t>Lenski</w:t>
      </w:r>
      <w:proofErr w:type="spellEnd"/>
      <w:r w:rsidR="00764C75" w:rsidRPr="00764C75">
        <w:rPr>
          <w:rFonts w:ascii="Cambria" w:hAnsi="Cambria"/>
          <w:sz w:val="20"/>
          <w:szCs w:val="20"/>
        </w:rPr>
        <w:t>, R.E. (1996). Long-term experimental evolution in Escherichia coli. IV. Targets of selection and the specificity of adaptation. Genetics 143, 15–26.</w:t>
      </w:r>
    </w:p>
    <w:p w:rsidR="00764C75" w:rsidRDefault="00A620A6" w:rsidP="00764C75">
      <w:pPr>
        <w:spacing w:after="0" w:line="240" w:lineRule="auto"/>
        <w:ind w:left="425" w:hanging="425"/>
        <w:rPr>
          <w:rFonts w:ascii="Cambria" w:hAnsi="Cambria"/>
          <w:sz w:val="20"/>
          <w:szCs w:val="20"/>
        </w:rPr>
      </w:pPr>
      <w:r>
        <w:rPr>
          <w:rFonts w:ascii="Cambria" w:hAnsi="Cambria"/>
          <w:sz w:val="20"/>
          <w:szCs w:val="20"/>
        </w:rPr>
        <w:t xml:space="preserve">[78] </w:t>
      </w:r>
      <w:proofErr w:type="spellStart"/>
      <w:r w:rsidR="00764C75" w:rsidRPr="00764C75">
        <w:rPr>
          <w:rFonts w:ascii="Cambria" w:hAnsi="Cambria"/>
          <w:sz w:val="20"/>
          <w:szCs w:val="20"/>
        </w:rPr>
        <w:t>Travisano</w:t>
      </w:r>
      <w:proofErr w:type="spellEnd"/>
      <w:r w:rsidR="00764C75" w:rsidRPr="00764C75">
        <w:rPr>
          <w:rFonts w:ascii="Cambria" w:hAnsi="Cambria"/>
          <w:sz w:val="20"/>
          <w:szCs w:val="20"/>
        </w:rPr>
        <w:t>, M. (1997). Long-term experimental evolution in Escherichia coli. VI. Environmental constraints on adaptation and div</w:t>
      </w:r>
      <w:r w:rsidR="00764C75">
        <w:rPr>
          <w:rFonts w:ascii="Cambria" w:hAnsi="Cambria"/>
          <w:sz w:val="20"/>
          <w:szCs w:val="20"/>
        </w:rPr>
        <w:t>ergence. Genetics 146, 471–479.</w:t>
      </w:r>
    </w:p>
    <w:p w:rsidR="00764C75" w:rsidRDefault="00A620A6" w:rsidP="00764C75">
      <w:pPr>
        <w:spacing w:after="0" w:line="240" w:lineRule="auto"/>
        <w:ind w:left="425" w:hanging="425"/>
        <w:rPr>
          <w:rFonts w:ascii="Cambria" w:hAnsi="Cambria"/>
          <w:sz w:val="20"/>
          <w:szCs w:val="20"/>
        </w:rPr>
      </w:pPr>
      <w:r>
        <w:rPr>
          <w:rFonts w:ascii="Cambria" w:hAnsi="Cambria"/>
          <w:sz w:val="20"/>
          <w:szCs w:val="20"/>
        </w:rPr>
        <w:t xml:space="preserve">[79] </w:t>
      </w:r>
      <w:r w:rsidR="00764C75" w:rsidRPr="00764C75">
        <w:rPr>
          <w:rFonts w:ascii="Cambria" w:hAnsi="Cambria"/>
          <w:sz w:val="20"/>
          <w:szCs w:val="20"/>
        </w:rPr>
        <w:t>Cooper, V.S. (2002). Long-term experimental evolution in Escherichia coli. X. Quantifying the fundamental and realized niche. BMC Evol</w:t>
      </w:r>
      <w:r w:rsidR="00764C75">
        <w:rPr>
          <w:rFonts w:ascii="Cambria" w:hAnsi="Cambria"/>
          <w:sz w:val="20"/>
          <w:szCs w:val="20"/>
        </w:rPr>
        <w:t>utionary</w:t>
      </w:r>
      <w:r w:rsidR="00764C75" w:rsidRPr="00764C75">
        <w:rPr>
          <w:rFonts w:ascii="Cambria" w:hAnsi="Cambria"/>
          <w:sz w:val="20"/>
          <w:szCs w:val="20"/>
        </w:rPr>
        <w:t xml:space="preserve"> Biol</w:t>
      </w:r>
      <w:r w:rsidR="00764C75">
        <w:rPr>
          <w:rFonts w:ascii="Cambria" w:hAnsi="Cambria"/>
          <w:sz w:val="20"/>
          <w:szCs w:val="20"/>
        </w:rPr>
        <w:t>ogy</w:t>
      </w:r>
      <w:r w:rsidR="00764C75" w:rsidRPr="00764C75">
        <w:rPr>
          <w:rFonts w:ascii="Cambria" w:hAnsi="Cambria"/>
          <w:sz w:val="20"/>
          <w:szCs w:val="20"/>
        </w:rPr>
        <w:t xml:space="preserve"> 2, 12.</w:t>
      </w:r>
    </w:p>
    <w:p w:rsidR="00764C75" w:rsidRPr="00764C75" w:rsidRDefault="00A620A6" w:rsidP="00764C75">
      <w:pPr>
        <w:spacing w:after="0" w:line="240" w:lineRule="auto"/>
        <w:ind w:left="425" w:hanging="425"/>
        <w:rPr>
          <w:rFonts w:ascii="Cambria" w:hAnsi="Cambria"/>
          <w:sz w:val="20"/>
          <w:szCs w:val="20"/>
        </w:rPr>
      </w:pPr>
      <w:r>
        <w:rPr>
          <w:rFonts w:ascii="Cambria" w:hAnsi="Cambria"/>
          <w:sz w:val="20"/>
          <w:szCs w:val="20"/>
        </w:rPr>
        <w:t xml:space="preserve">[80] </w:t>
      </w:r>
      <w:proofErr w:type="spellStart"/>
      <w:r w:rsidR="00764C75" w:rsidRPr="00764C75">
        <w:rPr>
          <w:rFonts w:ascii="Cambria" w:hAnsi="Cambria"/>
          <w:sz w:val="20"/>
          <w:szCs w:val="20"/>
        </w:rPr>
        <w:t>Crozat</w:t>
      </w:r>
      <w:proofErr w:type="spellEnd"/>
      <w:r w:rsidR="00764C75" w:rsidRPr="00764C75">
        <w:rPr>
          <w:rFonts w:ascii="Cambria" w:hAnsi="Cambria"/>
          <w:sz w:val="20"/>
          <w:szCs w:val="20"/>
        </w:rPr>
        <w:t xml:space="preserve">, E., Philippe, N., </w:t>
      </w:r>
      <w:proofErr w:type="spellStart"/>
      <w:r w:rsidR="00764C75" w:rsidRPr="00764C75">
        <w:rPr>
          <w:rFonts w:ascii="Cambria" w:hAnsi="Cambria"/>
          <w:sz w:val="20"/>
          <w:szCs w:val="20"/>
        </w:rPr>
        <w:t>Lenski</w:t>
      </w:r>
      <w:proofErr w:type="spellEnd"/>
      <w:r w:rsidR="00764C75" w:rsidRPr="00764C75">
        <w:rPr>
          <w:rFonts w:ascii="Cambria" w:hAnsi="Cambria"/>
          <w:sz w:val="20"/>
          <w:szCs w:val="20"/>
        </w:rPr>
        <w:t xml:space="preserve">, R.E., </w:t>
      </w:r>
      <w:proofErr w:type="spellStart"/>
      <w:r w:rsidR="00764C75" w:rsidRPr="00764C75">
        <w:rPr>
          <w:rFonts w:ascii="Cambria" w:hAnsi="Cambria"/>
          <w:sz w:val="20"/>
          <w:szCs w:val="20"/>
        </w:rPr>
        <w:t>Geiselmann</w:t>
      </w:r>
      <w:proofErr w:type="spellEnd"/>
      <w:r w:rsidR="00764C75" w:rsidRPr="00764C75">
        <w:rPr>
          <w:rFonts w:ascii="Cambria" w:hAnsi="Cambria"/>
          <w:sz w:val="20"/>
          <w:szCs w:val="20"/>
        </w:rPr>
        <w:t>, J., and Schneider, D. (2005). Long-term experimental evolution in Escherichia coli. XII. DNA topology as a key target of selection. Genetics 169, 523–532.</w:t>
      </w:r>
    </w:p>
    <w:p w:rsidR="004008A4" w:rsidRPr="004008A4" w:rsidRDefault="005201F8" w:rsidP="004008A4">
      <w:pPr>
        <w:spacing w:after="0" w:line="240" w:lineRule="auto"/>
        <w:ind w:left="425" w:hanging="425"/>
        <w:rPr>
          <w:rFonts w:ascii="Cambria" w:hAnsi="Cambria"/>
          <w:sz w:val="20"/>
          <w:szCs w:val="20"/>
        </w:rPr>
      </w:pPr>
      <w:r>
        <w:rPr>
          <w:rFonts w:ascii="Cambria" w:hAnsi="Cambria"/>
          <w:sz w:val="20"/>
          <w:szCs w:val="20"/>
        </w:rPr>
        <w:t>[81</w:t>
      </w:r>
      <w:r w:rsidR="004008A4">
        <w:rPr>
          <w:rFonts w:ascii="Cambria" w:hAnsi="Cambria"/>
          <w:sz w:val="20"/>
          <w:szCs w:val="20"/>
        </w:rPr>
        <w:t xml:space="preserve">] </w:t>
      </w:r>
      <w:proofErr w:type="spellStart"/>
      <w:r w:rsidR="004008A4" w:rsidRPr="004008A4">
        <w:rPr>
          <w:rFonts w:ascii="Cambria" w:hAnsi="Cambria"/>
          <w:sz w:val="20"/>
          <w:szCs w:val="20"/>
        </w:rPr>
        <w:t>Bibbal</w:t>
      </w:r>
      <w:proofErr w:type="spellEnd"/>
      <w:r w:rsidR="004008A4" w:rsidRPr="004008A4">
        <w:rPr>
          <w:rFonts w:ascii="Cambria" w:hAnsi="Cambria"/>
          <w:sz w:val="20"/>
          <w:szCs w:val="20"/>
        </w:rPr>
        <w:t xml:space="preserve">, </w:t>
      </w:r>
      <w:r w:rsidR="004008A4">
        <w:rPr>
          <w:rFonts w:ascii="Cambria" w:hAnsi="Cambria"/>
          <w:sz w:val="20"/>
          <w:szCs w:val="20"/>
        </w:rPr>
        <w:t xml:space="preserve">D., </w:t>
      </w:r>
      <w:proofErr w:type="spellStart"/>
      <w:r w:rsidR="004008A4" w:rsidRPr="004008A4">
        <w:rPr>
          <w:rFonts w:ascii="Cambria" w:hAnsi="Cambria"/>
          <w:sz w:val="20"/>
          <w:szCs w:val="20"/>
        </w:rPr>
        <w:t>Dupouy</w:t>
      </w:r>
      <w:proofErr w:type="spellEnd"/>
      <w:r w:rsidR="004008A4" w:rsidRPr="004008A4">
        <w:rPr>
          <w:rFonts w:ascii="Cambria" w:hAnsi="Cambria"/>
          <w:sz w:val="20"/>
          <w:szCs w:val="20"/>
        </w:rPr>
        <w:t xml:space="preserve">, </w:t>
      </w:r>
      <w:r w:rsidR="004008A4">
        <w:rPr>
          <w:rFonts w:ascii="Cambria" w:hAnsi="Cambria"/>
          <w:sz w:val="20"/>
          <w:szCs w:val="20"/>
        </w:rPr>
        <w:t xml:space="preserve">V., </w:t>
      </w:r>
      <w:proofErr w:type="spellStart"/>
      <w:r w:rsidR="004008A4">
        <w:rPr>
          <w:rFonts w:ascii="Cambria" w:hAnsi="Cambria"/>
          <w:sz w:val="20"/>
          <w:szCs w:val="20"/>
        </w:rPr>
        <w:t>Prere</w:t>
      </w:r>
      <w:proofErr w:type="spellEnd"/>
      <w:r w:rsidR="004008A4">
        <w:rPr>
          <w:rFonts w:ascii="Cambria" w:hAnsi="Cambria"/>
          <w:sz w:val="20"/>
          <w:szCs w:val="20"/>
        </w:rPr>
        <w:t xml:space="preserve">, M. F., </w:t>
      </w:r>
      <w:proofErr w:type="spellStart"/>
      <w:r w:rsidR="004008A4">
        <w:rPr>
          <w:rFonts w:ascii="Cambria" w:hAnsi="Cambria"/>
          <w:sz w:val="20"/>
          <w:szCs w:val="20"/>
        </w:rPr>
        <w:t>Toutain</w:t>
      </w:r>
      <w:proofErr w:type="spellEnd"/>
      <w:r w:rsidR="004008A4">
        <w:rPr>
          <w:rFonts w:ascii="Cambria" w:hAnsi="Cambria"/>
          <w:sz w:val="20"/>
          <w:szCs w:val="20"/>
        </w:rPr>
        <w:t xml:space="preserve">, P. L., and </w:t>
      </w:r>
      <w:proofErr w:type="spellStart"/>
      <w:r w:rsidR="004008A4" w:rsidRPr="004008A4">
        <w:rPr>
          <w:rFonts w:ascii="Cambria" w:hAnsi="Cambria"/>
          <w:sz w:val="20"/>
          <w:szCs w:val="20"/>
        </w:rPr>
        <w:t>Bousquet-Melou</w:t>
      </w:r>
      <w:proofErr w:type="spellEnd"/>
      <w:r w:rsidR="004008A4" w:rsidRPr="004008A4">
        <w:rPr>
          <w:rFonts w:ascii="Cambria" w:hAnsi="Cambria"/>
          <w:sz w:val="20"/>
          <w:szCs w:val="20"/>
        </w:rPr>
        <w:t xml:space="preserve">, </w:t>
      </w:r>
      <w:r w:rsidR="004008A4">
        <w:rPr>
          <w:rFonts w:ascii="Cambria" w:hAnsi="Cambria"/>
          <w:sz w:val="20"/>
          <w:szCs w:val="20"/>
        </w:rPr>
        <w:t xml:space="preserve">A. (2009). </w:t>
      </w:r>
      <w:r w:rsidR="004008A4" w:rsidRPr="004008A4">
        <w:rPr>
          <w:rFonts w:ascii="Cambria" w:hAnsi="Cambria"/>
          <w:sz w:val="20"/>
          <w:szCs w:val="20"/>
        </w:rPr>
        <w:t>Relatedn</w:t>
      </w:r>
      <w:r w:rsidR="004008A4">
        <w:rPr>
          <w:rFonts w:ascii="Cambria" w:hAnsi="Cambria"/>
          <w:sz w:val="20"/>
          <w:szCs w:val="20"/>
        </w:rPr>
        <w:t xml:space="preserve">ess of </w:t>
      </w:r>
      <w:r w:rsidR="004008A4" w:rsidRPr="005201F8">
        <w:rPr>
          <w:rFonts w:ascii="Cambria" w:hAnsi="Cambria"/>
          <w:i/>
          <w:sz w:val="20"/>
          <w:szCs w:val="20"/>
        </w:rPr>
        <w:t>Escherichia coli</w:t>
      </w:r>
      <w:r w:rsidR="004008A4">
        <w:rPr>
          <w:rFonts w:ascii="Cambria" w:hAnsi="Cambria"/>
          <w:sz w:val="20"/>
          <w:szCs w:val="20"/>
        </w:rPr>
        <w:t xml:space="preserve"> strains </w:t>
      </w:r>
      <w:r w:rsidR="004008A4" w:rsidRPr="004008A4">
        <w:rPr>
          <w:rFonts w:ascii="Cambria" w:hAnsi="Cambria"/>
          <w:sz w:val="20"/>
          <w:szCs w:val="20"/>
        </w:rPr>
        <w:t>with different susceptibility</w:t>
      </w:r>
      <w:r w:rsidR="004008A4">
        <w:rPr>
          <w:rFonts w:ascii="Cambria" w:hAnsi="Cambria"/>
          <w:sz w:val="20"/>
          <w:szCs w:val="20"/>
        </w:rPr>
        <w:t xml:space="preserve"> phenotypes isolated from swine </w:t>
      </w:r>
      <w:r w:rsidR="004008A4" w:rsidRPr="004008A4">
        <w:rPr>
          <w:rFonts w:ascii="Cambria" w:hAnsi="Cambria"/>
          <w:sz w:val="20"/>
          <w:szCs w:val="20"/>
        </w:rPr>
        <w:t>feces during ampicillin treatm</w:t>
      </w:r>
      <w:r w:rsidR="004008A4">
        <w:rPr>
          <w:rFonts w:ascii="Cambria" w:hAnsi="Cambria"/>
          <w:sz w:val="20"/>
          <w:szCs w:val="20"/>
        </w:rPr>
        <w:t xml:space="preserve">ent. Applied and Environmental </w:t>
      </w:r>
      <w:r w:rsidR="004008A4" w:rsidRPr="004008A4">
        <w:rPr>
          <w:rFonts w:ascii="Cambria" w:hAnsi="Cambria"/>
          <w:sz w:val="20"/>
          <w:szCs w:val="20"/>
        </w:rPr>
        <w:t>Microbiolog</w:t>
      </w:r>
      <w:r w:rsidR="004008A4">
        <w:rPr>
          <w:rFonts w:ascii="Cambria" w:hAnsi="Cambria"/>
          <w:sz w:val="20"/>
          <w:szCs w:val="20"/>
        </w:rPr>
        <w:t>y 75, 2999–3006</w:t>
      </w:r>
      <w:r w:rsidR="004008A4" w:rsidRPr="004008A4">
        <w:rPr>
          <w:rFonts w:ascii="Cambria" w:hAnsi="Cambria"/>
          <w:sz w:val="20"/>
          <w:szCs w:val="20"/>
        </w:rPr>
        <w:t>.</w:t>
      </w:r>
    </w:p>
    <w:p w:rsidR="004008A4" w:rsidRPr="004008A4" w:rsidRDefault="005201F8" w:rsidP="004008A4">
      <w:pPr>
        <w:spacing w:after="0" w:line="240" w:lineRule="auto"/>
        <w:ind w:left="425" w:hanging="425"/>
        <w:rPr>
          <w:rFonts w:ascii="Cambria" w:hAnsi="Cambria"/>
          <w:sz w:val="20"/>
          <w:szCs w:val="20"/>
        </w:rPr>
      </w:pPr>
      <w:r>
        <w:rPr>
          <w:rFonts w:ascii="Cambria" w:hAnsi="Cambria"/>
          <w:sz w:val="20"/>
          <w:szCs w:val="20"/>
        </w:rPr>
        <w:lastRenderedPageBreak/>
        <w:t>[82</w:t>
      </w:r>
      <w:r w:rsidR="004008A4" w:rsidRPr="004008A4">
        <w:rPr>
          <w:rFonts w:ascii="Cambria" w:hAnsi="Cambria"/>
          <w:sz w:val="20"/>
          <w:szCs w:val="20"/>
        </w:rPr>
        <w:t xml:space="preserve">] </w:t>
      </w:r>
      <w:proofErr w:type="spellStart"/>
      <w:r w:rsidR="004008A4" w:rsidRPr="004008A4">
        <w:rPr>
          <w:rFonts w:ascii="Cambria" w:hAnsi="Cambria"/>
          <w:sz w:val="20"/>
          <w:szCs w:val="20"/>
        </w:rPr>
        <w:t>Bibbal</w:t>
      </w:r>
      <w:proofErr w:type="spellEnd"/>
      <w:r w:rsidR="004008A4" w:rsidRPr="004008A4">
        <w:rPr>
          <w:rFonts w:ascii="Cambria" w:hAnsi="Cambria"/>
          <w:sz w:val="20"/>
          <w:szCs w:val="20"/>
        </w:rPr>
        <w:t xml:space="preserve">, </w:t>
      </w:r>
      <w:r w:rsidR="004008A4">
        <w:rPr>
          <w:rFonts w:ascii="Cambria" w:hAnsi="Cambria"/>
          <w:sz w:val="20"/>
          <w:szCs w:val="20"/>
        </w:rPr>
        <w:t xml:space="preserve">D., </w:t>
      </w:r>
      <w:proofErr w:type="spellStart"/>
      <w:r w:rsidR="004008A4" w:rsidRPr="004008A4">
        <w:rPr>
          <w:rFonts w:ascii="Cambria" w:hAnsi="Cambria"/>
          <w:sz w:val="20"/>
          <w:szCs w:val="20"/>
        </w:rPr>
        <w:t>Dupouy</w:t>
      </w:r>
      <w:proofErr w:type="spellEnd"/>
      <w:r w:rsidR="004008A4" w:rsidRPr="004008A4">
        <w:rPr>
          <w:rFonts w:ascii="Cambria" w:hAnsi="Cambria"/>
          <w:sz w:val="20"/>
          <w:szCs w:val="20"/>
        </w:rPr>
        <w:t xml:space="preserve">, </w:t>
      </w:r>
      <w:r w:rsidR="004008A4">
        <w:rPr>
          <w:rFonts w:ascii="Cambria" w:hAnsi="Cambria"/>
          <w:sz w:val="20"/>
          <w:szCs w:val="20"/>
        </w:rPr>
        <w:t xml:space="preserve">V., </w:t>
      </w:r>
      <w:proofErr w:type="spellStart"/>
      <w:r w:rsidR="004008A4">
        <w:rPr>
          <w:rFonts w:ascii="Cambria" w:hAnsi="Cambria"/>
          <w:sz w:val="20"/>
          <w:szCs w:val="20"/>
        </w:rPr>
        <w:t>Ferr</w:t>
      </w:r>
      <w:r w:rsidR="004008A4" w:rsidRPr="004008A4">
        <w:rPr>
          <w:rFonts w:ascii="Cambria" w:hAnsi="Cambria"/>
          <w:sz w:val="20"/>
          <w:szCs w:val="20"/>
        </w:rPr>
        <w:t>e</w:t>
      </w:r>
      <w:proofErr w:type="spellEnd"/>
      <w:r w:rsidR="004008A4" w:rsidRPr="004008A4">
        <w:rPr>
          <w:rFonts w:ascii="Cambria" w:hAnsi="Cambria"/>
          <w:sz w:val="20"/>
          <w:szCs w:val="20"/>
        </w:rPr>
        <w:t xml:space="preserve"> </w:t>
      </w:r>
      <w:r w:rsidR="004008A4">
        <w:rPr>
          <w:rFonts w:ascii="Cambria" w:hAnsi="Cambria"/>
          <w:sz w:val="20"/>
          <w:szCs w:val="20"/>
        </w:rPr>
        <w:t xml:space="preserve">J. P., et al. (2007). Impact of three ampicillin </w:t>
      </w:r>
      <w:r w:rsidR="004008A4" w:rsidRPr="004008A4">
        <w:rPr>
          <w:rFonts w:ascii="Cambria" w:hAnsi="Cambria"/>
          <w:sz w:val="20"/>
          <w:szCs w:val="20"/>
        </w:rPr>
        <w:t>dosage regimens on select</w:t>
      </w:r>
      <w:r w:rsidR="004008A4">
        <w:rPr>
          <w:rFonts w:ascii="Cambria" w:hAnsi="Cambria"/>
          <w:sz w:val="20"/>
          <w:szCs w:val="20"/>
        </w:rPr>
        <w:t xml:space="preserve">ion of ampicillin resistance in </w:t>
      </w:r>
      <w:proofErr w:type="spellStart"/>
      <w:r w:rsidR="004008A4" w:rsidRPr="004008A4">
        <w:rPr>
          <w:rFonts w:ascii="Cambria" w:hAnsi="Cambria"/>
          <w:sz w:val="20"/>
          <w:szCs w:val="20"/>
        </w:rPr>
        <w:t>Enterobacteriaceae</w:t>
      </w:r>
      <w:proofErr w:type="spellEnd"/>
      <w:r w:rsidR="004008A4" w:rsidRPr="004008A4">
        <w:rPr>
          <w:rFonts w:ascii="Cambria" w:hAnsi="Cambria"/>
          <w:sz w:val="20"/>
          <w:szCs w:val="20"/>
        </w:rPr>
        <w:t xml:space="preserve"> and exc</w:t>
      </w:r>
      <w:r w:rsidR="004008A4">
        <w:rPr>
          <w:rFonts w:ascii="Cambria" w:hAnsi="Cambria"/>
          <w:sz w:val="20"/>
          <w:szCs w:val="20"/>
        </w:rPr>
        <w:t xml:space="preserve">retion of </w:t>
      </w:r>
      <w:proofErr w:type="spellStart"/>
      <w:r w:rsidR="004008A4">
        <w:rPr>
          <w:rFonts w:ascii="Cambria" w:hAnsi="Cambria"/>
          <w:sz w:val="20"/>
          <w:szCs w:val="20"/>
        </w:rPr>
        <w:t>blaTEM</w:t>
      </w:r>
      <w:proofErr w:type="spellEnd"/>
      <w:r w:rsidR="004008A4">
        <w:rPr>
          <w:rFonts w:ascii="Cambria" w:hAnsi="Cambria"/>
          <w:sz w:val="20"/>
          <w:szCs w:val="20"/>
        </w:rPr>
        <w:t xml:space="preserve"> genes in swine feces.</w:t>
      </w:r>
      <w:r w:rsidR="004008A4" w:rsidRPr="004008A4">
        <w:rPr>
          <w:rFonts w:ascii="Cambria" w:hAnsi="Cambria"/>
          <w:sz w:val="20"/>
          <w:szCs w:val="20"/>
        </w:rPr>
        <w:t xml:space="preserve"> Applied and Environmental</w:t>
      </w:r>
      <w:r w:rsidR="004008A4">
        <w:rPr>
          <w:rFonts w:ascii="Cambria" w:hAnsi="Cambria"/>
          <w:sz w:val="20"/>
          <w:szCs w:val="20"/>
        </w:rPr>
        <w:t xml:space="preserve"> Microbiology 73, 4785–4790.</w:t>
      </w:r>
    </w:p>
    <w:p w:rsidR="00764C75" w:rsidRDefault="005201F8" w:rsidP="005201F8">
      <w:pPr>
        <w:spacing w:after="0" w:line="240" w:lineRule="auto"/>
        <w:ind w:left="425" w:hanging="425"/>
        <w:rPr>
          <w:rFonts w:ascii="Cambria" w:hAnsi="Cambria"/>
          <w:sz w:val="20"/>
          <w:szCs w:val="20"/>
        </w:rPr>
      </w:pPr>
      <w:r>
        <w:rPr>
          <w:rFonts w:ascii="Cambria" w:hAnsi="Cambria"/>
          <w:sz w:val="20"/>
          <w:szCs w:val="20"/>
        </w:rPr>
        <w:t>[83</w:t>
      </w:r>
      <w:r w:rsidR="004008A4">
        <w:rPr>
          <w:rFonts w:ascii="Cambria" w:hAnsi="Cambria"/>
          <w:sz w:val="20"/>
          <w:szCs w:val="20"/>
        </w:rPr>
        <w:t xml:space="preserve">] </w:t>
      </w:r>
      <w:proofErr w:type="spellStart"/>
      <w:r w:rsidR="004008A4" w:rsidRPr="004008A4">
        <w:rPr>
          <w:rFonts w:ascii="Cambria" w:hAnsi="Cambria"/>
          <w:sz w:val="20"/>
          <w:szCs w:val="20"/>
        </w:rPr>
        <w:t>Furtula</w:t>
      </w:r>
      <w:proofErr w:type="spellEnd"/>
      <w:r w:rsidR="004008A4" w:rsidRPr="004008A4">
        <w:rPr>
          <w:rFonts w:ascii="Cambria" w:hAnsi="Cambria"/>
          <w:sz w:val="20"/>
          <w:szCs w:val="20"/>
        </w:rPr>
        <w:t xml:space="preserve">, </w:t>
      </w:r>
      <w:r w:rsidR="004008A4">
        <w:rPr>
          <w:rFonts w:ascii="Cambria" w:hAnsi="Cambria"/>
          <w:sz w:val="20"/>
          <w:szCs w:val="20"/>
        </w:rPr>
        <w:t xml:space="preserve">V., </w:t>
      </w:r>
      <w:r w:rsidR="004008A4" w:rsidRPr="004008A4">
        <w:rPr>
          <w:rFonts w:ascii="Cambria" w:hAnsi="Cambria"/>
          <w:sz w:val="20"/>
          <w:szCs w:val="20"/>
        </w:rPr>
        <w:t>Farrell, E. G.</w:t>
      </w:r>
      <w:r w:rsidR="004008A4">
        <w:rPr>
          <w:rFonts w:ascii="Cambria" w:hAnsi="Cambria"/>
          <w:sz w:val="20"/>
          <w:szCs w:val="20"/>
        </w:rPr>
        <w:t>,</w:t>
      </w:r>
      <w:r w:rsidR="004008A4" w:rsidRPr="004008A4">
        <w:rPr>
          <w:rFonts w:ascii="Cambria" w:hAnsi="Cambria"/>
          <w:sz w:val="20"/>
          <w:szCs w:val="20"/>
        </w:rPr>
        <w:t xml:space="preserve"> </w:t>
      </w:r>
      <w:proofErr w:type="spellStart"/>
      <w:r w:rsidR="004008A4" w:rsidRPr="004008A4">
        <w:rPr>
          <w:rFonts w:ascii="Cambria" w:hAnsi="Cambria"/>
          <w:sz w:val="20"/>
          <w:szCs w:val="20"/>
        </w:rPr>
        <w:t>Diarrassouba</w:t>
      </w:r>
      <w:proofErr w:type="spellEnd"/>
      <w:r w:rsidR="004008A4" w:rsidRPr="004008A4">
        <w:rPr>
          <w:rFonts w:ascii="Cambria" w:hAnsi="Cambria"/>
          <w:sz w:val="20"/>
          <w:szCs w:val="20"/>
        </w:rPr>
        <w:t xml:space="preserve">, </w:t>
      </w:r>
      <w:r w:rsidR="004008A4">
        <w:rPr>
          <w:rFonts w:ascii="Cambria" w:hAnsi="Cambria"/>
          <w:sz w:val="20"/>
          <w:szCs w:val="20"/>
        </w:rPr>
        <w:t>F.,</w:t>
      </w:r>
      <w:r w:rsidR="004008A4" w:rsidRPr="004008A4">
        <w:rPr>
          <w:rFonts w:ascii="Cambria" w:hAnsi="Cambria"/>
          <w:sz w:val="20"/>
          <w:szCs w:val="20"/>
        </w:rPr>
        <w:t xml:space="preserve"> Rempel, </w:t>
      </w:r>
      <w:r w:rsidR="004008A4">
        <w:rPr>
          <w:rFonts w:ascii="Cambria" w:hAnsi="Cambria"/>
          <w:sz w:val="20"/>
          <w:szCs w:val="20"/>
        </w:rPr>
        <w:t xml:space="preserve">H., </w:t>
      </w:r>
      <w:r w:rsidR="004008A4" w:rsidRPr="004008A4">
        <w:rPr>
          <w:rFonts w:ascii="Cambria" w:hAnsi="Cambria"/>
          <w:sz w:val="20"/>
          <w:szCs w:val="20"/>
        </w:rPr>
        <w:t xml:space="preserve">Pritchard, </w:t>
      </w:r>
      <w:r w:rsidR="004008A4">
        <w:rPr>
          <w:rFonts w:ascii="Cambria" w:hAnsi="Cambria"/>
          <w:sz w:val="20"/>
          <w:szCs w:val="20"/>
        </w:rPr>
        <w:t xml:space="preserve">J., </w:t>
      </w:r>
      <w:r w:rsidR="004008A4" w:rsidRPr="004008A4">
        <w:rPr>
          <w:rFonts w:ascii="Cambria" w:hAnsi="Cambria"/>
          <w:sz w:val="20"/>
          <w:szCs w:val="20"/>
        </w:rPr>
        <w:t xml:space="preserve">and </w:t>
      </w:r>
      <w:proofErr w:type="spellStart"/>
      <w:r w:rsidR="004008A4" w:rsidRPr="004008A4">
        <w:rPr>
          <w:rFonts w:ascii="Cambria" w:hAnsi="Cambria"/>
          <w:sz w:val="20"/>
          <w:szCs w:val="20"/>
        </w:rPr>
        <w:t>Diarra</w:t>
      </w:r>
      <w:proofErr w:type="spellEnd"/>
      <w:r w:rsidR="004008A4" w:rsidRPr="004008A4">
        <w:rPr>
          <w:rFonts w:ascii="Cambria" w:hAnsi="Cambria"/>
          <w:sz w:val="20"/>
          <w:szCs w:val="20"/>
        </w:rPr>
        <w:t xml:space="preserve">, M. S. </w:t>
      </w:r>
      <w:r w:rsidR="00BA32A1">
        <w:rPr>
          <w:rFonts w:ascii="Cambria" w:hAnsi="Cambria"/>
          <w:sz w:val="20"/>
          <w:szCs w:val="20"/>
        </w:rPr>
        <w:t xml:space="preserve">(2010). </w:t>
      </w:r>
      <w:r>
        <w:rPr>
          <w:rFonts w:ascii="Cambria" w:hAnsi="Cambria"/>
          <w:sz w:val="20"/>
          <w:szCs w:val="20"/>
        </w:rPr>
        <w:t xml:space="preserve">Veterinary pharmaceuticals and </w:t>
      </w:r>
      <w:r w:rsidR="004008A4" w:rsidRPr="004008A4">
        <w:rPr>
          <w:rFonts w:ascii="Cambria" w:hAnsi="Cambria"/>
          <w:sz w:val="20"/>
          <w:szCs w:val="20"/>
        </w:rPr>
        <w:t xml:space="preserve">antibiotic resistance of </w:t>
      </w:r>
      <w:r w:rsidR="004008A4" w:rsidRPr="005201F8">
        <w:rPr>
          <w:rFonts w:ascii="Cambria" w:hAnsi="Cambria"/>
          <w:i/>
          <w:sz w:val="20"/>
          <w:szCs w:val="20"/>
        </w:rPr>
        <w:t>Escherichia coli</w:t>
      </w:r>
      <w:r w:rsidR="004008A4" w:rsidRPr="004008A4">
        <w:rPr>
          <w:rFonts w:ascii="Cambria" w:hAnsi="Cambria"/>
          <w:sz w:val="20"/>
          <w:szCs w:val="20"/>
        </w:rPr>
        <w:t xml:space="preserve"> isola</w:t>
      </w:r>
      <w:r>
        <w:rPr>
          <w:rFonts w:ascii="Cambria" w:hAnsi="Cambria"/>
          <w:sz w:val="20"/>
          <w:szCs w:val="20"/>
        </w:rPr>
        <w:t xml:space="preserve">tes in poultry litter </w:t>
      </w:r>
      <w:r w:rsidR="004008A4" w:rsidRPr="004008A4">
        <w:rPr>
          <w:rFonts w:ascii="Cambria" w:hAnsi="Cambria"/>
          <w:sz w:val="20"/>
          <w:szCs w:val="20"/>
        </w:rPr>
        <w:t>from commercial farms and cont</w:t>
      </w:r>
      <w:r>
        <w:rPr>
          <w:rFonts w:ascii="Cambria" w:hAnsi="Cambria"/>
          <w:sz w:val="20"/>
          <w:szCs w:val="20"/>
        </w:rPr>
        <w:t>rolled feeding trials. Poultry Science 89, 180–188.</w:t>
      </w:r>
    </w:p>
    <w:p w:rsidR="005201F8" w:rsidRPr="005201F8" w:rsidRDefault="005201F8" w:rsidP="005201F8">
      <w:pPr>
        <w:spacing w:after="0" w:line="240" w:lineRule="auto"/>
        <w:ind w:left="425" w:hanging="425"/>
        <w:rPr>
          <w:rFonts w:ascii="Cambria" w:hAnsi="Cambria"/>
          <w:sz w:val="20"/>
          <w:szCs w:val="20"/>
        </w:rPr>
      </w:pPr>
      <w:r>
        <w:rPr>
          <w:rFonts w:ascii="Cambria" w:hAnsi="Cambria"/>
          <w:sz w:val="20"/>
          <w:szCs w:val="20"/>
        </w:rPr>
        <w:t xml:space="preserve">[84] </w:t>
      </w:r>
      <w:proofErr w:type="spellStart"/>
      <w:r w:rsidRPr="005201F8">
        <w:rPr>
          <w:rFonts w:ascii="Cambria" w:hAnsi="Cambria"/>
          <w:sz w:val="20"/>
          <w:szCs w:val="20"/>
        </w:rPr>
        <w:t>Cuny</w:t>
      </w:r>
      <w:proofErr w:type="spellEnd"/>
      <w:r w:rsidRPr="005201F8">
        <w:rPr>
          <w:rFonts w:ascii="Cambria" w:hAnsi="Cambria"/>
          <w:sz w:val="20"/>
          <w:szCs w:val="20"/>
        </w:rPr>
        <w:t xml:space="preserve">, </w:t>
      </w:r>
      <w:r>
        <w:rPr>
          <w:rFonts w:ascii="Cambria" w:hAnsi="Cambria"/>
          <w:sz w:val="20"/>
          <w:szCs w:val="20"/>
        </w:rPr>
        <w:t>C.,</w:t>
      </w:r>
      <w:r w:rsidRPr="005201F8">
        <w:rPr>
          <w:rFonts w:ascii="Cambria" w:hAnsi="Cambria"/>
          <w:sz w:val="20"/>
          <w:szCs w:val="20"/>
        </w:rPr>
        <w:t xml:space="preserve"> </w:t>
      </w:r>
      <w:proofErr w:type="spellStart"/>
      <w:r w:rsidRPr="005201F8">
        <w:rPr>
          <w:rFonts w:ascii="Cambria" w:hAnsi="Cambria"/>
          <w:sz w:val="20"/>
          <w:szCs w:val="20"/>
        </w:rPr>
        <w:t>Lesbats</w:t>
      </w:r>
      <w:proofErr w:type="spellEnd"/>
      <w:r w:rsidRPr="005201F8">
        <w:rPr>
          <w:rFonts w:ascii="Cambria" w:hAnsi="Cambria"/>
          <w:sz w:val="20"/>
          <w:szCs w:val="20"/>
        </w:rPr>
        <w:t xml:space="preserve">, </w:t>
      </w:r>
      <w:r>
        <w:rPr>
          <w:rFonts w:ascii="Cambria" w:hAnsi="Cambria"/>
          <w:sz w:val="20"/>
          <w:szCs w:val="20"/>
        </w:rPr>
        <w:t>M., and</w:t>
      </w:r>
      <w:r w:rsidRPr="005201F8">
        <w:rPr>
          <w:rFonts w:ascii="Cambria" w:hAnsi="Cambria"/>
          <w:sz w:val="20"/>
          <w:szCs w:val="20"/>
        </w:rPr>
        <w:t xml:space="preserve"> </w:t>
      </w:r>
      <w:proofErr w:type="spellStart"/>
      <w:r w:rsidRPr="005201F8">
        <w:rPr>
          <w:rFonts w:ascii="Cambria" w:hAnsi="Cambria"/>
          <w:sz w:val="20"/>
          <w:szCs w:val="20"/>
        </w:rPr>
        <w:t>Dukan</w:t>
      </w:r>
      <w:proofErr w:type="spellEnd"/>
      <w:r w:rsidRPr="005201F8">
        <w:rPr>
          <w:rFonts w:ascii="Cambria" w:hAnsi="Cambria"/>
          <w:sz w:val="20"/>
          <w:szCs w:val="20"/>
        </w:rPr>
        <w:t xml:space="preserve">, </w:t>
      </w:r>
      <w:r>
        <w:rPr>
          <w:rFonts w:ascii="Cambria" w:hAnsi="Cambria"/>
          <w:sz w:val="20"/>
          <w:szCs w:val="20"/>
        </w:rPr>
        <w:t xml:space="preserve">S. (2007). Induction of a global </w:t>
      </w:r>
      <w:r w:rsidRPr="005201F8">
        <w:rPr>
          <w:rFonts w:ascii="Cambria" w:hAnsi="Cambria"/>
          <w:sz w:val="20"/>
          <w:szCs w:val="20"/>
        </w:rPr>
        <w:t xml:space="preserve">stress response during the first step of </w:t>
      </w:r>
      <w:r w:rsidRPr="005201F8">
        <w:rPr>
          <w:rFonts w:ascii="Cambria" w:hAnsi="Cambria"/>
          <w:i/>
          <w:sz w:val="20"/>
          <w:szCs w:val="20"/>
        </w:rPr>
        <w:t>Escherichia coli</w:t>
      </w:r>
      <w:r w:rsidRPr="005201F8">
        <w:rPr>
          <w:rFonts w:ascii="Cambria" w:hAnsi="Cambria"/>
          <w:sz w:val="20"/>
          <w:szCs w:val="20"/>
        </w:rPr>
        <w:t xml:space="preserve"> plate</w:t>
      </w:r>
      <w:r>
        <w:rPr>
          <w:rFonts w:ascii="Cambria" w:hAnsi="Cambria"/>
          <w:sz w:val="20"/>
          <w:szCs w:val="20"/>
        </w:rPr>
        <w:t xml:space="preserve"> growth.</w:t>
      </w:r>
      <w:r w:rsidRPr="005201F8">
        <w:rPr>
          <w:rFonts w:ascii="Cambria" w:hAnsi="Cambria"/>
          <w:sz w:val="20"/>
          <w:szCs w:val="20"/>
        </w:rPr>
        <w:t xml:space="preserve"> Applied and </w:t>
      </w:r>
      <w:r>
        <w:rPr>
          <w:rFonts w:ascii="Cambria" w:hAnsi="Cambria"/>
          <w:sz w:val="20"/>
          <w:szCs w:val="20"/>
        </w:rPr>
        <w:t>Environmental Microbiology 73, 885–889</w:t>
      </w:r>
      <w:r w:rsidRPr="005201F8">
        <w:rPr>
          <w:rFonts w:ascii="Cambria" w:hAnsi="Cambria"/>
          <w:sz w:val="20"/>
          <w:szCs w:val="20"/>
        </w:rPr>
        <w:t>.</w:t>
      </w:r>
    </w:p>
    <w:p w:rsidR="005201F8" w:rsidRDefault="005201F8" w:rsidP="005201F8">
      <w:pPr>
        <w:spacing w:after="0" w:line="240" w:lineRule="auto"/>
        <w:ind w:left="425" w:hanging="425"/>
        <w:rPr>
          <w:rFonts w:ascii="Cambria" w:hAnsi="Cambria"/>
          <w:sz w:val="20"/>
          <w:szCs w:val="20"/>
        </w:rPr>
      </w:pPr>
      <w:r>
        <w:rPr>
          <w:rFonts w:ascii="Cambria" w:hAnsi="Cambria"/>
          <w:sz w:val="20"/>
          <w:szCs w:val="20"/>
        </w:rPr>
        <w:t>[85</w:t>
      </w:r>
      <w:r w:rsidRPr="005201F8">
        <w:rPr>
          <w:rFonts w:ascii="Cambria" w:hAnsi="Cambria"/>
          <w:sz w:val="20"/>
          <w:szCs w:val="20"/>
        </w:rPr>
        <w:t xml:space="preserve">] Gou, </w:t>
      </w:r>
      <w:r>
        <w:rPr>
          <w:rFonts w:ascii="Cambria" w:hAnsi="Cambria"/>
          <w:sz w:val="20"/>
          <w:szCs w:val="20"/>
        </w:rPr>
        <w:t xml:space="preserve">G., </w:t>
      </w:r>
      <w:proofErr w:type="spellStart"/>
      <w:r w:rsidRPr="005201F8">
        <w:rPr>
          <w:rFonts w:ascii="Cambria" w:hAnsi="Cambria"/>
          <w:sz w:val="20"/>
          <w:szCs w:val="20"/>
        </w:rPr>
        <w:t>Onnis</w:t>
      </w:r>
      <w:proofErr w:type="spellEnd"/>
      <w:r w:rsidRPr="005201F8">
        <w:rPr>
          <w:rFonts w:ascii="Cambria" w:hAnsi="Cambria"/>
          <w:sz w:val="20"/>
          <w:szCs w:val="20"/>
        </w:rPr>
        <w:t xml:space="preserve">-Hayden, </w:t>
      </w:r>
      <w:r>
        <w:rPr>
          <w:rFonts w:ascii="Cambria" w:hAnsi="Cambria"/>
          <w:sz w:val="20"/>
          <w:szCs w:val="20"/>
        </w:rPr>
        <w:t xml:space="preserve">A., </w:t>
      </w:r>
      <w:r w:rsidRPr="005201F8">
        <w:rPr>
          <w:rFonts w:ascii="Cambria" w:hAnsi="Cambria"/>
          <w:sz w:val="20"/>
          <w:szCs w:val="20"/>
        </w:rPr>
        <w:t xml:space="preserve">and </w:t>
      </w:r>
      <w:r>
        <w:rPr>
          <w:rFonts w:ascii="Cambria" w:hAnsi="Cambria"/>
          <w:sz w:val="20"/>
          <w:szCs w:val="20"/>
        </w:rPr>
        <w:t xml:space="preserve">Gu, A. Z. (2010). Mechanistic toxicity </w:t>
      </w:r>
      <w:r w:rsidRPr="005201F8">
        <w:rPr>
          <w:rFonts w:ascii="Cambria" w:hAnsi="Cambria"/>
          <w:sz w:val="20"/>
          <w:szCs w:val="20"/>
        </w:rPr>
        <w:t>assessment of nanomaterials b</w:t>
      </w:r>
      <w:r>
        <w:rPr>
          <w:rFonts w:ascii="Cambria" w:hAnsi="Cambria"/>
          <w:sz w:val="20"/>
          <w:szCs w:val="20"/>
        </w:rPr>
        <w:t>y whole-cell-array stress genes expression analysis.</w:t>
      </w:r>
      <w:r w:rsidRPr="005201F8">
        <w:rPr>
          <w:rFonts w:ascii="Cambria" w:hAnsi="Cambria"/>
          <w:sz w:val="20"/>
          <w:szCs w:val="20"/>
        </w:rPr>
        <w:t xml:space="preserve"> Enviro</w:t>
      </w:r>
      <w:r>
        <w:rPr>
          <w:rFonts w:ascii="Cambria" w:hAnsi="Cambria"/>
          <w:sz w:val="20"/>
          <w:szCs w:val="20"/>
        </w:rPr>
        <w:t>nmental Science and Technology 44, 5964–5970</w:t>
      </w:r>
      <w:r w:rsidRPr="005201F8">
        <w:rPr>
          <w:rFonts w:ascii="Cambria" w:hAnsi="Cambria"/>
          <w:sz w:val="20"/>
          <w:szCs w:val="20"/>
        </w:rPr>
        <w:t>.</w:t>
      </w:r>
    </w:p>
    <w:p w:rsidR="00204CAC" w:rsidRDefault="00204CAC" w:rsidP="005201F8">
      <w:pPr>
        <w:spacing w:after="0" w:line="240" w:lineRule="auto"/>
        <w:ind w:left="425" w:hanging="425"/>
        <w:rPr>
          <w:rFonts w:ascii="Cambria" w:hAnsi="Cambria"/>
          <w:sz w:val="20"/>
          <w:szCs w:val="20"/>
        </w:rPr>
      </w:pPr>
      <w:r>
        <w:rPr>
          <w:rFonts w:ascii="Cambria" w:hAnsi="Cambria"/>
          <w:sz w:val="20"/>
          <w:szCs w:val="20"/>
        </w:rPr>
        <w:t xml:space="preserve">[86] </w:t>
      </w:r>
      <w:r w:rsidRPr="00204CAC">
        <w:rPr>
          <w:rFonts w:ascii="Cambria" w:hAnsi="Cambria"/>
          <w:sz w:val="20"/>
          <w:szCs w:val="20"/>
        </w:rPr>
        <w:t>Ling, M</w:t>
      </w:r>
      <w:r>
        <w:rPr>
          <w:rFonts w:ascii="Cambria" w:hAnsi="Cambria"/>
          <w:sz w:val="20"/>
          <w:szCs w:val="20"/>
        </w:rPr>
        <w:t xml:space="preserve">. </w:t>
      </w:r>
      <w:r w:rsidRPr="00204CAC">
        <w:rPr>
          <w:rFonts w:ascii="Cambria" w:hAnsi="Cambria"/>
          <w:sz w:val="20"/>
          <w:szCs w:val="20"/>
        </w:rPr>
        <w:t>H</w:t>
      </w:r>
      <w:r>
        <w:rPr>
          <w:rFonts w:ascii="Cambria" w:hAnsi="Cambria"/>
          <w:sz w:val="20"/>
          <w:szCs w:val="20"/>
        </w:rPr>
        <w:t xml:space="preserve">. </w:t>
      </w:r>
      <w:r w:rsidRPr="00204CAC">
        <w:rPr>
          <w:rFonts w:ascii="Cambria" w:hAnsi="Cambria"/>
          <w:sz w:val="20"/>
          <w:szCs w:val="20"/>
        </w:rPr>
        <w:t xml:space="preserve">T. </w:t>
      </w:r>
      <w:r>
        <w:rPr>
          <w:rFonts w:ascii="Cambria" w:hAnsi="Cambria"/>
          <w:sz w:val="20"/>
          <w:szCs w:val="20"/>
        </w:rPr>
        <w:t>(</w:t>
      </w:r>
      <w:r w:rsidRPr="00204CAC">
        <w:rPr>
          <w:rFonts w:ascii="Cambria" w:hAnsi="Cambria"/>
          <w:sz w:val="20"/>
          <w:szCs w:val="20"/>
        </w:rPr>
        <w:t>2010</w:t>
      </w:r>
      <w:r>
        <w:rPr>
          <w:rFonts w:ascii="Cambria" w:hAnsi="Cambria"/>
          <w:sz w:val="20"/>
          <w:szCs w:val="20"/>
        </w:rPr>
        <w:t>). COPADS, I: Distances measures between two lists or s</w:t>
      </w:r>
      <w:r w:rsidRPr="00204CAC">
        <w:rPr>
          <w:rFonts w:ascii="Cambria" w:hAnsi="Cambria"/>
          <w:sz w:val="20"/>
          <w:szCs w:val="20"/>
        </w:rPr>
        <w:t>ets. The Python Papers Source Codes 2:2.</w:t>
      </w:r>
    </w:p>
    <w:p w:rsidR="00645ECD" w:rsidRDefault="00645ECD" w:rsidP="00645ECD">
      <w:pPr>
        <w:spacing w:after="0" w:line="240" w:lineRule="auto"/>
        <w:ind w:left="425" w:hanging="425"/>
        <w:rPr>
          <w:rFonts w:ascii="Cambria" w:hAnsi="Cambria"/>
          <w:sz w:val="20"/>
          <w:szCs w:val="20"/>
        </w:rPr>
      </w:pPr>
      <w:r>
        <w:rPr>
          <w:rFonts w:ascii="Cambria" w:hAnsi="Cambria"/>
          <w:sz w:val="20"/>
          <w:szCs w:val="20"/>
        </w:rPr>
        <w:t xml:space="preserve">[87] </w:t>
      </w:r>
      <w:proofErr w:type="spellStart"/>
      <w:r w:rsidR="00643108">
        <w:rPr>
          <w:rFonts w:ascii="Cambria" w:hAnsi="Cambria"/>
          <w:sz w:val="20"/>
          <w:szCs w:val="20"/>
        </w:rPr>
        <w:t>Nei</w:t>
      </w:r>
      <w:proofErr w:type="spellEnd"/>
      <w:r w:rsidR="00643108">
        <w:rPr>
          <w:rFonts w:ascii="Cambria" w:hAnsi="Cambria"/>
          <w:sz w:val="20"/>
          <w:szCs w:val="20"/>
        </w:rPr>
        <w:t>,</w:t>
      </w:r>
      <w:r w:rsidRPr="00645ECD">
        <w:rPr>
          <w:rFonts w:ascii="Cambria" w:hAnsi="Cambria"/>
          <w:sz w:val="20"/>
          <w:szCs w:val="20"/>
        </w:rPr>
        <w:t xml:space="preserve"> M.</w:t>
      </w:r>
      <w:r w:rsidR="00BA32A1">
        <w:rPr>
          <w:rFonts w:ascii="Cambria" w:hAnsi="Cambria"/>
          <w:sz w:val="20"/>
          <w:szCs w:val="20"/>
        </w:rPr>
        <w:t>,</w:t>
      </w:r>
      <w:r>
        <w:rPr>
          <w:rFonts w:ascii="Cambria" w:hAnsi="Cambria"/>
          <w:sz w:val="20"/>
          <w:szCs w:val="20"/>
        </w:rPr>
        <w:t xml:space="preserve"> and</w:t>
      </w:r>
      <w:r w:rsidRPr="00645ECD">
        <w:rPr>
          <w:rFonts w:ascii="Cambria" w:hAnsi="Cambria"/>
          <w:sz w:val="20"/>
          <w:szCs w:val="20"/>
        </w:rPr>
        <w:t xml:space="preserve"> Li</w:t>
      </w:r>
      <w:r w:rsidR="00B06732">
        <w:rPr>
          <w:rFonts w:ascii="Cambria" w:hAnsi="Cambria"/>
          <w:sz w:val="20"/>
          <w:szCs w:val="20"/>
        </w:rPr>
        <w:t xml:space="preserve">, </w:t>
      </w:r>
      <w:r>
        <w:rPr>
          <w:rFonts w:ascii="Cambria" w:hAnsi="Cambria"/>
          <w:sz w:val="20"/>
          <w:szCs w:val="20"/>
        </w:rPr>
        <w:t xml:space="preserve">W. H.  (1979).  Mathematical </w:t>
      </w:r>
      <w:r w:rsidR="00B244C8">
        <w:rPr>
          <w:rFonts w:ascii="Cambria" w:hAnsi="Cambria"/>
          <w:sz w:val="20"/>
          <w:szCs w:val="20"/>
        </w:rPr>
        <w:t>model</w:t>
      </w:r>
      <w:r w:rsidRPr="00645ECD">
        <w:rPr>
          <w:rFonts w:ascii="Cambria" w:hAnsi="Cambria"/>
          <w:sz w:val="20"/>
          <w:szCs w:val="20"/>
        </w:rPr>
        <w:t xml:space="preserve"> for  studying  genetic  var</w:t>
      </w:r>
      <w:r>
        <w:rPr>
          <w:rFonts w:ascii="Cambria" w:hAnsi="Cambria"/>
          <w:sz w:val="20"/>
          <w:szCs w:val="20"/>
        </w:rPr>
        <w:t xml:space="preserve">iation  in  terms  of  restriction endonucleases. Genetics 76, </w:t>
      </w:r>
      <w:r w:rsidRPr="00645ECD">
        <w:rPr>
          <w:rFonts w:ascii="Cambria" w:hAnsi="Cambria"/>
          <w:sz w:val="20"/>
          <w:szCs w:val="20"/>
        </w:rPr>
        <w:t>5.</w:t>
      </w:r>
    </w:p>
    <w:p w:rsidR="00645ECD" w:rsidRPr="00764C75" w:rsidRDefault="00645ECD" w:rsidP="00645ECD">
      <w:pPr>
        <w:spacing w:after="0" w:line="240" w:lineRule="auto"/>
        <w:ind w:left="425" w:hanging="425"/>
        <w:rPr>
          <w:rFonts w:ascii="Cambria" w:hAnsi="Cambria"/>
          <w:sz w:val="20"/>
          <w:szCs w:val="20"/>
        </w:rPr>
      </w:pPr>
      <w:r>
        <w:rPr>
          <w:rFonts w:ascii="Cambria" w:hAnsi="Cambria"/>
          <w:sz w:val="20"/>
          <w:szCs w:val="20"/>
        </w:rPr>
        <w:t xml:space="preserve">[88] </w:t>
      </w:r>
      <w:r w:rsidRPr="00645ECD">
        <w:rPr>
          <w:rFonts w:ascii="Cambria" w:hAnsi="Cambria"/>
          <w:sz w:val="20"/>
          <w:szCs w:val="20"/>
        </w:rPr>
        <w:t>Dice, L. R. (194</w:t>
      </w:r>
      <w:r>
        <w:rPr>
          <w:rFonts w:ascii="Cambria" w:hAnsi="Cambria"/>
          <w:sz w:val="20"/>
          <w:szCs w:val="20"/>
        </w:rPr>
        <w:t>5). Measures of the amount of ec</w:t>
      </w:r>
      <w:r w:rsidRPr="00645ECD">
        <w:rPr>
          <w:rFonts w:ascii="Cambria" w:hAnsi="Cambria"/>
          <w:sz w:val="20"/>
          <w:szCs w:val="20"/>
        </w:rPr>
        <w:t>ologi</w:t>
      </w:r>
      <w:r>
        <w:rPr>
          <w:rFonts w:ascii="Cambria" w:hAnsi="Cambria"/>
          <w:sz w:val="20"/>
          <w:szCs w:val="20"/>
        </w:rPr>
        <w:t xml:space="preserve">c association between species. Ecology 26, </w:t>
      </w:r>
      <w:r w:rsidRPr="00645ECD">
        <w:rPr>
          <w:rFonts w:ascii="Cambria" w:hAnsi="Cambria"/>
          <w:sz w:val="20"/>
          <w:szCs w:val="20"/>
        </w:rPr>
        <w:t>6.</w:t>
      </w:r>
    </w:p>
    <w:p w:rsidR="00F66824" w:rsidRDefault="00C53258" w:rsidP="00C53258">
      <w:pPr>
        <w:spacing w:after="0" w:line="240" w:lineRule="auto"/>
        <w:ind w:left="425" w:hanging="425"/>
        <w:rPr>
          <w:rFonts w:ascii="Cambria" w:hAnsi="Cambria"/>
          <w:sz w:val="20"/>
          <w:szCs w:val="20"/>
        </w:rPr>
      </w:pPr>
      <w:r>
        <w:rPr>
          <w:rFonts w:ascii="Cambria" w:hAnsi="Cambria"/>
          <w:sz w:val="20"/>
          <w:szCs w:val="20"/>
        </w:rPr>
        <w:t xml:space="preserve">[89] </w:t>
      </w:r>
      <w:proofErr w:type="spellStart"/>
      <w:r w:rsidRPr="00C53258">
        <w:rPr>
          <w:rFonts w:ascii="Cambria" w:hAnsi="Cambria"/>
          <w:sz w:val="20"/>
          <w:szCs w:val="20"/>
        </w:rPr>
        <w:t>Fallaw</w:t>
      </w:r>
      <w:proofErr w:type="spellEnd"/>
      <w:r w:rsidRPr="00C53258">
        <w:rPr>
          <w:rFonts w:ascii="Cambria" w:hAnsi="Cambria"/>
          <w:sz w:val="20"/>
          <w:szCs w:val="20"/>
        </w:rPr>
        <w:t xml:space="preserve">, W. C. (1979) A test of the Simpson </w:t>
      </w:r>
      <w:r>
        <w:rPr>
          <w:rFonts w:ascii="Cambria" w:hAnsi="Cambria"/>
          <w:sz w:val="20"/>
          <w:szCs w:val="20"/>
        </w:rPr>
        <w:t>co</w:t>
      </w:r>
      <w:r w:rsidRPr="00C53258">
        <w:rPr>
          <w:rFonts w:ascii="Cambria" w:hAnsi="Cambria"/>
          <w:sz w:val="20"/>
          <w:szCs w:val="20"/>
        </w:rPr>
        <w:t xml:space="preserve">efficient and other binary </w:t>
      </w:r>
      <w:r>
        <w:rPr>
          <w:rFonts w:ascii="Cambria" w:hAnsi="Cambria"/>
          <w:sz w:val="20"/>
          <w:szCs w:val="20"/>
        </w:rPr>
        <w:t>coefficients of faunal similarity. Journal of Paleontology 53,</w:t>
      </w:r>
      <w:r w:rsidRPr="00C53258">
        <w:rPr>
          <w:rFonts w:ascii="Cambria" w:hAnsi="Cambria"/>
          <w:sz w:val="20"/>
          <w:szCs w:val="20"/>
        </w:rPr>
        <w:t xml:space="preserve"> 1029.</w:t>
      </w:r>
    </w:p>
    <w:p w:rsidR="00C53258" w:rsidRDefault="00C53258" w:rsidP="00C53258">
      <w:pPr>
        <w:spacing w:after="0" w:line="240" w:lineRule="auto"/>
        <w:ind w:left="425" w:hanging="425"/>
        <w:rPr>
          <w:rFonts w:ascii="Cambria" w:hAnsi="Cambria"/>
          <w:sz w:val="20"/>
          <w:szCs w:val="20"/>
        </w:rPr>
      </w:pPr>
      <w:r>
        <w:rPr>
          <w:rFonts w:ascii="Cambria" w:hAnsi="Cambria"/>
          <w:sz w:val="20"/>
          <w:szCs w:val="20"/>
        </w:rPr>
        <w:t xml:space="preserve">[90] </w:t>
      </w:r>
      <w:r w:rsidRPr="00C53258">
        <w:rPr>
          <w:rFonts w:ascii="Cambria" w:hAnsi="Cambria"/>
          <w:sz w:val="20"/>
          <w:szCs w:val="20"/>
        </w:rPr>
        <w:t xml:space="preserve">Russel, P. F., </w:t>
      </w:r>
      <w:r>
        <w:rPr>
          <w:rFonts w:ascii="Cambria" w:hAnsi="Cambria"/>
          <w:sz w:val="20"/>
          <w:szCs w:val="20"/>
        </w:rPr>
        <w:t xml:space="preserve">and Rao, T. R. (1940) On </w:t>
      </w:r>
      <w:r w:rsidRPr="00C53258">
        <w:rPr>
          <w:rFonts w:ascii="Cambria" w:hAnsi="Cambria"/>
          <w:sz w:val="20"/>
          <w:szCs w:val="20"/>
        </w:rPr>
        <w:t xml:space="preserve">habitat and association of </w:t>
      </w:r>
      <w:r>
        <w:rPr>
          <w:rFonts w:ascii="Cambria" w:hAnsi="Cambria"/>
          <w:sz w:val="20"/>
          <w:szCs w:val="20"/>
        </w:rPr>
        <w:t xml:space="preserve">species of anopheline larvae in south-eastern </w:t>
      </w:r>
      <w:r w:rsidRPr="00C53258">
        <w:rPr>
          <w:rFonts w:ascii="Cambria" w:hAnsi="Cambria"/>
          <w:sz w:val="20"/>
          <w:szCs w:val="20"/>
        </w:rPr>
        <w:t>M</w:t>
      </w:r>
      <w:r w:rsidR="009618A4">
        <w:rPr>
          <w:rFonts w:ascii="Cambria" w:hAnsi="Cambria"/>
          <w:sz w:val="20"/>
          <w:szCs w:val="20"/>
        </w:rPr>
        <w:t>adras. Journal of the Malaria Institute of</w:t>
      </w:r>
      <w:r>
        <w:rPr>
          <w:rFonts w:ascii="Cambria" w:hAnsi="Cambria"/>
          <w:sz w:val="20"/>
          <w:szCs w:val="20"/>
        </w:rPr>
        <w:t xml:space="preserve"> India 3,</w:t>
      </w:r>
      <w:r w:rsidRPr="00C53258">
        <w:rPr>
          <w:rFonts w:ascii="Cambria" w:hAnsi="Cambria"/>
          <w:sz w:val="20"/>
          <w:szCs w:val="20"/>
        </w:rPr>
        <w:t xml:space="preserve"> 154-178.</w:t>
      </w:r>
    </w:p>
    <w:p w:rsidR="004E24D0" w:rsidRDefault="004E24D0" w:rsidP="004E24D0">
      <w:pPr>
        <w:spacing w:after="0" w:line="240" w:lineRule="auto"/>
        <w:ind w:left="425" w:hanging="425"/>
        <w:rPr>
          <w:rFonts w:ascii="Cambria" w:hAnsi="Cambria"/>
          <w:sz w:val="20"/>
          <w:szCs w:val="20"/>
        </w:rPr>
      </w:pPr>
      <w:r>
        <w:rPr>
          <w:rFonts w:ascii="Cambria" w:hAnsi="Cambria"/>
          <w:sz w:val="20"/>
          <w:szCs w:val="20"/>
        </w:rPr>
        <w:t xml:space="preserve">[91] </w:t>
      </w:r>
      <w:proofErr w:type="spellStart"/>
      <w:r>
        <w:rPr>
          <w:rFonts w:ascii="Cambria" w:hAnsi="Cambria"/>
          <w:sz w:val="20"/>
          <w:szCs w:val="20"/>
        </w:rPr>
        <w:t>Sezonov</w:t>
      </w:r>
      <w:proofErr w:type="spellEnd"/>
      <w:r>
        <w:rPr>
          <w:rFonts w:ascii="Cambria" w:hAnsi="Cambria"/>
          <w:sz w:val="20"/>
          <w:szCs w:val="20"/>
        </w:rPr>
        <w:t xml:space="preserve">, G., </w:t>
      </w:r>
      <w:proofErr w:type="spellStart"/>
      <w:r>
        <w:rPr>
          <w:rFonts w:ascii="Cambria" w:hAnsi="Cambria"/>
          <w:sz w:val="20"/>
          <w:szCs w:val="20"/>
        </w:rPr>
        <w:t>Joseleau</w:t>
      </w:r>
      <w:proofErr w:type="spellEnd"/>
      <w:r>
        <w:rPr>
          <w:rFonts w:ascii="Cambria" w:hAnsi="Cambria"/>
          <w:sz w:val="20"/>
          <w:szCs w:val="20"/>
        </w:rPr>
        <w:t>-</w:t>
      </w:r>
      <w:r w:rsidRPr="004E24D0">
        <w:rPr>
          <w:rFonts w:ascii="Cambria" w:hAnsi="Cambria"/>
          <w:sz w:val="20"/>
          <w:szCs w:val="20"/>
        </w:rPr>
        <w:t xml:space="preserve">Petit, D., and </w:t>
      </w:r>
      <w:proofErr w:type="spellStart"/>
      <w:r w:rsidRPr="004E24D0">
        <w:rPr>
          <w:rFonts w:ascii="Cambria" w:hAnsi="Cambria"/>
          <w:sz w:val="20"/>
          <w:szCs w:val="20"/>
        </w:rPr>
        <w:t>D'Ari</w:t>
      </w:r>
      <w:proofErr w:type="spellEnd"/>
      <w:r w:rsidRPr="004E24D0">
        <w:rPr>
          <w:rFonts w:ascii="Cambria" w:hAnsi="Cambria"/>
          <w:sz w:val="20"/>
          <w:szCs w:val="20"/>
        </w:rPr>
        <w:t>, R. (2007). Esche</w:t>
      </w:r>
      <w:r>
        <w:rPr>
          <w:rFonts w:ascii="Cambria" w:hAnsi="Cambria"/>
          <w:sz w:val="20"/>
          <w:szCs w:val="20"/>
        </w:rPr>
        <w:t>richia coli physiology in Luria-</w:t>
      </w:r>
      <w:proofErr w:type="spellStart"/>
      <w:r>
        <w:rPr>
          <w:rFonts w:ascii="Cambria" w:hAnsi="Cambria"/>
          <w:sz w:val="20"/>
          <w:szCs w:val="20"/>
        </w:rPr>
        <w:t>Bertani</w:t>
      </w:r>
      <w:proofErr w:type="spellEnd"/>
      <w:r>
        <w:rPr>
          <w:rFonts w:ascii="Cambria" w:hAnsi="Cambria"/>
          <w:sz w:val="20"/>
          <w:szCs w:val="20"/>
        </w:rPr>
        <w:t xml:space="preserve"> broth. Journal of Bacteriology 189, 8746-874</w:t>
      </w:r>
      <w:r w:rsidRPr="004E24D0">
        <w:rPr>
          <w:rFonts w:ascii="Cambria" w:hAnsi="Cambria"/>
          <w:sz w:val="20"/>
          <w:szCs w:val="20"/>
        </w:rPr>
        <w:t>9</w:t>
      </w:r>
      <w:r>
        <w:rPr>
          <w:rFonts w:ascii="Cambria" w:hAnsi="Cambria"/>
          <w:sz w:val="20"/>
          <w:szCs w:val="20"/>
        </w:rPr>
        <w:t>.</w:t>
      </w:r>
    </w:p>
    <w:p w:rsidR="00AD2C80" w:rsidRDefault="00AD2C80" w:rsidP="00AD2C80">
      <w:pPr>
        <w:spacing w:after="0" w:line="240" w:lineRule="auto"/>
        <w:ind w:left="425" w:hanging="425"/>
        <w:rPr>
          <w:rFonts w:ascii="Cambria" w:hAnsi="Cambria"/>
          <w:sz w:val="20"/>
          <w:szCs w:val="20"/>
        </w:rPr>
      </w:pPr>
      <w:r>
        <w:rPr>
          <w:rFonts w:ascii="Cambria" w:hAnsi="Cambria"/>
          <w:sz w:val="20"/>
          <w:szCs w:val="20"/>
        </w:rPr>
        <w:t xml:space="preserve">[92] </w:t>
      </w:r>
      <w:proofErr w:type="spellStart"/>
      <w:r w:rsidRPr="00AD2C80">
        <w:rPr>
          <w:rFonts w:ascii="Cambria" w:hAnsi="Cambria"/>
          <w:sz w:val="20"/>
          <w:szCs w:val="20"/>
        </w:rPr>
        <w:t>Doudoroff</w:t>
      </w:r>
      <w:proofErr w:type="spellEnd"/>
      <w:r w:rsidRPr="00AD2C80">
        <w:rPr>
          <w:rFonts w:ascii="Cambria" w:hAnsi="Cambria"/>
          <w:sz w:val="20"/>
          <w:szCs w:val="20"/>
        </w:rPr>
        <w:t>, M. (1940) E</w:t>
      </w:r>
      <w:r>
        <w:rPr>
          <w:rFonts w:ascii="Cambria" w:hAnsi="Cambria"/>
          <w:sz w:val="20"/>
          <w:szCs w:val="20"/>
        </w:rPr>
        <w:t xml:space="preserve">xperiments on the adaptation of Escherichia coli </w:t>
      </w:r>
      <w:r w:rsidRPr="00AD2C80">
        <w:rPr>
          <w:rFonts w:ascii="Cambria" w:hAnsi="Cambria"/>
          <w:sz w:val="20"/>
          <w:szCs w:val="20"/>
        </w:rPr>
        <w:t>to sodium c</w:t>
      </w:r>
      <w:r>
        <w:rPr>
          <w:rFonts w:ascii="Cambria" w:hAnsi="Cambria"/>
          <w:sz w:val="20"/>
          <w:szCs w:val="20"/>
        </w:rPr>
        <w:t>hloride. The Journal of General Physiology 23, 585</w:t>
      </w:r>
      <w:r w:rsidRPr="00AD2C80">
        <w:rPr>
          <w:rFonts w:ascii="Cambria" w:hAnsi="Cambria"/>
          <w:sz w:val="20"/>
          <w:szCs w:val="20"/>
        </w:rPr>
        <w:t>.</w:t>
      </w:r>
    </w:p>
    <w:p w:rsidR="00FE6100" w:rsidRDefault="00B06732" w:rsidP="00FE6100">
      <w:pPr>
        <w:spacing w:after="0" w:line="240" w:lineRule="auto"/>
        <w:ind w:left="425" w:hanging="425"/>
        <w:rPr>
          <w:rFonts w:ascii="Cambria" w:hAnsi="Cambria"/>
          <w:sz w:val="20"/>
          <w:szCs w:val="20"/>
        </w:rPr>
      </w:pPr>
      <w:r>
        <w:rPr>
          <w:rFonts w:ascii="Cambria" w:hAnsi="Cambria"/>
          <w:sz w:val="20"/>
          <w:szCs w:val="20"/>
        </w:rPr>
        <w:t xml:space="preserve">[93] </w:t>
      </w:r>
      <w:r w:rsidRPr="00B06732">
        <w:rPr>
          <w:rFonts w:ascii="Cambria" w:hAnsi="Cambria"/>
          <w:sz w:val="20"/>
          <w:szCs w:val="20"/>
        </w:rPr>
        <w:t>Jay, J. M. M. (1992)</w:t>
      </w:r>
      <w:r>
        <w:rPr>
          <w:rFonts w:ascii="Cambria" w:hAnsi="Cambria"/>
          <w:sz w:val="20"/>
          <w:szCs w:val="20"/>
        </w:rPr>
        <w:t>.</w:t>
      </w:r>
      <w:r w:rsidRPr="00B06732">
        <w:rPr>
          <w:rFonts w:ascii="Cambria" w:hAnsi="Cambria"/>
          <w:sz w:val="20"/>
          <w:szCs w:val="20"/>
        </w:rPr>
        <w:t xml:space="preserve"> </w:t>
      </w:r>
      <w:r w:rsidRPr="00B06732">
        <w:rPr>
          <w:rFonts w:ascii="Cambria" w:hAnsi="Cambria"/>
          <w:i/>
          <w:sz w:val="20"/>
          <w:szCs w:val="20"/>
        </w:rPr>
        <w:t>E. coli</w:t>
      </w:r>
      <w:r w:rsidRPr="00B06732">
        <w:rPr>
          <w:rFonts w:ascii="Cambria" w:hAnsi="Cambria"/>
          <w:sz w:val="20"/>
          <w:szCs w:val="20"/>
        </w:rPr>
        <w:t xml:space="preserve"> </w:t>
      </w:r>
      <w:proofErr w:type="spellStart"/>
      <w:r w:rsidRPr="00B06732">
        <w:rPr>
          <w:rFonts w:ascii="Cambria" w:hAnsi="Cambria"/>
          <w:sz w:val="20"/>
          <w:szCs w:val="20"/>
        </w:rPr>
        <w:t>gastroenterritis</w:t>
      </w:r>
      <w:proofErr w:type="spellEnd"/>
      <w:r w:rsidRPr="00B06732">
        <w:rPr>
          <w:rFonts w:ascii="Cambria" w:hAnsi="Cambria"/>
          <w:sz w:val="20"/>
          <w:szCs w:val="20"/>
        </w:rPr>
        <w:t xml:space="preserve"> syndromes. Modern Food Microbiology, 4, 570-575.</w:t>
      </w:r>
    </w:p>
    <w:p w:rsidR="00FE6100" w:rsidRDefault="00FE6100" w:rsidP="00FE6100">
      <w:pPr>
        <w:spacing w:after="0" w:line="240" w:lineRule="auto"/>
        <w:ind w:left="425" w:hanging="425"/>
        <w:rPr>
          <w:rFonts w:ascii="Cambria" w:hAnsi="Cambria"/>
          <w:sz w:val="20"/>
          <w:szCs w:val="20"/>
        </w:rPr>
      </w:pPr>
      <w:r>
        <w:rPr>
          <w:rFonts w:ascii="Cambria" w:hAnsi="Cambria"/>
          <w:sz w:val="20"/>
          <w:szCs w:val="20"/>
        </w:rPr>
        <w:t xml:space="preserve">[94] </w:t>
      </w:r>
      <w:proofErr w:type="spellStart"/>
      <w:r>
        <w:rPr>
          <w:rFonts w:ascii="Cambria" w:hAnsi="Cambria"/>
          <w:sz w:val="20"/>
          <w:szCs w:val="20"/>
        </w:rPr>
        <w:t>Ochiai</w:t>
      </w:r>
      <w:proofErr w:type="spellEnd"/>
      <w:r>
        <w:rPr>
          <w:rFonts w:ascii="Cambria" w:hAnsi="Cambria"/>
          <w:sz w:val="20"/>
          <w:szCs w:val="20"/>
        </w:rPr>
        <w:t>, T. (1999). Salt-sensitive g</w:t>
      </w:r>
      <w:r w:rsidRPr="00FE6100">
        <w:rPr>
          <w:rFonts w:ascii="Cambria" w:hAnsi="Cambria"/>
          <w:sz w:val="20"/>
          <w:szCs w:val="20"/>
        </w:rPr>
        <w:t xml:space="preserve">rowth of </w:t>
      </w:r>
      <w:r w:rsidRPr="00FE6100">
        <w:rPr>
          <w:rFonts w:ascii="Cambria" w:hAnsi="Cambria"/>
          <w:i/>
          <w:sz w:val="20"/>
          <w:szCs w:val="20"/>
        </w:rPr>
        <w:t>Staphylococcus aureus</w:t>
      </w:r>
      <w:r>
        <w:rPr>
          <w:rFonts w:ascii="Cambria" w:hAnsi="Cambria"/>
          <w:sz w:val="20"/>
          <w:szCs w:val="20"/>
        </w:rPr>
        <w:t>: Stimulation of salt-induced autolysis by m</w:t>
      </w:r>
      <w:r w:rsidRPr="00FE6100">
        <w:rPr>
          <w:rFonts w:ascii="Cambria" w:hAnsi="Cambria"/>
          <w:sz w:val="20"/>
          <w:szCs w:val="20"/>
        </w:rPr>
        <w:t>ultip</w:t>
      </w:r>
      <w:r>
        <w:rPr>
          <w:rFonts w:ascii="Cambria" w:hAnsi="Cambria"/>
          <w:sz w:val="20"/>
          <w:szCs w:val="20"/>
        </w:rPr>
        <w:t>le environmental f</w:t>
      </w:r>
      <w:r w:rsidRPr="00FE6100">
        <w:rPr>
          <w:rFonts w:ascii="Cambria" w:hAnsi="Cambria"/>
          <w:sz w:val="20"/>
          <w:szCs w:val="20"/>
        </w:rPr>
        <w:t>actors. Microbiology and Immunology 43, 705–709.</w:t>
      </w:r>
    </w:p>
    <w:p w:rsidR="00A44557" w:rsidRDefault="00A44557" w:rsidP="00A44557">
      <w:pPr>
        <w:spacing w:after="0" w:line="240" w:lineRule="auto"/>
        <w:ind w:left="425" w:hanging="425"/>
        <w:rPr>
          <w:rFonts w:ascii="Cambria" w:hAnsi="Cambria"/>
          <w:sz w:val="20"/>
          <w:szCs w:val="20"/>
        </w:rPr>
      </w:pPr>
      <w:r>
        <w:rPr>
          <w:rFonts w:ascii="Cambria" w:hAnsi="Cambria"/>
          <w:sz w:val="20"/>
          <w:szCs w:val="20"/>
        </w:rPr>
        <w:t xml:space="preserve">[95] </w:t>
      </w:r>
      <w:r w:rsidRPr="00764C75">
        <w:rPr>
          <w:rFonts w:ascii="Cambria" w:hAnsi="Cambria"/>
          <w:sz w:val="20"/>
          <w:szCs w:val="20"/>
        </w:rPr>
        <w:t xml:space="preserve">Wilke, C.O., and </w:t>
      </w:r>
      <w:proofErr w:type="spellStart"/>
      <w:r w:rsidRPr="00764C75">
        <w:rPr>
          <w:rFonts w:ascii="Cambria" w:hAnsi="Cambria"/>
          <w:sz w:val="20"/>
          <w:szCs w:val="20"/>
        </w:rPr>
        <w:t>Adami</w:t>
      </w:r>
      <w:proofErr w:type="spellEnd"/>
      <w:r w:rsidRPr="00764C75">
        <w:rPr>
          <w:rFonts w:ascii="Cambria" w:hAnsi="Cambria"/>
          <w:sz w:val="20"/>
          <w:szCs w:val="20"/>
        </w:rPr>
        <w:t>, C. (2002). The biology of digital organisms. Trends in Ecology &amp; Evolution 17, 528–532.</w:t>
      </w:r>
    </w:p>
    <w:p w:rsidR="00E31815" w:rsidRDefault="00E31815" w:rsidP="00E31815">
      <w:pPr>
        <w:spacing w:after="0" w:line="240" w:lineRule="auto"/>
        <w:ind w:left="425" w:hanging="425"/>
        <w:rPr>
          <w:rFonts w:ascii="Cambria" w:hAnsi="Cambria"/>
          <w:sz w:val="20"/>
          <w:szCs w:val="20"/>
        </w:rPr>
      </w:pPr>
      <w:r>
        <w:rPr>
          <w:rFonts w:ascii="Cambria" w:hAnsi="Cambria"/>
          <w:sz w:val="20"/>
          <w:szCs w:val="20"/>
        </w:rPr>
        <w:t xml:space="preserve">[96] </w:t>
      </w:r>
      <w:r w:rsidRPr="00E31815">
        <w:rPr>
          <w:rFonts w:ascii="Cambria" w:hAnsi="Cambria"/>
          <w:sz w:val="20"/>
          <w:szCs w:val="20"/>
        </w:rPr>
        <w:t>Langton, C</w:t>
      </w:r>
      <w:r>
        <w:rPr>
          <w:rFonts w:ascii="Cambria" w:hAnsi="Cambria"/>
          <w:sz w:val="20"/>
          <w:szCs w:val="20"/>
        </w:rPr>
        <w:t xml:space="preserve">. </w:t>
      </w:r>
      <w:r w:rsidRPr="00E31815">
        <w:rPr>
          <w:rFonts w:ascii="Cambria" w:hAnsi="Cambria"/>
          <w:sz w:val="20"/>
          <w:szCs w:val="20"/>
        </w:rPr>
        <w:t xml:space="preserve">G. </w:t>
      </w:r>
      <w:r>
        <w:rPr>
          <w:rFonts w:ascii="Cambria" w:hAnsi="Cambria"/>
          <w:sz w:val="20"/>
          <w:szCs w:val="20"/>
        </w:rPr>
        <w:t>(</w:t>
      </w:r>
      <w:r w:rsidRPr="00E31815">
        <w:rPr>
          <w:rFonts w:ascii="Cambria" w:hAnsi="Cambria"/>
          <w:sz w:val="20"/>
          <w:szCs w:val="20"/>
        </w:rPr>
        <w:t>1986</w:t>
      </w:r>
      <w:r>
        <w:rPr>
          <w:rFonts w:ascii="Cambria" w:hAnsi="Cambria"/>
          <w:sz w:val="20"/>
          <w:szCs w:val="20"/>
        </w:rPr>
        <w:t>)</w:t>
      </w:r>
      <w:r w:rsidRPr="00E31815">
        <w:rPr>
          <w:rFonts w:ascii="Cambria" w:hAnsi="Cambria"/>
          <w:sz w:val="20"/>
          <w:szCs w:val="20"/>
        </w:rPr>
        <w:t>. Studying artificial life with cellular</w:t>
      </w:r>
      <w:r>
        <w:rPr>
          <w:rFonts w:ascii="Cambria" w:hAnsi="Cambria"/>
          <w:sz w:val="20"/>
          <w:szCs w:val="20"/>
        </w:rPr>
        <w:t xml:space="preserve"> automata. </w:t>
      </w:r>
      <w:proofErr w:type="spellStart"/>
      <w:r>
        <w:rPr>
          <w:rFonts w:ascii="Cambria" w:hAnsi="Cambria"/>
          <w:sz w:val="20"/>
          <w:szCs w:val="20"/>
        </w:rPr>
        <w:t>Physica</w:t>
      </w:r>
      <w:proofErr w:type="spellEnd"/>
      <w:r>
        <w:rPr>
          <w:rFonts w:ascii="Cambria" w:hAnsi="Cambria"/>
          <w:sz w:val="20"/>
          <w:szCs w:val="20"/>
        </w:rPr>
        <w:t xml:space="preserve"> D: Nonlinear </w:t>
      </w:r>
      <w:r w:rsidRPr="00E31815">
        <w:rPr>
          <w:rFonts w:ascii="Cambria" w:hAnsi="Cambria"/>
          <w:sz w:val="20"/>
          <w:szCs w:val="20"/>
        </w:rPr>
        <w:t>Phenomena 22, 120-149.</w:t>
      </w:r>
    </w:p>
    <w:p w:rsidR="00E31815" w:rsidRDefault="00E31815" w:rsidP="00E31815">
      <w:pPr>
        <w:spacing w:after="0" w:line="240" w:lineRule="auto"/>
        <w:ind w:left="425" w:hanging="425"/>
        <w:rPr>
          <w:rFonts w:ascii="Cambria" w:hAnsi="Cambria"/>
          <w:sz w:val="20"/>
          <w:szCs w:val="20"/>
        </w:rPr>
      </w:pPr>
      <w:r>
        <w:rPr>
          <w:rFonts w:ascii="Cambria" w:hAnsi="Cambria"/>
          <w:sz w:val="20"/>
          <w:szCs w:val="20"/>
        </w:rPr>
        <w:t xml:space="preserve">[97] </w:t>
      </w:r>
      <w:r w:rsidRPr="00E31815">
        <w:rPr>
          <w:rFonts w:ascii="Cambria" w:hAnsi="Cambria"/>
          <w:sz w:val="20"/>
          <w:szCs w:val="20"/>
        </w:rPr>
        <w:t>Ray, T</w:t>
      </w:r>
      <w:r>
        <w:rPr>
          <w:rFonts w:ascii="Cambria" w:hAnsi="Cambria"/>
          <w:sz w:val="20"/>
          <w:szCs w:val="20"/>
        </w:rPr>
        <w:t xml:space="preserve">. </w:t>
      </w:r>
      <w:r w:rsidRPr="00E31815">
        <w:rPr>
          <w:rFonts w:ascii="Cambria" w:hAnsi="Cambria"/>
          <w:sz w:val="20"/>
          <w:szCs w:val="20"/>
        </w:rPr>
        <w:t xml:space="preserve">S. </w:t>
      </w:r>
      <w:r>
        <w:rPr>
          <w:rFonts w:ascii="Cambria" w:hAnsi="Cambria"/>
          <w:sz w:val="20"/>
          <w:szCs w:val="20"/>
        </w:rPr>
        <w:t>(</w:t>
      </w:r>
      <w:r w:rsidRPr="00E31815">
        <w:rPr>
          <w:rFonts w:ascii="Cambria" w:hAnsi="Cambria"/>
          <w:sz w:val="20"/>
          <w:szCs w:val="20"/>
        </w:rPr>
        <w:t>1992</w:t>
      </w:r>
      <w:r>
        <w:rPr>
          <w:rFonts w:ascii="Cambria" w:hAnsi="Cambria"/>
          <w:sz w:val="20"/>
          <w:szCs w:val="20"/>
        </w:rPr>
        <w:t>)</w:t>
      </w:r>
      <w:r w:rsidRPr="00E31815">
        <w:rPr>
          <w:rFonts w:ascii="Cambria" w:hAnsi="Cambria"/>
          <w:sz w:val="20"/>
          <w:szCs w:val="20"/>
        </w:rPr>
        <w:t>. An approach to the synthesis of life.</w:t>
      </w:r>
      <w:r>
        <w:rPr>
          <w:rFonts w:ascii="Cambria" w:hAnsi="Cambria"/>
          <w:sz w:val="20"/>
          <w:szCs w:val="20"/>
        </w:rPr>
        <w:t xml:space="preserve"> In Langton C.</w:t>
      </w:r>
      <w:r w:rsidR="00AD3BBD">
        <w:rPr>
          <w:rFonts w:ascii="Cambria" w:hAnsi="Cambria"/>
          <w:sz w:val="20"/>
          <w:szCs w:val="20"/>
        </w:rPr>
        <w:t xml:space="preserve"> </w:t>
      </w:r>
      <w:r>
        <w:rPr>
          <w:rFonts w:ascii="Cambria" w:hAnsi="Cambria"/>
          <w:sz w:val="20"/>
          <w:szCs w:val="20"/>
        </w:rPr>
        <w:t xml:space="preserve">G. et al., (eds.) </w:t>
      </w:r>
      <w:r w:rsidRPr="00E31815">
        <w:rPr>
          <w:rFonts w:ascii="Cambria" w:hAnsi="Cambria"/>
          <w:sz w:val="20"/>
          <w:szCs w:val="20"/>
        </w:rPr>
        <w:t>Proceedings of Artificial Life II, pp. 371-408.</w:t>
      </w:r>
    </w:p>
    <w:p w:rsidR="00764C75" w:rsidRPr="00764C75" w:rsidRDefault="00E31815" w:rsidP="00E31815">
      <w:pPr>
        <w:spacing w:after="0" w:line="240" w:lineRule="auto"/>
        <w:ind w:left="425" w:hanging="425"/>
        <w:rPr>
          <w:rFonts w:ascii="Cambria" w:hAnsi="Cambria"/>
          <w:sz w:val="20"/>
          <w:szCs w:val="20"/>
        </w:rPr>
      </w:pPr>
      <w:r>
        <w:rPr>
          <w:rFonts w:ascii="Cambria" w:hAnsi="Cambria"/>
          <w:sz w:val="20"/>
          <w:szCs w:val="20"/>
        </w:rPr>
        <w:t xml:space="preserve">[98] </w:t>
      </w:r>
      <w:proofErr w:type="spellStart"/>
      <w:r w:rsidR="00764C75" w:rsidRPr="00764C75">
        <w:rPr>
          <w:rFonts w:ascii="Cambria" w:hAnsi="Cambria"/>
          <w:sz w:val="20"/>
          <w:szCs w:val="20"/>
        </w:rPr>
        <w:t>Adami</w:t>
      </w:r>
      <w:proofErr w:type="spellEnd"/>
      <w:r w:rsidR="00764C75" w:rsidRPr="00764C75">
        <w:rPr>
          <w:rFonts w:ascii="Cambria" w:hAnsi="Cambria"/>
          <w:sz w:val="20"/>
          <w:szCs w:val="20"/>
        </w:rPr>
        <w:t>, C. (2006). Digital genetics: unravelling the genetic basis of evolution. Nat</w:t>
      </w:r>
      <w:r>
        <w:rPr>
          <w:rFonts w:ascii="Cambria" w:hAnsi="Cambria"/>
          <w:sz w:val="20"/>
          <w:szCs w:val="20"/>
        </w:rPr>
        <w:t>ure</w:t>
      </w:r>
      <w:r w:rsidR="00764C75" w:rsidRPr="00764C75">
        <w:rPr>
          <w:rFonts w:ascii="Cambria" w:hAnsi="Cambria"/>
          <w:sz w:val="20"/>
          <w:szCs w:val="20"/>
        </w:rPr>
        <w:t xml:space="preserve"> Rev</w:t>
      </w:r>
      <w:r>
        <w:rPr>
          <w:rFonts w:ascii="Cambria" w:hAnsi="Cambria"/>
          <w:sz w:val="20"/>
          <w:szCs w:val="20"/>
        </w:rPr>
        <w:t>iew</w:t>
      </w:r>
      <w:r w:rsidR="00764C75" w:rsidRPr="00764C75">
        <w:rPr>
          <w:rFonts w:ascii="Cambria" w:hAnsi="Cambria"/>
          <w:sz w:val="20"/>
          <w:szCs w:val="20"/>
        </w:rPr>
        <w:t xml:space="preserve"> Genet</w:t>
      </w:r>
      <w:r>
        <w:rPr>
          <w:rFonts w:ascii="Cambria" w:hAnsi="Cambria"/>
          <w:sz w:val="20"/>
          <w:szCs w:val="20"/>
        </w:rPr>
        <w:t>ics</w:t>
      </w:r>
      <w:r w:rsidR="00764C75" w:rsidRPr="00764C75">
        <w:rPr>
          <w:rFonts w:ascii="Cambria" w:hAnsi="Cambria"/>
          <w:sz w:val="20"/>
          <w:szCs w:val="20"/>
        </w:rPr>
        <w:t xml:space="preserve"> 7, 109–118.</w:t>
      </w:r>
    </w:p>
    <w:p w:rsidR="00764C75" w:rsidRPr="00764C75" w:rsidRDefault="00E31815" w:rsidP="00764C75">
      <w:pPr>
        <w:spacing w:after="0" w:line="240" w:lineRule="auto"/>
        <w:ind w:left="425" w:hanging="425"/>
        <w:rPr>
          <w:rFonts w:ascii="Cambria" w:hAnsi="Cambria"/>
          <w:sz w:val="20"/>
          <w:szCs w:val="20"/>
        </w:rPr>
      </w:pPr>
      <w:r>
        <w:rPr>
          <w:rFonts w:ascii="Cambria" w:hAnsi="Cambria"/>
          <w:sz w:val="20"/>
          <w:szCs w:val="20"/>
        </w:rPr>
        <w:t xml:space="preserve">[99] </w:t>
      </w:r>
      <w:r w:rsidR="00764C75" w:rsidRPr="00764C75">
        <w:rPr>
          <w:rFonts w:ascii="Cambria" w:hAnsi="Cambria"/>
          <w:sz w:val="20"/>
          <w:szCs w:val="20"/>
        </w:rPr>
        <w:t>Elena, S.</w:t>
      </w:r>
      <w:r>
        <w:rPr>
          <w:rFonts w:ascii="Cambria" w:hAnsi="Cambria"/>
          <w:sz w:val="20"/>
          <w:szCs w:val="20"/>
        </w:rPr>
        <w:t xml:space="preserve"> </w:t>
      </w:r>
      <w:r w:rsidR="00764C75" w:rsidRPr="00764C75">
        <w:rPr>
          <w:rFonts w:ascii="Cambria" w:hAnsi="Cambria"/>
          <w:sz w:val="20"/>
          <w:szCs w:val="20"/>
        </w:rPr>
        <w:t xml:space="preserve">F., and </w:t>
      </w:r>
      <w:proofErr w:type="spellStart"/>
      <w:r w:rsidR="00764C75" w:rsidRPr="00764C75">
        <w:rPr>
          <w:rFonts w:ascii="Cambria" w:hAnsi="Cambria"/>
          <w:sz w:val="20"/>
          <w:szCs w:val="20"/>
        </w:rPr>
        <w:t>Sanjuan</w:t>
      </w:r>
      <w:proofErr w:type="spellEnd"/>
      <w:r w:rsidR="00764C75" w:rsidRPr="00764C75">
        <w:rPr>
          <w:rFonts w:ascii="Cambria" w:hAnsi="Cambria"/>
          <w:sz w:val="20"/>
          <w:szCs w:val="20"/>
        </w:rPr>
        <w:t>, R. (2008). The effect of genetic robustness on evolvability in digital organisms. BMC Evol</w:t>
      </w:r>
      <w:r>
        <w:rPr>
          <w:rFonts w:ascii="Cambria" w:hAnsi="Cambria"/>
          <w:sz w:val="20"/>
          <w:szCs w:val="20"/>
        </w:rPr>
        <w:t>utionary</w:t>
      </w:r>
      <w:r w:rsidR="00764C75" w:rsidRPr="00764C75">
        <w:rPr>
          <w:rFonts w:ascii="Cambria" w:hAnsi="Cambria"/>
          <w:sz w:val="20"/>
          <w:szCs w:val="20"/>
        </w:rPr>
        <w:t xml:space="preserve"> Biol</w:t>
      </w:r>
      <w:r>
        <w:rPr>
          <w:rFonts w:ascii="Cambria" w:hAnsi="Cambria"/>
          <w:sz w:val="20"/>
          <w:szCs w:val="20"/>
        </w:rPr>
        <w:t>ogy</w:t>
      </w:r>
      <w:r w:rsidR="00764C75" w:rsidRPr="00764C75">
        <w:rPr>
          <w:rFonts w:ascii="Cambria" w:hAnsi="Cambria"/>
          <w:sz w:val="20"/>
          <w:szCs w:val="20"/>
        </w:rPr>
        <w:t xml:space="preserve"> 8, 284.</w:t>
      </w:r>
    </w:p>
    <w:p w:rsidR="00764C75" w:rsidRPr="00764C75" w:rsidRDefault="00E31815" w:rsidP="00764C75">
      <w:pPr>
        <w:spacing w:after="0" w:line="240" w:lineRule="auto"/>
        <w:ind w:left="425" w:hanging="425"/>
        <w:rPr>
          <w:rFonts w:ascii="Cambria" w:hAnsi="Cambria"/>
          <w:sz w:val="20"/>
          <w:szCs w:val="20"/>
        </w:rPr>
      </w:pPr>
      <w:r>
        <w:rPr>
          <w:rFonts w:ascii="Cambria" w:hAnsi="Cambria"/>
          <w:sz w:val="20"/>
          <w:szCs w:val="20"/>
        </w:rPr>
        <w:t xml:space="preserve">[100] </w:t>
      </w:r>
      <w:proofErr w:type="spellStart"/>
      <w:r w:rsidR="00764C75" w:rsidRPr="00764C75">
        <w:rPr>
          <w:rFonts w:ascii="Cambria" w:hAnsi="Cambria"/>
          <w:sz w:val="20"/>
          <w:szCs w:val="20"/>
        </w:rPr>
        <w:t>Goldsby</w:t>
      </w:r>
      <w:proofErr w:type="spellEnd"/>
      <w:r w:rsidR="00764C75" w:rsidRPr="00764C75">
        <w:rPr>
          <w:rFonts w:ascii="Cambria" w:hAnsi="Cambria"/>
          <w:sz w:val="20"/>
          <w:szCs w:val="20"/>
        </w:rPr>
        <w:t>, H.</w:t>
      </w:r>
      <w:r>
        <w:rPr>
          <w:rFonts w:ascii="Cambria" w:hAnsi="Cambria"/>
          <w:sz w:val="20"/>
          <w:szCs w:val="20"/>
        </w:rPr>
        <w:t xml:space="preserve"> </w:t>
      </w:r>
      <w:r w:rsidR="00764C75" w:rsidRPr="00764C75">
        <w:rPr>
          <w:rFonts w:ascii="Cambria" w:hAnsi="Cambria"/>
          <w:sz w:val="20"/>
          <w:szCs w:val="20"/>
        </w:rPr>
        <w:t xml:space="preserve">J., </w:t>
      </w:r>
      <w:proofErr w:type="spellStart"/>
      <w:r w:rsidR="00764C75" w:rsidRPr="00764C75">
        <w:rPr>
          <w:rFonts w:ascii="Cambria" w:hAnsi="Cambria"/>
          <w:sz w:val="20"/>
          <w:szCs w:val="20"/>
        </w:rPr>
        <w:t>Dornhaus</w:t>
      </w:r>
      <w:proofErr w:type="spellEnd"/>
      <w:r w:rsidR="00764C75" w:rsidRPr="00764C75">
        <w:rPr>
          <w:rFonts w:ascii="Cambria" w:hAnsi="Cambria"/>
          <w:sz w:val="20"/>
          <w:szCs w:val="20"/>
        </w:rPr>
        <w:t xml:space="preserve">, A., Kerr, B., and </w:t>
      </w:r>
      <w:proofErr w:type="spellStart"/>
      <w:r w:rsidR="00764C75" w:rsidRPr="00764C75">
        <w:rPr>
          <w:rFonts w:ascii="Cambria" w:hAnsi="Cambria"/>
          <w:sz w:val="20"/>
          <w:szCs w:val="20"/>
        </w:rPr>
        <w:t>Ofria</w:t>
      </w:r>
      <w:proofErr w:type="spellEnd"/>
      <w:r w:rsidR="00764C75" w:rsidRPr="00764C75">
        <w:rPr>
          <w:rFonts w:ascii="Cambria" w:hAnsi="Cambria"/>
          <w:sz w:val="20"/>
          <w:szCs w:val="20"/>
        </w:rPr>
        <w:t>, C. (2012). Task-switching costs promote the evolution of division of labor and shifts in individuality. Proceedings of the National Academy of Sciences of the United States of America 109, 13686–13691.</w:t>
      </w:r>
    </w:p>
    <w:p w:rsidR="00764C75" w:rsidRPr="00764C75" w:rsidRDefault="00E31815" w:rsidP="00764C75">
      <w:pPr>
        <w:spacing w:after="0" w:line="240" w:lineRule="auto"/>
        <w:ind w:left="425" w:hanging="425"/>
        <w:rPr>
          <w:rFonts w:ascii="Cambria" w:hAnsi="Cambria"/>
          <w:sz w:val="20"/>
          <w:szCs w:val="20"/>
        </w:rPr>
      </w:pPr>
      <w:r>
        <w:rPr>
          <w:rFonts w:ascii="Cambria" w:hAnsi="Cambria"/>
          <w:sz w:val="20"/>
          <w:szCs w:val="20"/>
        </w:rPr>
        <w:t xml:space="preserve">[101] </w:t>
      </w:r>
      <w:proofErr w:type="spellStart"/>
      <w:r w:rsidR="00764C75" w:rsidRPr="00764C75">
        <w:rPr>
          <w:rFonts w:ascii="Cambria" w:hAnsi="Cambria"/>
          <w:sz w:val="20"/>
          <w:szCs w:val="20"/>
        </w:rPr>
        <w:t>Lenski</w:t>
      </w:r>
      <w:proofErr w:type="spellEnd"/>
      <w:r w:rsidR="00764C75" w:rsidRPr="00764C75">
        <w:rPr>
          <w:rFonts w:ascii="Cambria" w:hAnsi="Cambria"/>
          <w:sz w:val="20"/>
          <w:szCs w:val="20"/>
        </w:rPr>
        <w:t>, R.</w:t>
      </w:r>
      <w:r>
        <w:rPr>
          <w:rFonts w:ascii="Cambria" w:hAnsi="Cambria"/>
          <w:sz w:val="20"/>
          <w:szCs w:val="20"/>
        </w:rPr>
        <w:t xml:space="preserve"> </w:t>
      </w:r>
      <w:r w:rsidR="00764C75" w:rsidRPr="00764C75">
        <w:rPr>
          <w:rFonts w:ascii="Cambria" w:hAnsi="Cambria"/>
          <w:sz w:val="20"/>
          <w:szCs w:val="20"/>
        </w:rPr>
        <w:t xml:space="preserve">E., </w:t>
      </w:r>
      <w:proofErr w:type="spellStart"/>
      <w:r w:rsidR="00764C75" w:rsidRPr="00764C75">
        <w:rPr>
          <w:rFonts w:ascii="Cambria" w:hAnsi="Cambria"/>
          <w:sz w:val="20"/>
          <w:szCs w:val="20"/>
        </w:rPr>
        <w:t>Ofria</w:t>
      </w:r>
      <w:proofErr w:type="spellEnd"/>
      <w:r w:rsidR="00764C75" w:rsidRPr="00764C75">
        <w:rPr>
          <w:rFonts w:ascii="Cambria" w:hAnsi="Cambria"/>
          <w:sz w:val="20"/>
          <w:szCs w:val="20"/>
        </w:rPr>
        <w:t xml:space="preserve">, C., </w:t>
      </w:r>
      <w:proofErr w:type="spellStart"/>
      <w:r w:rsidR="00764C75" w:rsidRPr="00764C75">
        <w:rPr>
          <w:rFonts w:ascii="Cambria" w:hAnsi="Cambria"/>
          <w:sz w:val="20"/>
          <w:szCs w:val="20"/>
        </w:rPr>
        <w:t>Pennock</w:t>
      </w:r>
      <w:proofErr w:type="spellEnd"/>
      <w:r w:rsidR="00764C75" w:rsidRPr="00764C75">
        <w:rPr>
          <w:rFonts w:ascii="Cambria" w:hAnsi="Cambria"/>
          <w:sz w:val="20"/>
          <w:szCs w:val="20"/>
        </w:rPr>
        <w:t>, R.</w:t>
      </w:r>
      <w:r>
        <w:rPr>
          <w:rFonts w:ascii="Cambria" w:hAnsi="Cambria"/>
          <w:sz w:val="20"/>
          <w:szCs w:val="20"/>
        </w:rPr>
        <w:t xml:space="preserve"> </w:t>
      </w:r>
      <w:r w:rsidR="00764C75" w:rsidRPr="00764C75">
        <w:rPr>
          <w:rFonts w:ascii="Cambria" w:hAnsi="Cambria"/>
          <w:sz w:val="20"/>
          <w:szCs w:val="20"/>
        </w:rPr>
        <w:t xml:space="preserve">T., and </w:t>
      </w:r>
      <w:proofErr w:type="spellStart"/>
      <w:r w:rsidR="00764C75" w:rsidRPr="00764C75">
        <w:rPr>
          <w:rFonts w:ascii="Cambria" w:hAnsi="Cambria"/>
          <w:sz w:val="20"/>
          <w:szCs w:val="20"/>
        </w:rPr>
        <w:t>Adami</w:t>
      </w:r>
      <w:proofErr w:type="spellEnd"/>
      <w:r w:rsidR="00764C75" w:rsidRPr="00764C75">
        <w:rPr>
          <w:rFonts w:ascii="Cambria" w:hAnsi="Cambria"/>
          <w:sz w:val="20"/>
          <w:szCs w:val="20"/>
        </w:rPr>
        <w:t>, C. (2003). The evolutionary origin of complex features. Nature 423, 139–144.</w:t>
      </w:r>
    </w:p>
    <w:p w:rsidR="00764C75" w:rsidRPr="00764C75" w:rsidRDefault="00E31815" w:rsidP="00764C75">
      <w:pPr>
        <w:spacing w:after="0" w:line="240" w:lineRule="auto"/>
        <w:ind w:left="425" w:hanging="425"/>
        <w:rPr>
          <w:rFonts w:ascii="Cambria" w:hAnsi="Cambria"/>
          <w:sz w:val="20"/>
          <w:szCs w:val="20"/>
        </w:rPr>
      </w:pPr>
      <w:r>
        <w:rPr>
          <w:rFonts w:ascii="Cambria" w:hAnsi="Cambria"/>
          <w:sz w:val="20"/>
          <w:szCs w:val="20"/>
        </w:rPr>
        <w:t xml:space="preserve">[102] </w:t>
      </w:r>
      <w:r w:rsidR="00764C75" w:rsidRPr="00764C75">
        <w:rPr>
          <w:rFonts w:ascii="Cambria" w:hAnsi="Cambria"/>
          <w:sz w:val="20"/>
          <w:szCs w:val="20"/>
        </w:rPr>
        <w:t>Nelson, C.</w:t>
      </w:r>
      <w:r>
        <w:rPr>
          <w:rFonts w:ascii="Cambria" w:hAnsi="Cambria"/>
          <w:sz w:val="20"/>
          <w:szCs w:val="20"/>
        </w:rPr>
        <w:t xml:space="preserve"> </w:t>
      </w:r>
      <w:r w:rsidR="00764C75" w:rsidRPr="00764C75">
        <w:rPr>
          <w:rFonts w:ascii="Cambria" w:hAnsi="Cambria"/>
          <w:sz w:val="20"/>
          <w:szCs w:val="20"/>
        </w:rPr>
        <w:t>W., and Sanford, J.</w:t>
      </w:r>
      <w:r>
        <w:rPr>
          <w:rFonts w:ascii="Cambria" w:hAnsi="Cambria"/>
          <w:sz w:val="20"/>
          <w:szCs w:val="20"/>
        </w:rPr>
        <w:t xml:space="preserve"> </w:t>
      </w:r>
      <w:r w:rsidR="00764C75" w:rsidRPr="00764C75">
        <w:rPr>
          <w:rFonts w:ascii="Cambria" w:hAnsi="Cambria"/>
          <w:sz w:val="20"/>
          <w:szCs w:val="20"/>
        </w:rPr>
        <w:t>C. (2011). The effects of low-impact mutations in digital organisms. Theoretical Biology &amp; Medical Modelling 8, 9.</w:t>
      </w:r>
    </w:p>
    <w:p w:rsidR="00764C75" w:rsidRDefault="00E31815" w:rsidP="00764C75">
      <w:pPr>
        <w:spacing w:after="0" w:line="240" w:lineRule="auto"/>
        <w:ind w:left="425" w:hanging="425"/>
        <w:rPr>
          <w:rFonts w:ascii="Cambria" w:hAnsi="Cambria"/>
          <w:sz w:val="20"/>
          <w:szCs w:val="20"/>
        </w:rPr>
      </w:pPr>
      <w:r>
        <w:rPr>
          <w:rFonts w:ascii="Cambria" w:hAnsi="Cambria"/>
          <w:sz w:val="20"/>
          <w:szCs w:val="20"/>
        </w:rPr>
        <w:t xml:space="preserve">[103] </w:t>
      </w:r>
      <w:proofErr w:type="spellStart"/>
      <w:r w:rsidR="00764C75" w:rsidRPr="00764C75">
        <w:rPr>
          <w:rFonts w:ascii="Cambria" w:hAnsi="Cambria"/>
          <w:sz w:val="20"/>
          <w:szCs w:val="20"/>
        </w:rPr>
        <w:t>Ofria</w:t>
      </w:r>
      <w:proofErr w:type="spellEnd"/>
      <w:r w:rsidR="00764C75" w:rsidRPr="00764C75">
        <w:rPr>
          <w:rFonts w:ascii="Cambria" w:hAnsi="Cambria"/>
          <w:sz w:val="20"/>
          <w:szCs w:val="20"/>
        </w:rPr>
        <w:t xml:space="preserve">, C., Huang, W., and </w:t>
      </w:r>
      <w:proofErr w:type="spellStart"/>
      <w:r w:rsidR="00764C75" w:rsidRPr="00764C75">
        <w:rPr>
          <w:rFonts w:ascii="Cambria" w:hAnsi="Cambria"/>
          <w:sz w:val="20"/>
          <w:szCs w:val="20"/>
        </w:rPr>
        <w:t>Torng</w:t>
      </w:r>
      <w:proofErr w:type="spellEnd"/>
      <w:r w:rsidR="00764C75" w:rsidRPr="00764C75">
        <w:rPr>
          <w:rFonts w:ascii="Cambria" w:hAnsi="Cambria"/>
          <w:sz w:val="20"/>
          <w:szCs w:val="20"/>
        </w:rPr>
        <w:t>, E. (2008). On the gradual evolution of complexity and the sudden emergence of complex features. Artificial Life 14, 255–263.</w:t>
      </w:r>
    </w:p>
    <w:p w:rsidR="0059297D" w:rsidRDefault="0059297D" w:rsidP="0059297D">
      <w:pPr>
        <w:spacing w:after="0" w:line="240" w:lineRule="auto"/>
        <w:ind w:left="425" w:hanging="425"/>
        <w:rPr>
          <w:rFonts w:ascii="Cambria" w:hAnsi="Cambria"/>
          <w:sz w:val="20"/>
          <w:szCs w:val="20"/>
        </w:rPr>
      </w:pPr>
      <w:r>
        <w:rPr>
          <w:rFonts w:ascii="Cambria" w:hAnsi="Cambria"/>
          <w:sz w:val="20"/>
          <w:szCs w:val="20"/>
        </w:rPr>
        <w:t xml:space="preserve">[104] </w:t>
      </w:r>
      <w:proofErr w:type="spellStart"/>
      <w:r w:rsidRPr="0059297D">
        <w:rPr>
          <w:rFonts w:ascii="Cambria" w:hAnsi="Cambria"/>
          <w:sz w:val="20"/>
          <w:szCs w:val="20"/>
        </w:rPr>
        <w:t>Lenski</w:t>
      </w:r>
      <w:proofErr w:type="spellEnd"/>
      <w:r w:rsidRPr="0059297D">
        <w:rPr>
          <w:rFonts w:ascii="Cambria" w:hAnsi="Cambria"/>
          <w:sz w:val="20"/>
          <w:szCs w:val="20"/>
        </w:rPr>
        <w:t>, R. (2003). The ecology, genetics and evolution of bacteria i</w:t>
      </w:r>
      <w:r>
        <w:rPr>
          <w:rFonts w:ascii="Cambria" w:hAnsi="Cambria"/>
          <w:sz w:val="20"/>
          <w:szCs w:val="20"/>
        </w:rPr>
        <w:t>n an experimental setting. Current Biology</w:t>
      </w:r>
      <w:r w:rsidRPr="0059297D">
        <w:rPr>
          <w:rFonts w:ascii="Cambria" w:hAnsi="Cambria"/>
          <w:sz w:val="20"/>
          <w:szCs w:val="20"/>
        </w:rPr>
        <w:t xml:space="preserve"> 13, R466-467.</w:t>
      </w:r>
    </w:p>
    <w:p w:rsidR="00CE3F81" w:rsidRDefault="007C3454" w:rsidP="00CE3F81">
      <w:pPr>
        <w:spacing w:after="0" w:line="240" w:lineRule="auto"/>
        <w:ind w:left="425" w:hanging="425"/>
        <w:rPr>
          <w:rFonts w:ascii="Cambria" w:hAnsi="Cambria"/>
          <w:sz w:val="20"/>
          <w:szCs w:val="20"/>
        </w:rPr>
      </w:pPr>
      <w:r>
        <w:rPr>
          <w:rFonts w:ascii="Cambria" w:hAnsi="Cambria"/>
          <w:sz w:val="20"/>
          <w:szCs w:val="20"/>
        </w:rPr>
        <w:t xml:space="preserve">[105] </w:t>
      </w:r>
      <w:r w:rsidRPr="007C3454">
        <w:rPr>
          <w:rFonts w:ascii="Cambria" w:hAnsi="Cambria"/>
          <w:sz w:val="20"/>
          <w:szCs w:val="20"/>
        </w:rPr>
        <w:t>Ling, M</w:t>
      </w:r>
      <w:r>
        <w:rPr>
          <w:rFonts w:ascii="Cambria" w:hAnsi="Cambria"/>
          <w:sz w:val="20"/>
          <w:szCs w:val="20"/>
        </w:rPr>
        <w:t xml:space="preserve">. </w:t>
      </w:r>
      <w:r w:rsidRPr="007C3454">
        <w:rPr>
          <w:rFonts w:ascii="Cambria" w:hAnsi="Cambria"/>
          <w:sz w:val="20"/>
          <w:szCs w:val="20"/>
        </w:rPr>
        <w:t>H</w:t>
      </w:r>
      <w:r>
        <w:rPr>
          <w:rFonts w:ascii="Cambria" w:hAnsi="Cambria"/>
          <w:sz w:val="20"/>
          <w:szCs w:val="20"/>
        </w:rPr>
        <w:t xml:space="preserve">. </w:t>
      </w:r>
      <w:r w:rsidRPr="007C3454">
        <w:rPr>
          <w:rFonts w:ascii="Cambria" w:hAnsi="Cambria"/>
          <w:sz w:val="20"/>
          <w:szCs w:val="20"/>
        </w:rPr>
        <w:t xml:space="preserve">T. </w:t>
      </w:r>
      <w:r>
        <w:rPr>
          <w:rFonts w:ascii="Cambria" w:hAnsi="Cambria"/>
          <w:sz w:val="20"/>
          <w:szCs w:val="20"/>
        </w:rPr>
        <w:t>(</w:t>
      </w:r>
      <w:r w:rsidRPr="007C3454">
        <w:rPr>
          <w:rFonts w:ascii="Cambria" w:hAnsi="Cambria"/>
          <w:sz w:val="20"/>
          <w:szCs w:val="20"/>
        </w:rPr>
        <w:t>2014</w:t>
      </w:r>
      <w:r>
        <w:rPr>
          <w:rFonts w:ascii="Cambria" w:hAnsi="Cambria"/>
          <w:sz w:val="20"/>
          <w:szCs w:val="20"/>
        </w:rPr>
        <w:t>). Applications of artificial life and digital organisms in the study of genetic e</w:t>
      </w:r>
      <w:r w:rsidRPr="007C3454">
        <w:rPr>
          <w:rFonts w:ascii="Cambria" w:hAnsi="Cambria"/>
          <w:sz w:val="20"/>
          <w:szCs w:val="20"/>
        </w:rPr>
        <w:t>volution. Advances in Computer Science: an international journal 3(4): 107-112.</w:t>
      </w:r>
    </w:p>
    <w:p w:rsidR="00CE3F81" w:rsidRPr="00CE3F81" w:rsidRDefault="00CE3F81" w:rsidP="00CE3F81">
      <w:pPr>
        <w:spacing w:after="0" w:line="240" w:lineRule="auto"/>
        <w:ind w:left="425" w:hanging="425"/>
        <w:rPr>
          <w:rFonts w:ascii="Cambria" w:hAnsi="Cambria"/>
          <w:sz w:val="20"/>
          <w:szCs w:val="20"/>
        </w:rPr>
      </w:pPr>
      <w:r>
        <w:rPr>
          <w:rFonts w:ascii="Cambria" w:hAnsi="Cambria"/>
          <w:sz w:val="20"/>
          <w:szCs w:val="20"/>
        </w:rPr>
        <w:t xml:space="preserve">[106] </w:t>
      </w:r>
      <w:r w:rsidRPr="00CE3F81">
        <w:rPr>
          <w:rFonts w:ascii="Cambria" w:hAnsi="Cambria"/>
          <w:sz w:val="20"/>
          <w:szCs w:val="20"/>
        </w:rPr>
        <w:t xml:space="preserve">Hamblin, S. (2013). On the practical usage of genetic algorithms in ecology and evolution. Methods </w:t>
      </w:r>
      <w:r>
        <w:rPr>
          <w:rFonts w:ascii="Cambria" w:hAnsi="Cambria"/>
          <w:sz w:val="20"/>
          <w:szCs w:val="20"/>
        </w:rPr>
        <w:t xml:space="preserve">in </w:t>
      </w:r>
      <w:r w:rsidRPr="00CE3F81">
        <w:rPr>
          <w:rFonts w:ascii="Cambria" w:hAnsi="Cambria"/>
          <w:sz w:val="20"/>
          <w:szCs w:val="20"/>
        </w:rPr>
        <w:t>Ecol</w:t>
      </w:r>
      <w:r>
        <w:rPr>
          <w:rFonts w:ascii="Cambria" w:hAnsi="Cambria"/>
          <w:sz w:val="20"/>
          <w:szCs w:val="20"/>
        </w:rPr>
        <w:t>ogy and</w:t>
      </w:r>
      <w:r w:rsidRPr="00CE3F81">
        <w:rPr>
          <w:rFonts w:ascii="Cambria" w:hAnsi="Cambria"/>
          <w:sz w:val="20"/>
          <w:szCs w:val="20"/>
        </w:rPr>
        <w:t xml:space="preserve"> Evol</w:t>
      </w:r>
      <w:r>
        <w:rPr>
          <w:rFonts w:ascii="Cambria" w:hAnsi="Cambria"/>
          <w:sz w:val="20"/>
          <w:szCs w:val="20"/>
        </w:rPr>
        <w:t>ution</w:t>
      </w:r>
      <w:r w:rsidRPr="00CE3F81">
        <w:rPr>
          <w:rFonts w:ascii="Cambria" w:hAnsi="Cambria"/>
          <w:sz w:val="20"/>
          <w:szCs w:val="20"/>
        </w:rPr>
        <w:t xml:space="preserve"> 4, 184–194.</w:t>
      </w:r>
    </w:p>
    <w:p w:rsidR="00CE3F81" w:rsidRDefault="00CE3F81" w:rsidP="0059297D">
      <w:pPr>
        <w:spacing w:after="0" w:line="240" w:lineRule="auto"/>
        <w:ind w:left="425" w:hanging="425"/>
        <w:rPr>
          <w:rFonts w:ascii="Cambria" w:hAnsi="Cambria"/>
          <w:sz w:val="20"/>
          <w:szCs w:val="20"/>
        </w:rPr>
      </w:pPr>
      <w:r>
        <w:rPr>
          <w:rFonts w:ascii="Cambria" w:hAnsi="Cambria"/>
          <w:sz w:val="20"/>
          <w:szCs w:val="20"/>
        </w:rPr>
        <w:t xml:space="preserve">[107] </w:t>
      </w:r>
      <w:r w:rsidRPr="00CE3F81">
        <w:rPr>
          <w:rFonts w:ascii="Cambria" w:hAnsi="Cambria"/>
          <w:sz w:val="20"/>
          <w:szCs w:val="20"/>
        </w:rPr>
        <w:t>Ling, M</w:t>
      </w:r>
      <w:r>
        <w:rPr>
          <w:rFonts w:ascii="Cambria" w:hAnsi="Cambria"/>
          <w:sz w:val="20"/>
          <w:szCs w:val="20"/>
        </w:rPr>
        <w:t xml:space="preserve">. </w:t>
      </w:r>
      <w:r w:rsidRPr="00CE3F81">
        <w:rPr>
          <w:rFonts w:ascii="Cambria" w:hAnsi="Cambria"/>
          <w:sz w:val="20"/>
          <w:szCs w:val="20"/>
        </w:rPr>
        <w:t>H</w:t>
      </w:r>
      <w:r>
        <w:rPr>
          <w:rFonts w:ascii="Cambria" w:hAnsi="Cambria"/>
          <w:sz w:val="20"/>
          <w:szCs w:val="20"/>
        </w:rPr>
        <w:t xml:space="preserve">. </w:t>
      </w:r>
      <w:r w:rsidRPr="00CE3F81">
        <w:rPr>
          <w:rFonts w:ascii="Cambria" w:hAnsi="Cambria"/>
          <w:sz w:val="20"/>
          <w:szCs w:val="20"/>
        </w:rPr>
        <w:t xml:space="preserve">T. </w:t>
      </w:r>
      <w:r>
        <w:rPr>
          <w:rFonts w:ascii="Cambria" w:hAnsi="Cambria"/>
          <w:sz w:val="20"/>
          <w:szCs w:val="20"/>
        </w:rPr>
        <w:t>(</w:t>
      </w:r>
      <w:r w:rsidRPr="00CE3F81">
        <w:rPr>
          <w:rFonts w:ascii="Cambria" w:hAnsi="Cambria"/>
          <w:sz w:val="20"/>
          <w:szCs w:val="20"/>
        </w:rPr>
        <w:t>2012</w:t>
      </w:r>
      <w:r>
        <w:rPr>
          <w:rFonts w:ascii="Cambria" w:hAnsi="Cambria"/>
          <w:sz w:val="20"/>
          <w:szCs w:val="20"/>
        </w:rPr>
        <w:t>). An artificial life simulation library based on genetic algorithm, 3-character genetic code and biological h</w:t>
      </w:r>
      <w:r w:rsidRPr="00CE3F81">
        <w:rPr>
          <w:rFonts w:ascii="Cambria" w:hAnsi="Cambria"/>
          <w:sz w:val="20"/>
          <w:szCs w:val="20"/>
        </w:rPr>
        <w:t>ierarchy. The Python Papers 7: 5.</w:t>
      </w:r>
    </w:p>
    <w:p w:rsidR="00CE3F81" w:rsidRDefault="00CE3F81" w:rsidP="0059297D">
      <w:pPr>
        <w:spacing w:after="0" w:line="240" w:lineRule="auto"/>
        <w:ind w:left="425" w:hanging="425"/>
        <w:rPr>
          <w:rFonts w:ascii="Cambria" w:hAnsi="Cambria"/>
          <w:sz w:val="20"/>
          <w:szCs w:val="20"/>
        </w:rPr>
      </w:pPr>
      <w:r>
        <w:rPr>
          <w:rFonts w:ascii="Cambria" w:hAnsi="Cambria"/>
          <w:sz w:val="20"/>
          <w:szCs w:val="20"/>
        </w:rPr>
        <w:lastRenderedPageBreak/>
        <w:t xml:space="preserve">[108] </w:t>
      </w:r>
      <w:r w:rsidRPr="00CE3F81">
        <w:rPr>
          <w:rFonts w:ascii="Cambria" w:hAnsi="Cambria"/>
          <w:sz w:val="20"/>
          <w:szCs w:val="20"/>
        </w:rPr>
        <w:t>Ling, M</w:t>
      </w:r>
      <w:r>
        <w:rPr>
          <w:rFonts w:ascii="Cambria" w:hAnsi="Cambria"/>
          <w:sz w:val="20"/>
          <w:szCs w:val="20"/>
        </w:rPr>
        <w:t xml:space="preserve">. </w:t>
      </w:r>
      <w:r w:rsidRPr="00CE3F81">
        <w:rPr>
          <w:rFonts w:ascii="Cambria" w:hAnsi="Cambria"/>
          <w:sz w:val="20"/>
          <w:szCs w:val="20"/>
        </w:rPr>
        <w:t>H</w:t>
      </w:r>
      <w:r>
        <w:rPr>
          <w:rFonts w:ascii="Cambria" w:hAnsi="Cambria"/>
          <w:sz w:val="20"/>
          <w:szCs w:val="20"/>
        </w:rPr>
        <w:t xml:space="preserve">. </w:t>
      </w:r>
      <w:r w:rsidRPr="00CE3F81">
        <w:rPr>
          <w:rFonts w:ascii="Cambria" w:hAnsi="Cambria"/>
          <w:sz w:val="20"/>
          <w:szCs w:val="20"/>
        </w:rPr>
        <w:t xml:space="preserve">T. </w:t>
      </w:r>
      <w:r>
        <w:rPr>
          <w:rFonts w:ascii="Cambria" w:hAnsi="Cambria"/>
          <w:sz w:val="20"/>
          <w:szCs w:val="20"/>
        </w:rPr>
        <w:t>(</w:t>
      </w:r>
      <w:r w:rsidRPr="00CE3F81">
        <w:rPr>
          <w:rFonts w:ascii="Cambria" w:hAnsi="Cambria"/>
          <w:sz w:val="20"/>
          <w:szCs w:val="20"/>
        </w:rPr>
        <w:t>2012</w:t>
      </w:r>
      <w:r>
        <w:rPr>
          <w:rFonts w:ascii="Cambria" w:hAnsi="Cambria"/>
          <w:sz w:val="20"/>
          <w:szCs w:val="20"/>
        </w:rPr>
        <w:t xml:space="preserve">). </w:t>
      </w:r>
      <w:proofErr w:type="spellStart"/>
      <w:r>
        <w:rPr>
          <w:rFonts w:ascii="Cambria" w:hAnsi="Cambria"/>
          <w:sz w:val="20"/>
          <w:szCs w:val="20"/>
        </w:rPr>
        <w:t>Ragaraja</w:t>
      </w:r>
      <w:proofErr w:type="spellEnd"/>
      <w:r>
        <w:rPr>
          <w:rFonts w:ascii="Cambria" w:hAnsi="Cambria"/>
          <w:sz w:val="20"/>
          <w:szCs w:val="20"/>
        </w:rPr>
        <w:t xml:space="preserve"> 1.0: The genome i</w:t>
      </w:r>
      <w:r w:rsidRPr="00CE3F81">
        <w:rPr>
          <w:rFonts w:ascii="Cambria" w:hAnsi="Cambria"/>
          <w:sz w:val="20"/>
          <w:szCs w:val="20"/>
        </w:rPr>
        <w:t>nterpreter of Digital Organism Simulation Environment (DOSE). The Python Papers Source Codes 4: 2.</w:t>
      </w:r>
    </w:p>
    <w:p w:rsidR="00E86294" w:rsidRPr="00E86294" w:rsidRDefault="00E86294" w:rsidP="00E86294">
      <w:pPr>
        <w:spacing w:after="0" w:line="240" w:lineRule="auto"/>
        <w:ind w:left="425" w:hanging="425"/>
        <w:rPr>
          <w:rFonts w:ascii="Cambria" w:hAnsi="Cambria"/>
          <w:sz w:val="20"/>
          <w:szCs w:val="20"/>
        </w:rPr>
      </w:pPr>
      <w:r>
        <w:rPr>
          <w:rFonts w:ascii="Cambria" w:hAnsi="Cambria"/>
          <w:sz w:val="20"/>
          <w:szCs w:val="20"/>
        </w:rPr>
        <w:t xml:space="preserve">[109] </w:t>
      </w:r>
      <w:r w:rsidRPr="00E86294">
        <w:rPr>
          <w:rFonts w:ascii="Cambria" w:hAnsi="Cambria"/>
          <w:sz w:val="20"/>
          <w:szCs w:val="20"/>
        </w:rPr>
        <w:t xml:space="preserve">Raymond, </w:t>
      </w:r>
      <w:r>
        <w:rPr>
          <w:rFonts w:ascii="Cambria" w:hAnsi="Cambria"/>
          <w:sz w:val="20"/>
          <w:szCs w:val="20"/>
        </w:rPr>
        <w:t>L.,</w:t>
      </w:r>
      <w:r w:rsidRPr="00E86294">
        <w:rPr>
          <w:rFonts w:ascii="Cambria" w:hAnsi="Cambria"/>
          <w:sz w:val="20"/>
          <w:szCs w:val="20"/>
        </w:rPr>
        <w:t xml:space="preserve"> </w:t>
      </w:r>
      <w:proofErr w:type="spellStart"/>
      <w:r w:rsidRPr="00E86294">
        <w:rPr>
          <w:rFonts w:ascii="Cambria" w:hAnsi="Cambria"/>
          <w:sz w:val="20"/>
          <w:szCs w:val="20"/>
        </w:rPr>
        <w:t>Plantegenest</w:t>
      </w:r>
      <w:proofErr w:type="spellEnd"/>
      <w:r w:rsidRPr="00E86294">
        <w:rPr>
          <w:rFonts w:ascii="Cambria" w:hAnsi="Cambria"/>
          <w:sz w:val="20"/>
          <w:szCs w:val="20"/>
        </w:rPr>
        <w:t xml:space="preserve">, </w:t>
      </w:r>
      <w:r>
        <w:rPr>
          <w:rFonts w:ascii="Cambria" w:hAnsi="Cambria"/>
          <w:sz w:val="20"/>
          <w:szCs w:val="20"/>
        </w:rPr>
        <w:t xml:space="preserve">M., and </w:t>
      </w:r>
      <w:proofErr w:type="spellStart"/>
      <w:r w:rsidRPr="00E86294">
        <w:rPr>
          <w:rFonts w:ascii="Cambria" w:hAnsi="Cambria"/>
          <w:sz w:val="20"/>
          <w:szCs w:val="20"/>
        </w:rPr>
        <w:t>Vialatte</w:t>
      </w:r>
      <w:proofErr w:type="spellEnd"/>
      <w:r w:rsidRPr="00E86294">
        <w:rPr>
          <w:rFonts w:ascii="Cambria" w:hAnsi="Cambria"/>
          <w:sz w:val="20"/>
          <w:szCs w:val="20"/>
        </w:rPr>
        <w:t xml:space="preserve">, </w:t>
      </w:r>
      <w:r>
        <w:rPr>
          <w:rFonts w:ascii="Cambria" w:hAnsi="Cambria"/>
          <w:sz w:val="20"/>
          <w:szCs w:val="20"/>
        </w:rPr>
        <w:t xml:space="preserve">A. (2013). Migration </w:t>
      </w:r>
      <w:r w:rsidRPr="00E86294">
        <w:rPr>
          <w:rFonts w:ascii="Cambria" w:hAnsi="Cambria"/>
          <w:sz w:val="20"/>
          <w:szCs w:val="20"/>
        </w:rPr>
        <w:t>and dispersal may driv</w:t>
      </w:r>
      <w:r>
        <w:rPr>
          <w:rFonts w:ascii="Cambria" w:hAnsi="Cambria"/>
          <w:sz w:val="20"/>
          <w:szCs w:val="20"/>
        </w:rPr>
        <w:t xml:space="preserve">e to high genetic variation and </w:t>
      </w:r>
      <w:r w:rsidRPr="00E86294">
        <w:rPr>
          <w:rFonts w:ascii="Cambria" w:hAnsi="Cambria"/>
          <w:sz w:val="20"/>
          <w:szCs w:val="20"/>
        </w:rPr>
        <w:t>significant genetic mixing:</w:t>
      </w:r>
      <w:r>
        <w:rPr>
          <w:rFonts w:ascii="Cambria" w:hAnsi="Cambria"/>
          <w:sz w:val="20"/>
          <w:szCs w:val="20"/>
        </w:rPr>
        <w:t xml:space="preserve"> the case of two agriculturally </w:t>
      </w:r>
      <w:r w:rsidRPr="00E86294">
        <w:rPr>
          <w:rFonts w:ascii="Cambria" w:hAnsi="Cambria"/>
          <w:sz w:val="20"/>
          <w:szCs w:val="20"/>
        </w:rPr>
        <w:t>important, continental hover</w:t>
      </w:r>
      <w:r>
        <w:rPr>
          <w:rFonts w:ascii="Cambria" w:hAnsi="Cambria"/>
          <w:sz w:val="20"/>
          <w:szCs w:val="20"/>
        </w:rPr>
        <w:t>flies (</w:t>
      </w:r>
      <w:proofErr w:type="spellStart"/>
      <w:r w:rsidRPr="00E86294">
        <w:rPr>
          <w:rFonts w:ascii="Cambria" w:hAnsi="Cambria"/>
          <w:i/>
          <w:sz w:val="20"/>
          <w:szCs w:val="20"/>
        </w:rPr>
        <w:t>Episyrphus</w:t>
      </w:r>
      <w:proofErr w:type="spellEnd"/>
      <w:r w:rsidRPr="00E86294">
        <w:rPr>
          <w:rFonts w:ascii="Cambria" w:hAnsi="Cambria"/>
          <w:i/>
          <w:sz w:val="20"/>
          <w:szCs w:val="20"/>
        </w:rPr>
        <w:t xml:space="preserve"> </w:t>
      </w:r>
      <w:proofErr w:type="spellStart"/>
      <w:r w:rsidRPr="00E86294">
        <w:rPr>
          <w:rFonts w:ascii="Cambria" w:hAnsi="Cambria"/>
          <w:i/>
          <w:sz w:val="20"/>
          <w:szCs w:val="20"/>
        </w:rPr>
        <w:t>balteatus</w:t>
      </w:r>
      <w:proofErr w:type="spellEnd"/>
      <w:r>
        <w:rPr>
          <w:rFonts w:ascii="Cambria" w:hAnsi="Cambria"/>
          <w:sz w:val="20"/>
          <w:szCs w:val="20"/>
        </w:rPr>
        <w:t xml:space="preserve"> and </w:t>
      </w:r>
      <w:proofErr w:type="spellStart"/>
      <w:r w:rsidRPr="00E86294">
        <w:rPr>
          <w:rFonts w:ascii="Cambria" w:hAnsi="Cambria"/>
          <w:i/>
          <w:sz w:val="20"/>
          <w:szCs w:val="20"/>
        </w:rPr>
        <w:t>Sphaerophoria</w:t>
      </w:r>
      <w:proofErr w:type="spellEnd"/>
      <w:r w:rsidRPr="00E86294">
        <w:rPr>
          <w:rFonts w:ascii="Cambria" w:hAnsi="Cambria"/>
          <w:i/>
          <w:sz w:val="20"/>
          <w:szCs w:val="20"/>
        </w:rPr>
        <w:t xml:space="preserve"> </w:t>
      </w:r>
      <w:proofErr w:type="spellStart"/>
      <w:r w:rsidRPr="00E86294">
        <w:rPr>
          <w:rFonts w:ascii="Cambria" w:hAnsi="Cambria"/>
          <w:i/>
          <w:sz w:val="20"/>
          <w:szCs w:val="20"/>
        </w:rPr>
        <w:t>scripta</w:t>
      </w:r>
      <w:proofErr w:type="spellEnd"/>
      <w:r>
        <w:rPr>
          <w:rFonts w:ascii="Cambria" w:hAnsi="Cambria"/>
          <w:sz w:val="20"/>
          <w:szCs w:val="20"/>
        </w:rPr>
        <w:t xml:space="preserve">). Molecular Ecology 22, </w:t>
      </w:r>
      <w:r w:rsidRPr="00E86294">
        <w:rPr>
          <w:rFonts w:ascii="Cambria" w:hAnsi="Cambria"/>
          <w:sz w:val="20"/>
          <w:szCs w:val="20"/>
        </w:rPr>
        <w:t>5329-5339.</w:t>
      </w:r>
    </w:p>
    <w:p w:rsidR="00A86FF4" w:rsidRDefault="00E86294" w:rsidP="00A86FF4">
      <w:pPr>
        <w:spacing w:after="0" w:line="240" w:lineRule="auto"/>
        <w:ind w:left="425" w:hanging="425"/>
        <w:rPr>
          <w:rFonts w:ascii="Cambria" w:hAnsi="Cambria"/>
          <w:sz w:val="20"/>
          <w:szCs w:val="20"/>
        </w:rPr>
      </w:pPr>
      <w:r>
        <w:rPr>
          <w:rFonts w:ascii="Cambria" w:hAnsi="Cambria"/>
          <w:sz w:val="20"/>
          <w:szCs w:val="20"/>
        </w:rPr>
        <w:t>[11</w:t>
      </w:r>
      <w:r w:rsidRPr="00E86294">
        <w:rPr>
          <w:rFonts w:ascii="Cambria" w:hAnsi="Cambria"/>
          <w:sz w:val="20"/>
          <w:szCs w:val="20"/>
        </w:rPr>
        <w:t xml:space="preserve">0] </w:t>
      </w:r>
      <w:proofErr w:type="spellStart"/>
      <w:r w:rsidRPr="00E86294">
        <w:rPr>
          <w:rFonts w:ascii="Cambria" w:hAnsi="Cambria"/>
          <w:sz w:val="20"/>
          <w:szCs w:val="20"/>
        </w:rPr>
        <w:t>Relethford</w:t>
      </w:r>
      <w:proofErr w:type="spellEnd"/>
      <w:r w:rsidRPr="00E86294">
        <w:rPr>
          <w:rFonts w:ascii="Cambria" w:hAnsi="Cambria"/>
          <w:sz w:val="20"/>
          <w:szCs w:val="20"/>
        </w:rPr>
        <w:t xml:space="preserve">, J. H. </w:t>
      </w:r>
      <w:r>
        <w:rPr>
          <w:rFonts w:ascii="Cambria" w:hAnsi="Cambria"/>
          <w:sz w:val="20"/>
          <w:szCs w:val="20"/>
        </w:rPr>
        <w:t xml:space="preserve">(1988). </w:t>
      </w:r>
      <w:r w:rsidRPr="00E86294">
        <w:rPr>
          <w:rFonts w:ascii="Cambria" w:hAnsi="Cambria"/>
          <w:sz w:val="20"/>
          <w:szCs w:val="20"/>
        </w:rPr>
        <w:t>Heterogen</w:t>
      </w:r>
      <w:r>
        <w:rPr>
          <w:rFonts w:ascii="Cambria" w:hAnsi="Cambria"/>
          <w:sz w:val="20"/>
          <w:szCs w:val="20"/>
        </w:rPr>
        <w:t xml:space="preserve">eity of long-distance migration </w:t>
      </w:r>
      <w:r w:rsidRPr="00E86294">
        <w:rPr>
          <w:rFonts w:ascii="Cambria" w:hAnsi="Cambria"/>
          <w:sz w:val="20"/>
          <w:szCs w:val="20"/>
        </w:rPr>
        <w:t>in</w:t>
      </w:r>
      <w:r>
        <w:rPr>
          <w:rFonts w:ascii="Cambria" w:hAnsi="Cambria"/>
          <w:sz w:val="20"/>
          <w:szCs w:val="20"/>
        </w:rPr>
        <w:t xml:space="preserve"> studies of genetic structure. Annals of Human Biology 15,</w:t>
      </w:r>
      <w:r w:rsidRPr="00E86294">
        <w:rPr>
          <w:rFonts w:ascii="Cambria" w:hAnsi="Cambria"/>
          <w:sz w:val="20"/>
          <w:szCs w:val="20"/>
        </w:rPr>
        <w:t xml:space="preserve"> 55-63.</w:t>
      </w:r>
    </w:p>
    <w:p w:rsidR="00A86FF4" w:rsidRPr="00A86FF4" w:rsidRDefault="00A86FF4" w:rsidP="00A86FF4">
      <w:pPr>
        <w:spacing w:after="0" w:line="240" w:lineRule="auto"/>
        <w:ind w:left="425" w:hanging="425"/>
        <w:rPr>
          <w:rFonts w:ascii="Cambria" w:hAnsi="Cambria"/>
          <w:sz w:val="20"/>
          <w:szCs w:val="20"/>
        </w:rPr>
      </w:pPr>
      <w:r>
        <w:rPr>
          <w:rFonts w:ascii="Cambria" w:hAnsi="Cambria"/>
          <w:sz w:val="20"/>
          <w:szCs w:val="20"/>
        </w:rPr>
        <w:t xml:space="preserve">[111] </w:t>
      </w:r>
      <w:proofErr w:type="spellStart"/>
      <w:r w:rsidRPr="00A86FF4">
        <w:rPr>
          <w:rFonts w:ascii="Cambria" w:hAnsi="Cambria"/>
          <w:sz w:val="20"/>
          <w:szCs w:val="20"/>
        </w:rPr>
        <w:t>Ba</w:t>
      </w:r>
      <w:r>
        <w:rPr>
          <w:rFonts w:ascii="Cambria" w:hAnsi="Cambria"/>
          <w:sz w:val="20"/>
          <w:szCs w:val="20"/>
        </w:rPr>
        <w:t>lkhair</w:t>
      </w:r>
      <w:proofErr w:type="spellEnd"/>
      <w:r>
        <w:rPr>
          <w:rFonts w:ascii="Cambria" w:hAnsi="Cambria"/>
          <w:sz w:val="20"/>
          <w:szCs w:val="20"/>
        </w:rPr>
        <w:t>, A. (2017). Antibiotics resistance: When the a</w:t>
      </w:r>
      <w:r w:rsidRPr="00A86FF4">
        <w:rPr>
          <w:rFonts w:ascii="Cambria" w:hAnsi="Cambria"/>
          <w:sz w:val="20"/>
          <w:szCs w:val="20"/>
        </w:rPr>
        <w:t>rmamenta</w:t>
      </w:r>
      <w:r>
        <w:rPr>
          <w:rFonts w:ascii="Cambria" w:hAnsi="Cambria"/>
          <w:sz w:val="20"/>
          <w:szCs w:val="20"/>
        </w:rPr>
        <w:t>rium gets to the verge of being e</w:t>
      </w:r>
      <w:r w:rsidRPr="00A86FF4">
        <w:rPr>
          <w:rFonts w:ascii="Cambria" w:hAnsi="Cambria"/>
          <w:sz w:val="20"/>
          <w:szCs w:val="20"/>
        </w:rPr>
        <w:t>mpty. Oman Medical Journal 32, 267–268.</w:t>
      </w:r>
    </w:p>
    <w:p w:rsidR="00A86FF4" w:rsidRDefault="00483C17" w:rsidP="00483C17">
      <w:pPr>
        <w:spacing w:after="0" w:line="240" w:lineRule="auto"/>
        <w:ind w:left="425" w:hanging="425"/>
        <w:rPr>
          <w:rFonts w:ascii="Cambria" w:hAnsi="Cambria"/>
          <w:sz w:val="20"/>
          <w:szCs w:val="20"/>
        </w:rPr>
      </w:pPr>
      <w:r>
        <w:rPr>
          <w:rFonts w:ascii="Cambria" w:hAnsi="Cambria"/>
          <w:sz w:val="20"/>
          <w:szCs w:val="20"/>
        </w:rPr>
        <w:t xml:space="preserve">[112] </w:t>
      </w:r>
      <w:r w:rsidRPr="00483C17">
        <w:rPr>
          <w:rFonts w:ascii="Cambria" w:hAnsi="Cambria"/>
          <w:sz w:val="20"/>
          <w:szCs w:val="20"/>
        </w:rPr>
        <w:t xml:space="preserve">Guillemot, D., </w:t>
      </w:r>
      <w:proofErr w:type="spellStart"/>
      <w:r w:rsidRPr="00483C17">
        <w:rPr>
          <w:rFonts w:ascii="Cambria" w:hAnsi="Cambria"/>
          <w:sz w:val="20"/>
          <w:szCs w:val="20"/>
        </w:rPr>
        <w:t>Varon</w:t>
      </w:r>
      <w:proofErr w:type="spellEnd"/>
      <w:r w:rsidRPr="00483C17">
        <w:rPr>
          <w:rFonts w:ascii="Cambria" w:hAnsi="Cambria"/>
          <w:sz w:val="20"/>
          <w:szCs w:val="20"/>
        </w:rPr>
        <w:t xml:space="preserve">, E., </w:t>
      </w:r>
      <w:proofErr w:type="spellStart"/>
      <w:r w:rsidRPr="00483C17">
        <w:rPr>
          <w:rFonts w:ascii="Cambria" w:hAnsi="Cambria"/>
          <w:sz w:val="20"/>
          <w:szCs w:val="20"/>
        </w:rPr>
        <w:t>Bernede</w:t>
      </w:r>
      <w:proofErr w:type="spellEnd"/>
      <w:r w:rsidRPr="00483C17">
        <w:rPr>
          <w:rFonts w:ascii="Cambria" w:hAnsi="Cambria"/>
          <w:sz w:val="20"/>
          <w:szCs w:val="20"/>
        </w:rPr>
        <w:t xml:space="preserve">, C., Weber, P., </w:t>
      </w:r>
      <w:proofErr w:type="spellStart"/>
      <w:r w:rsidRPr="00483C17">
        <w:rPr>
          <w:rFonts w:ascii="Cambria" w:hAnsi="Cambria"/>
          <w:sz w:val="20"/>
          <w:szCs w:val="20"/>
        </w:rPr>
        <w:t>Henriet</w:t>
      </w:r>
      <w:proofErr w:type="spellEnd"/>
      <w:r w:rsidRPr="00483C17">
        <w:rPr>
          <w:rFonts w:ascii="Cambria" w:hAnsi="Cambria"/>
          <w:sz w:val="20"/>
          <w:szCs w:val="20"/>
        </w:rPr>
        <w:t xml:space="preserve">, L., Simon, S., Laurent, C., </w:t>
      </w:r>
      <w:proofErr w:type="spellStart"/>
      <w:r w:rsidRPr="00483C17">
        <w:rPr>
          <w:rFonts w:ascii="Cambria" w:hAnsi="Cambria"/>
          <w:sz w:val="20"/>
          <w:szCs w:val="20"/>
        </w:rPr>
        <w:t>Lecoeur</w:t>
      </w:r>
      <w:proofErr w:type="spellEnd"/>
      <w:r w:rsidRPr="00483C17">
        <w:rPr>
          <w:rFonts w:ascii="Cambria" w:hAnsi="Cambria"/>
          <w:sz w:val="20"/>
          <w:szCs w:val="20"/>
        </w:rPr>
        <w:t>, H., and Carbon, C. (2005)</w:t>
      </w:r>
      <w:r>
        <w:rPr>
          <w:rFonts w:ascii="Cambria" w:hAnsi="Cambria"/>
          <w:sz w:val="20"/>
          <w:szCs w:val="20"/>
        </w:rPr>
        <w:t>.</w:t>
      </w:r>
      <w:r w:rsidRPr="00483C17">
        <w:rPr>
          <w:rFonts w:ascii="Cambria" w:hAnsi="Cambria"/>
          <w:sz w:val="20"/>
          <w:szCs w:val="20"/>
        </w:rPr>
        <w:t xml:space="preserve"> Reduction of antibiotic use in the community reduces the rate of colonization with penicillin G-</w:t>
      </w:r>
      <w:proofErr w:type="spellStart"/>
      <w:r w:rsidRPr="00483C17">
        <w:rPr>
          <w:rFonts w:ascii="Cambria" w:hAnsi="Cambria"/>
          <w:sz w:val="20"/>
          <w:szCs w:val="20"/>
        </w:rPr>
        <w:t>nonsusceptible</w:t>
      </w:r>
      <w:proofErr w:type="spellEnd"/>
      <w:r w:rsidRPr="00483C17">
        <w:rPr>
          <w:rFonts w:ascii="Cambria" w:hAnsi="Cambria"/>
          <w:sz w:val="20"/>
          <w:szCs w:val="20"/>
        </w:rPr>
        <w:t xml:space="preserve"> </w:t>
      </w:r>
      <w:r w:rsidRPr="00483C17">
        <w:rPr>
          <w:rFonts w:ascii="Cambria" w:hAnsi="Cambria"/>
          <w:i/>
          <w:sz w:val="20"/>
          <w:szCs w:val="20"/>
        </w:rPr>
        <w:t>Streptococcus pneumonia</w:t>
      </w:r>
      <w:r>
        <w:rPr>
          <w:rFonts w:ascii="Cambria" w:hAnsi="Cambria"/>
          <w:sz w:val="20"/>
          <w:szCs w:val="20"/>
        </w:rPr>
        <w:t>. Clinical Infectious Diseases</w:t>
      </w:r>
      <w:r w:rsidRPr="00483C17">
        <w:rPr>
          <w:rFonts w:ascii="Cambria" w:hAnsi="Cambria"/>
          <w:sz w:val="20"/>
          <w:szCs w:val="20"/>
        </w:rPr>
        <w:t>: an official publication of the Infectious Diseases Society of America 41, 930-938.</w:t>
      </w:r>
    </w:p>
    <w:p w:rsidR="00483C17" w:rsidRDefault="00483C17" w:rsidP="00483C17">
      <w:pPr>
        <w:spacing w:after="0" w:line="240" w:lineRule="auto"/>
        <w:ind w:left="425" w:hanging="425"/>
        <w:rPr>
          <w:rFonts w:ascii="Cambria" w:hAnsi="Cambria"/>
          <w:sz w:val="20"/>
          <w:szCs w:val="20"/>
        </w:rPr>
      </w:pPr>
      <w:r>
        <w:rPr>
          <w:rFonts w:ascii="Cambria" w:hAnsi="Cambria"/>
          <w:sz w:val="20"/>
          <w:szCs w:val="20"/>
        </w:rPr>
        <w:t xml:space="preserve">[113] </w:t>
      </w:r>
      <w:r w:rsidRPr="00483C17">
        <w:rPr>
          <w:rFonts w:ascii="Cambria" w:hAnsi="Cambria"/>
          <w:sz w:val="20"/>
          <w:szCs w:val="20"/>
        </w:rPr>
        <w:t xml:space="preserve">Johnsen, P. J., Townsend, J. P., Bohn, T., </w:t>
      </w:r>
      <w:proofErr w:type="spellStart"/>
      <w:r w:rsidRPr="00483C17">
        <w:rPr>
          <w:rFonts w:ascii="Cambria" w:hAnsi="Cambria"/>
          <w:sz w:val="20"/>
          <w:szCs w:val="20"/>
        </w:rPr>
        <w:t>Simonsen</w:t>
      </w:r>
      <w:proofErr w:type="spellEnd"/>
      <w:r w:rsidRPr="00483C17">
        <w:rPr>
          <w:rFonts w:ascii="Cambria" w:hAnsi="Cambria"/>
          <w:sz w:val="20"/>
          <w:szCs w:val="20"/>
        </w:rPr>
        <w:t xml:space="preserve">, G. S., </w:t>
      </w:r>
      <w:proofErr w:type="spellStart"/>
      <w:r w:rsidRPr="00483C17">
        <w:rPr>
          <w:rFonts w:ascii="Cambria" w:hAnsi="Cambria"/>
          <w:sz w:val="20"/>
          <w:szCs w:val="20"/>
        </w:rPr>
        <w:t>Sundsfjord</w:t>
      </w:r>
      <w:proofErr w:type="spellEnd"/>
      <w:r w:rsidRPr="00483C17">
        <w:rPr>
          <w:rFonts w:ascii="Cambria" w:hAnsi="Cambria"/>
          <w:sz w:val="20"/>
          <w:szCs w:val="20"/>
        </w:rPr>
        <w:t>, A., and Nielsen, K. M. (2009)</w:t>
      </w:r>
      <w:r>
        <w:rPr>
          <w:rFonts w:ascii="Cambria" w:hAnsi="Cambria"/>
          <w:sz w:val="20"/>
          <w:szCs w:val="20"/>
        </w:rPr>
        <w:t>.</w:t>
      </w:r>
      <w:r w:rsidRPr="00483C17">
        <w:rPr>
          <w:rFonts w:ascii="Cambria" w:hAnsi="Cambria"/>
          <w:sz w:val="20"/>
          <w:szCs w:val="20"/>
        </w:rPr>
        <w:t xml:space="preserve"> Factors affecting the reversal of antimicrobi</w:t>
      </w:r>
      <w:r>
        <w:rPr>
          <w:rFonts w:ascii="Cambria" w:hAnsi="Cambria"/>
          <w:sz w:val="20"/>
          <w:szCs w:val="20"/>
        </w:rPr>
        <w:t>al-drug resistance. The Lancet Infectious D</w:t>
      </w:r>
      <w:r w:rsidRPr="00483C17">
        <w:rPr>
          <w:rFonts w:ascii="Cambria" w:hAnsi="Cambria"/>
          <w:sz w:val="20"/>
          <w:szCs w:val="20"/>
        </w:rPr>
        <w:t>iseases 9, 357-364.</w:t>
      </w:r>
    </w:p>
    <w:p w:rsidR="00483C17" w:rsidRPr="0059297D" w:rsidRDefault="00483C17" w:rsidP="00483C17">
      <w:pPr>
        <w:spacing w:after="0" w:line="240" w:lineRule="auto"/>
        <w:ind w:left="425" w:hanging="425"/>
        <w:rPr>
          <w:rFonts w:ascii="Cambria" w:hAnsi="Cambria"/>
          <w:sz w:val="20"/>
          <w:szCs w:val="20"/>
        </w:rPr>
      </w:pPr>
      <w:r>
        <w:rPr>
          <w:rFonts w:ascii="Cambria" w:hAnsi="Cambria"/>
          <w:sz w:val="20"/>
          <w:szCs w:val="20"/>
        </w:rPr>
        <w:t xml:space="preserve">[114] </w:t>
      </w:r>
      <w:proofErr w:type="spellStart"/>
      <w:r w:rsidRPr="00483C17">
        <w:rPr>
          <w:rFonts w:ascii="Cambria" w:hAnsi="Cambria"/>
          <w:sz w:val="20"/>
          <w:szCs w:val="20"/>
        </w:rPr>
        <w:t>Enne</w:t>
      </w:r>
      <w:proofErr w:type="spellEnd"/>
      <w:r w:rsidRPr="00483C17">
        <w:rPr>
          <w:rFonts w:ascii="Cambria" w:hAnsi="Cambria"/>
          <w:sz w:val="20"/>
          <w:szCs w:val="20"/>
        </w:rPr>
        <w:t>, V. I., Livermore, D. M., Stephens, P., and Hall, L. M. (2001)</w:t>
      </w:r>
      <w:r>
        <w:rPr>
          <w:rFonts w:ascii="Cambria" w:hAnsi="Cambria"/>
          <w:sz w:val="20"/>
          <w:szCs w:val="20"/>
        </w:rPr>
        <w:t>.</w:t>
      </w:r>
      <w:r w:rsidRPr="00483C17">
        <w:rPr>
          <w:rFonts w:ascii="Cambria" w:hAnsi="Cambria"/>
          <w:sz w:val="20"/>
          <w:szCs w:val="20"/>
        </w:rPr>
        <w:t xml:space="preserve"> Persistence of </w:t>
      </w:r>
      <w:proofErr w:type="spellStart"/>
      <w:r w:rsidRPr="00483C17">
        <w:rPr>
          <w:rFonts w:ascii="Cambria" w:hAnsi="Cambria"/>
          <w:sz w:val="20"/>
          <w:szCs w:val="20"/>
        </w:rPr>
        <w:t>sulphonamide</w:t>
      </w:r>
      <w:proofErr w:type="spellEnd"/>
      <w:r w:rsidRPr="00483C17">
        <w:rPr>
          <w:rFonts w:ascii="Cambria" w:hAnsi="Cambria"/>
          <w:sz w:val="20"/>
          <w:szCs w:val="20"/>
        </w:rPr>
        <w:t xml:space="preserve"> resistance in </w:t>
      </w:r>
      <w:r w:rsidRPr="00483C17">
        <w:rPr>
          <w:rFonts w:ascii="Cambria" w:hAnsi="Cambria"/>
          <w:i/>
          <w:sz w:val="20"/>
          <w:szCs w:val="20"/>
        </w:rPr>
        <w:t>Escherichia coli</w:t>
      </w:r>
      <w:r w:rsidRPr="00483C17">
        <w:rPr>
          <w:rFonts w:ascii="Cambria" w:hAnsi="Cambria"/>
          <w:sz w:val="20"/>
          <w:szCs w:val="20"/>
        </w:rPr>
        <w:t xml:space="preserve"> in the UK despite national prescribing restric</w:t>
      </w:r>
      <w:r>
        <w:rPr>
          <w:rFonts w:ascii="Cambria" w:hAnsi="Cambria"/>
          <w:sz w:val="20"/>
          <w:szCs w:val="20"/>
        </w:rPr>
        <w:t>tion.</w:t>
      </w:r>
      <w:r w:rsidRPr="00483C17">
        <w:rPr>
          <w:rFonts w:ascii="Cambria" w:hAnsi="Cambria"/>
          <w:sz w:val="20"/>
          <w:szCs w:val="20"/>
        </w:rPr>
        <w:t xml:space="preserve"> Lancet 357, 1325-1328.</w:t>
      </w:r>
    </w:p>
    <w:p w:rsidR="00764C75" w:rsidRDefault="00172F70" w:rsidP="002575F6">
      <w:pPr>
        <w:spacing w:after="0" w:line="240" w:lineRule="auto"/>
        <w:ind w:left="425" w:hanging="425"/>
        <w:rPr>
          <w:rFonts w:ascii="Cambria" w:hAnsi="Cambria"/>
          <w:sz w:val="20"/>
          <w:szCs w:val="20"/>
        </w:rPr>
      </w:pPr>
      <w:r>
        <w:rPr>
          <w:rFonts w:ascii="Cambria" w:hAnsi="Cambria"/>
          <w:sz w:val="20"/>
          <w:szCs w:val="20"/>
        </w:rPr>
        <w:t xml:space="preserve">[115] </w:t>
      </w:r>
      <w:r w:rsidRPr="00172F70">
        <w:rPr>
          <w:rFonts w:ascii="Cambria" w:hAnsi="Cambria"/>
          <w:sz w:val="20"/>
          <w:szCs w:val="20"/>
        </w:rPr>
        <w:t>Knight</w:t>
      </w:r>
      <w:r>
        <w:rPr>
          <w:rFonts w:ascii="Cambria" w:hAnsi="Cambria"/>
          <w:sz w:val="20"/>
          <w:szCs w:val="20"/>
        </w:rPr>
        <w:t>,</w:t>
      </w:r>
      <w:r w:rsidRPr="00172F70">
        <w:rPr>
          <w:rFonts w:ascii="Cambria" w:hAnsi="Cambria"/>
          <w:sz w:val="20"/>
          <w:szCs w:val="20"/>
        </w:rPr>
        <w:t xml:space="preserve"> G</w:t>
      </w:r>
      <w:r>
        <w:rPr>
          <w:rFonts w:ascii="Cambria" w:hAnsi="Cambria"/>
          <w:sz w:val="20"/>
          <w:szCs w:val="20"/>
        </w:rPr>
        <w:t xml:space="preserve">. </w:t>
      </w:r>
      <w:r w:rsidRPr="00172F70">
        <w:rPr>
          <w:rFonts w:ascii="Cambria" w:hAnsi="Cambria"/>
          <w:sz w:val="20"/>
          <w:szCs w:val="20"/>
        </w:rPr>
        <w:t>M</w:t>
      </w:r>
      <w:r>
        <w:rPr>
          <w:rFonts w:ascii="Cambria" w:hAnsi="Cambria"/>
          <w:sz w:val="20"/>
          <w:szCs w:val="20"/>
        </w:rPr>
        <w:t>.</w:t>
      </w:r>
      <w:r w:rsidRPr="00172F70">
        <w:rPr>
          <w:rFonts w:ascii="Cambria" w:hAnsi="Cambria"/>
          <w:sz w:val="20"/>
          <w:szCs w:val="20"/>
        </w:rPr>
        <w:t>, Budd</w:t>
      </w:r>
      <w:r>
        <w:rPr>
          <w:rFonts w:ascii="Cambria" w:hAnsi="Cambria"/>
          <w:sz w:val="20"/>
          <w:szCs w:val="20"/>
        </w:rPr>
        <w:t>,</w:t>
      </w:r>
      <w:r w:rsidRPr="00172F70">
        <w:rPr>
          <w:rFonts w:ascii="Cambria" w:hAnsi="Cambria"/>
          <w:sz w:val="20"/>
          <w:szCs w:val="20"/>
        </w:rPr>
        <w:t xml:space="preserve"> E</w:t>
      </w:r>
      <w:r>
        <w:rPr>
          <w:rFonts w:ascii="Cambria" w:hAnsi="Cambria"/>
          <w:sz w:val="20"/>
          <w:szCs w:val="20"/>
        </w:rPr>
        <w:t xml:space="preserve">. </w:t>
      </w:r>
      <w:r w:rsidRPr="00172F70">
        <w:rPr>
          <w:rFonts w:ascii="Cambria" w:hAnsi="Cambria"/>
          <w:sz w:val="20"/>
          <w:szCs w:val="20"/>
        </w:rPr>
        <w:t>L</w:t>
      </w:r>
      <w:r>
        <w:rPr>
          <w:rFonts w:ascii="Cambria" w:hAnsi="Cambria"/>
          <w:sz w:val="20"/>
          <w:szCs w:val="20"/>
        </w:rPr>
        <w:t>.</w:t>
      </w:r>
      <w:r w:rsidRPr="00172F70">
        <w:rPr>
          <w:rFonts w:ascii="Cambria" w:hAnsi="Cambria"/>
          <w:sz w:val="20"/>
          <w:szCs w:val="20"/>
        </w:rPr>
        <w:t>, Lindsay</w:t>
      </w:r>
      <w:r>
        <w:rPr>
          <w:rFonts w:ascii="Cambria" w:hAnsi="Cambria"/>
          <w:sz w:val="20"/>
          <w:szCs w:val="20"/>
        </w:rPr>
        <w:t>,</w:t>
      </w:r>
      <w:r w:rsidRPr="00172F70">
        <w:rPr>
          <w:rFonts w:ascii="Cambria" w:hAnsi="Cambria"/>
          <w:sz w:val="20"/>
          <w:szCs w:val="20"/>
        </w:rPr>
        <w:t xml:space="preserve"> J</w:t>
      </w:r>
      <w:r>
        <w:rPr>
          <w:rFonts w:ascii="Cambria" w:hAnsi="Cambria"/>
          <w:sz w:val="20"/>
          <w:szCs w:val="20"/>
        </w:rPr>
        <w:t xml:space="preserve">. </w:t>
      </w:r>
      <w:r w:rsidRPr="00172F70">
        <w:rPr>
          <w:rFonts w:ascii="Cambria" w:hAnsi="Cambria"/>
          <w:sz w:val="20"/>
          <w:szCs w:val="20"/>
        </w:rPr>
        <w:t>A</w:t>
      </w:r>
      <w:r>
        <w:rPr>
          <w:rFonts w:ascii="Cambria" w:hAnsi="Cambria"/>
          <w:sz w:val="20"/>
          <w:szCs w:val="20"/>
        </w:rPr>
        <w:t>.</w:t>
      </w:r>
      <w:r w:rsidRPr="00172F70">
        <w:rPr>
          <w:rFonts w:ascii="Cambria" w:hAnsi="Cambria"/>
          <w:sz w:val="20"/>
          <w:szCs w:val="20"/>
        </w:rPr>
        <w:t xml:space="preserve"> (2013)</w:t>
      </w:r>
      <w:r>
        <w:rPr>
          <w:rFonts w:ascii="Cambria" w:hAnsi="Cambria"/>
          <w:sz w:val="20"/>
          <w:szCs w:val="20"/>
        </w:rPr>
        <w:t>.</w:t>
      </w:r>
      <w:r w:rsidRPr="00172F70">
        <w:rPr>
          <w:rFonts w:ascii="Cambria" w:hAnsi="Cambria"/>
          <w:sz w:val="20"/>
          <w:szCs w:val="20"/>
        </w:rPr>
        <w:t xml:space="preserve"> Large mobile genetic elements carrying resistance genes that do not confer a fitness burden in healthcare-associated pneumonia-resistant Staphylococcus</w:t>
      </w:r>
      <w:r>
        <w:rPr>
          <w:rFonts w:ascii="Cambria" w:hAnsi="Cambria"/>
          <w:sz w:val="20"/>
          <w:szCs w:val="20"/>
        </w:rPr>
        <w:t xml:space="preserve"> aureus. Microbiology 159,</w:t>
      </w:r>
      <w:r w:rsidRPr="00172F70">
        <w:rPr>
          <w:rFonts w:ascii="Cambria" w:hAnsi="Cambria"/>
          <w:sz w:val="20"/>
          <w:szCs w:val="20"/>
        </w:rPr>
        <w:t xml:space="preserve"> 1661-1672.</w:t>
      </w:r>
    </w:p>
    <w:p w:rsidR="00F66824" w:rsidRDefault="002575F6" w:rsidP="00F66824">
      <w:pPr>
        <w:spacing w:after="0" w:line="240" w:lineRule="auto"/>
        <w:ind w:left="425" w:hanging="425"/>
        <w:rPr>
          <w:rFonts w:ascii="Cambria" w:hAnsi="Cambria"/>
          <w:sz w:val="20"/>
          <w:szCs w:val="20"/>
        </w:rPr>
      </w:pPr>
      <w:r>
        <w:rPr>
          <w:rFonts w:ascii="Cambria" w:hAnsi="Cambria"/>
          <w:sz w:val="20"/>
          <w:szCs w:val="20"/>
        </w:rPr>
        <w:t>[116</w:t>
      </w:r>
      <w:r w:rsidR="008473FE">
        <w:rPr>
          <w:rFonts w:ascii="Cambria" w:hAnsi="Cambria"/>
          <w:sz w:val="20"/>
          <w:szCs w:val="20"/>
        </w:rPr>
        <w:t xml:space="preserve">] </w:t>
      </w:r>
      <w:r w:rsidR="00F66824" w:rsidRPr="00F66824">
        <w:rPr>
          <w:rFonts w:ascii="Cambria" w:hAnsi="Cambria"/>
          <w:sz w:val="20"/>
          <w:szCs w:val="20"/>
        </w:rPr>
        <w:t>Allen, T.D., Poteet, M.L., Russell, J.E., and Dobbins, G.H. (1997). A field study of factors related to supervisors’ willingness to mentor others. Journal of Vocational Behavior 50, 1–22.</w:t>
      </w:r>
    </w:p>
    <w:p w:rsidR="002575F6" w:rsidRDefault="002575F6" w:rsidP="002575F6">
      <w:pPr>
        <w:spacing w:after="0" w:line="240" w:lineRule="auto"/>
        <w:ind w:left="425" w:hanging="425"/>
        <w:rPr>
          <w:rFonts w:ascii="Cambria" w:hAnsi="Cambria"/>
          <w:sz w:val="20"/>
          <w:szCs w:val="20"/>
        </w:rPr>
      </w:pPr>
      <w:r>
        <w:rPr>
          <w:rFonts w:ascii="Cambria" w:hAnsi="Cambria"/>
          <w:sz w:val="20"/>
          <w:szCs w:val="20"/>
        </w:rPr>
        <w:t xml:space="preserve">[117] </w:t>
      </w:r>
      <w:proofErr w:type="spellStart"/>
      <w:r w:rsidRPr="00F66824">
        <w:rPr>
          <w:rFonts w:ascii="Cambria" w:hAnsi="Cambria"/>
          <w:sz w:val="20"/>
          <w:szCs w:val="20"/>
        </w:rPr>
        <w:t>Ragins</w:t>
      </w:r>
      <w:proofErr w:type="spellEnd"/>
      <w:r w:rsidRPr="00F66824">
        <w:rPr>
          <w:rFonts w:ascii="Cambria" w:hAnsi="Cambria"/>
          <w:sz w:val="20"/>
          <w:szCs w:val="20"/>
        </w:rPr>
        <w:t xml:space="preserve">, B.R., and </w:t>
      </w:r>
      <w:proofErr w:type="spellStart"/>
      <w:r w:rsidRPr="00F66824">
        <w:rPr>
          <w:rFonts w:ascii="Cambria" w:hAnsi="Cambria"/>
          <w:sz w:val="20"/>
          <w:szCs w:val="20"/>
        </w:rPr>
        <w:t>Scandura</w:t>
      </w:r>
      <w:proofErr w:type="spellEnd"/>
      <w:r w:rsidRPr="00F66824">
        <w:rPr>
          <w:rFonts w:ascii="Cambria" w:hAnsi="Cambria"/>
          <w:sz w:val="20"/>
          <w:szCs w:val="20"/>
        </w:rPr>
        <w:t>, T.A. (1999). Burden or Blessing? Expected Costs and Benefits of Being a Mentor. Journal of Organizational Behavior 20, 493–509.</w:t>
      </w:r>
    </w:p>
    <w:p w:rsidR="00E14982" w:rsidRPr="00F66824" w:rsidRDefault="00E14982" w:rsidP="00E14982">
      <w:pPr>
        <w:spacing w:after="0" w:line="240" w:lineRule="auto"/>
        <w:ind w:left="425" w:hanging="425"/>
        <w:rPr>
          <w:rFonts w:ascii="Cambria" w:hAnsi="Cambria"/>
          <w:sz w:val="20"/>
          <w:szCs w:val="20"/>
        </w:rPr>
      </w:pPr>
      <w:r>
        <w:rPr>
          <w:rFonts w:ascii="Cambria" w:hAnsi="Cambria"/>
          <w:sz w:val="20"/>
          <w:szCs w:val="20"/>
        </w:rPr>
        <w:t xml:space="preserve">[118] </w:t>
      </w:r>
      <w:r w:rsidRPr="00F66824">
        <w:rPr>
          <w:rFonts w:ascii="Cambria" w:hAnsi="Cambria"/>
          <w:sz w:val="20"/>
          <w:szCs w:val="20"/>
        </w:rPr>
        <w:t xml:space="preserve">Janssen, S., van </w:t>
      </w:r>
      <w:proofErr w:type="spellStart"/>
      <w:r w:rsidRPr="00F66824">
        <w:rPr>
          <w:rFonts w:ascii="Cambria" w:hAnsi="Cambria"/>
          <w:sz w:val="20"/>
          <w:szCs w:val="20"/>
        </w:rPr>
        <w:t>Vuuren</w:t>
      </w:r>
      <w:proofErr w:type="spellEnd"/>
      <w:r w:rsidRPr="00F66824">
        <w:rPr>
          <w:rFonts w:ascii="Cambria" w:hAnsi="Cambria"/>
          <w:sz w:val="20"/>
          <w:szCs w:val="20"/>
        </w:rPr>
        <w:t>, M., and de Jong, M.D.T. (2014). Motives to mentor: Self-focused, protégé-focused, relationship-focused, organization-focused, and unfocused motives. Journal of Vocational Behavior 85, 266–275.</w:t>
      </w:r>
    </w:p>
    <w:p w:rsidR="0021485D" w:rsidRPr="0021485D" w:rsidRDefault="0021485D" w:rsidP="0021485D">
      <w:pPr>
        <w:spacing w:after="0" w:line="240" w:lineRule="auto"/>
        <w:ind w:left="425" w:hanging="425"/>
        <w:rPr>
          <w:rFonts w:ascii="Cambria" w:hAnsi="Cambria"/>
          <w:sz w:val="20"/>
          <w:szCs w:val="20"/>
        </w:rPr>
      </w:pPr>
      <w:r>
        <w:rPr>
          <w:rFonts w:ascii="Cambria" w:hAnsi="Cambria"/>
          <w:sz w:val="20"/>
          <w:szCs w:val="20"/>
        </w:rPr>
        <w:t xml:space="preserve">[119] </w:t>
      </w:r>
      <w:r w:rsidRPr="0021485D">
        <w:rPr>
          <w:rFonts w:ascii="Cambria" w:hAnsi="Cambria"/>
          <w:sz w:val="20"/>
          <w:szCs w:val="20"/>
        </w:rPr>
        <w:t>Fink, L., and Drake, J.E. (2016). Mood and Flow. Empirical Studies of the Arts 34, 177–192.</w:t>
      </w:r>
    </w:p>
    <w:p w:rsidR="0021485D" w:rsidRPr="0021485D" w:rsidRDefault="005C19ED" w:rsidP="0021485D">
      <w:pPr>
        <w:spacing w:after="0" w:line="240" w:lineRule="auto"/>
        <w:ind w:left="425" w:hanging="425"/>
        <w:rPr>
          <w:rFonts w:ascii="Cambria" w:hAnsi="Cambria"/>
          <w:sz w:val="20"/>
          <w:szCs w:val="20"/>
        </w:rPr>
      </w:pPr>
      <w:r>
        <w:rPr>
          <w:rFonts w:ascii="Cambria" w:hAnsi="Cambria"/>
          <w:sz w:val="20"/>
          <w:szCs w:val="20"/>
        </w:rPr>
        <w:t xml:space="preserve">[120] </w:t>
      </w:r>
      <w:proofErr w:type="spellStart"/>
      <w:r w:rsidR="0021485D" w:rsidRPr="0021485D">
        <w:rPr>
          <w:rFonts w:ascii="Cambria" w:hAnsi="Cambria"/>
          <w:sz w:val="20"/>
          <w:szCs w:val="20"/>
        </w:rPr>
        <w:t>Hibbin</w:t>
      </w:r>
      <w:proofErr w:type="spellEnd"/>
      <w:r w:rsidR="0021485D" w:rsidRPr="0021485D">
        <w:rPr>
          <w:rFonts w:ascii="Cambria" w:hAnsi="Cambria"/>
          <w:sz w:val="20"/>
          <w:szCs w:val="20"/>
        </w:rPr>
        <w:t>, R. (2016). The psychosocial benefits of oral storytelling in school: developing identity and empathy through narrative. Pastoral Care in Education 34, 218–231.</w:t>
      </w:r>
    </w:p>
    <w:p w:rsidR="0021485D" w:rsidRPr="0021485D" w:rsidRDefault="005C19ED" w:rsidP="0021485D">
      <w:pPr>
        <w:spacing w:after="0" w:line="240" w:lineRule="auto"/>
        <w:ind w:left="425" w:hanging="425"/>
        <w:rPr>
          <w:rFonts w:ascii="Cambria" w:hAnsi="Cambria"/>
          <w:sz w:val="20"/>
          <w:szCs w:val="20"/>
        </w:rPr>
      </w:pPr>
      <w:r>
        <w:rPr>
          <w:rFonts w:ascii="Cambria" w:hAnsi="Cambria"/>
          <w:sz w:val="20"/>
          <w:szCs w:val="20"/>
        </w:rPr>
        <w:t xml:space="preserve">[121] </w:t>
      </w:r>
      <w:proofErr w:type="spellStart"/>
      <w:r w:rsidR="0021485D" w:rsidRPr="0021485D">
        <w:rPr>
          <w:rFonts w:ascii="Cambria" w:hAnsi="Cambria"/>
          <w:sz w:val="20"/>
          <w:szCs w:val="20"/>
        </w:rPr>
        <w:t>Pennebaker</w:t>
      </w:r>
      <w:proofErr w:type="spellEnd"/>
      <w:r w:rsidR="0021485D" w:rsidRPr="0021485D">
        <w:rPr>
          <w:rFonts w:ascii="Cambria" w:hAnsi="Cambria"/>
          <w:sz w:val="20"/>
          <w:szCs w:val="20"/>
        </w:rPr>
        <w:t>, J.W. (2000). Telling stories: the health benefits of narrative. Lit</w:t>
      </w:r>
      <w:r w:rsidR="00CD4323">
        <w:rPr>
          <w:rFonts w:ascii="Cambria" w:hAnsi="Cambria"/>
          <w:sz w:val="20"/>
          <w:szCs w:val="20"/>
        </w:rPr>
        <w:t>erature and</w:t>
      </w:r>
      <w:r w:rsidR="0021485D" w:rsidRPr="0021485D">
        <w:rPr>
          <w:rFonts w:ascii="Cambria" w:hAnsi="Cambria"/>
          <w:sz w:val="20"/>
          <w:szCs w:val="20"/>
        </w:rPr>
        <w:t xml:space="preserve"> Med</w:t>
      </w:r>
      <w:r w:rsidR="00CD4323">
        <w:rPr>
          <w:rFonts w:ascii="Cambria" w:hAnsi="Cambria"/>
          <w:sz w:val="20"/>
          <w:szCs w:val="20"/>
        </w:rPr>
        <w:t>icine</w:t>
      </w:r>
      <w:r w:rsidR="0021485D" w:rsidRPr="0021485D">
        <w:rPr>
          <w:rFonts w:ascii="Cambria" w:hAnsi="Cambria"/>
          <w:sz w:val="20"/>
          <w:szCs w:val="20"/>
        </w:rPr>
        <w:t xml:space="preserve"> 19, 3–18.</w:t>
      </w:r>
    </w:p>
    <w:p w:rsidR="0021485D" w:rsidRDefault="005C19ED" w:rsidP="0021485D">
      <w:pPr>
        <w:spacing w:after="0" w:line="240" w:lineRule="auto"/>
        <w:ind w:left="425" w:hanging="425"/>
        <w:rPr>
          <w:rFonts w:ascii="Cambria" w:hAnsi="Cambria"/>
          <w:sz w:val="20"/>
          <w:szCs w:val="20"/>
        </w:rPr>
      </w:pPr>
      <w:r>
        <w:rPr>
          <w:rFonts w:ascii="Cambria" w:hAnsi="Cambria"/>
          <w:sz w:val="20"/>
          <w:szCs w:val="20"/>
        </w:rPr>
        <w:t xml:space="preserve">[122] </w:t>
      </w:r>
      <w:proofErr w:type="spellStart"/>
      <w:r w:rsidR="0021485D" w:rsidRPr="0021485D">
        <w:rPr>
          <w:rFonts w:ascii="Cambria" w:hAnsi="Cambria"/>
          <w:sz w:val="20"/>
          <w:szCs w:val="20"/>
        </w:rPr>
        <w:t>Pennebaker</w:t>
      </w:r>
      <w:proofErr w:type="spellEnd"/>
      <w:r w:rsidR="0021485D" w:rsidRPr="0021485D">
        <w:rPr>
          <w:rFonts w:ascii="Cambria" w:hAnsi="Cambria"/>
          <w:sz w:val="20"/>
          <w:szCs w:val="20"/>
        </w:rPr>
        <w:t xml:space="preserve">, J.W., and </w:t>
      </w:r>
      <w:proofErr w:type="spellStart"/>
      <w:r w:rsidR="0021485D" w:rsidRPr="0021485D">
        <w:rPr>
          <w:rFonts w:ascii="Cambria" w:hAnsi="Cambria"/>
          <w:sz w:val="20"/>
          <w:szCs w:val="20"/>
        </w:rPr>
        <w:t>Seagal</w:t>
      </w:r>
      <w:proofErr w:type="spellEnd"/>
      <w:r w:rsidR="0021485D" w:rsidRPr="0021485D">
        <w:rPr>
          <w:rFonts w:ascii="Cambria" w:hAnsi="Cambria"/>
          <w:sz w:val="20"/>
          <w:szCs w:val="20"/>
        </w:rPr>
        <w:t>, J.D. (1999). Forming a story: the health benefits of narrative. J</w:t>
      </w:r>
      <w:r w:rsidR="00CD4323">
        <w:rPr>
          <w:rFonts w:ascii="Cambria" w:hAnsi="Cambria"/>
          <w:sz w:val="20"/>
          <w:szCs w:val="20"/>
        </w:rPr>
        <w:t>ournal of</w:t>
      </w:r>
      <w:r w:rsidR="0021485D" w:rsidRPr="0021485D">
        <w:rPr>
          <w:rFonts w:ascii="Cambria" w:hAnsi="Cambria"/>
          <w:sz w:val="20"/>
          <w:szCs w:val="20"/>
        </w:rPr>
        <w:t xml:space="preserve"> Clin</w:t>
      </w:r>
      <w:r w:rsidR="00CD4323">
        <w:rPr>
          <w:rFonts w:ascii="Cambria" w:hAnsi="Cambria"/>
          <w:sz w:val="20"/>
          <w:szCs w:val="20"/>
        </w:rPr>
        <w:t>ical</w:t>
      </w:r>
      <w:r w:rsidR="0021485D" w:rsidRPr="0021485D">
        <w:rPr>
          <w:rFonts w:ascii="Cambria" w:hAnsi="Cambria"/>
          <w:sz w:val="20"/>
          <w:szCs w:val="20"/>
        </w:rPr>
        <w:t xml:space="preserve"> Psychol</w:t>
      </w:r>
      <w:r w:rsidR="00CD4323">
        <w:rPr>
          <w:rFonts w:ascii="Cambria" w:hAnsi="Cambria"/>
          <w:sz w:val="20"/>
          <w:szCs w:val="20"/>
        </w:rPr>
        <w:t>ogy</w:t>
      </w:r>
      <w:r w:rsidR="0021485D" w:rsidRPr="0021485D">
        <w:rPr>
          <w:rFonts w:ascii="Cambria" w:hAnsi="Cambria"/>
          <w:sz w:val="20"/>
          <w:szCs w:val="20"/>
        </w:rPr>
        <w:t xml:space="preserve"> 55, 1243–1254.</w:t>
      </w:r>
    </w:p>
    <w:p w:rsidR="008F63F7" w:rsidRDefault="00382F14" w:rsidP="008F63F7">
      <w:pPr>
        <w:spacing w:after="0" w:line="240" w:lineRule="auto"/>
        <w:ind w:left="425" w:hanging="425"/>
        <w:rPr>
          <w:rFonts w:ascii="Cambria" w:hAnsi="Cambria"/>
          <w:sz w:val="20"/>
          <w:szCs w:val="20"/>
        </w:rPr>
      </w:pPr>
      <w:r>
        <w:rPr>
          <w:rFonts w:ascii="Cambria" w:hAnsi="Cambria"/>
          <w:sz w:val="20"/>
          <w:szCs w:val="20"/>
        </w:rPr>
        <w:t xml:space="preserve">[123] </w:t>
      </w:r>
      <w:r w:rsidRPr="00F66824">
        <w:rPr>
          <w:rFonts w:ascii="Cambria" w:hAnsi="Cambria"/>
          <w:sz w:val="20"/>
          <w:szCs w:val="20"/>
        </w:rPr>
        <w:t xml:space="preserve">Morales, D.X., </w:t>
      </w:r>
      <w:proofErr w:type="spellStart"/>
      <w:r w:rsidRPr="00F66824">
        <w:rPr>
          <w:rFonts w:ascii="Cambria" w:hAnsi="Cambria"/>
          <w:sz w:val="20"/>
          <w:szCs w:val="20"/>
        </w:rPr>
        <w:t>Grineski</w:t>
      </w:r>
      <w:proofErr w:type="spellEnd"/>
      <w:r w:rsidRPr="00F66824">
        <w:rPr>
          <w:rFonts w:ascii="Cambria" w:hAnsi="Cambria"/>
          <w:sz w:val="20"/>
          <w:szCs w:val="20"/>
        </w:rPr>
        <w:t>, S.E., and Collins, T.W. (2017). Faculty Motivation to Mentor Students Through Undergraduate Research Programs: A Study of Enabling and Constraining Factors. Research i</w:t>
      </w:r>
      <w:r w:rsidR="008F63F7">
        <w:rPr>
          <w:rFonts w:ascii="Cambria" w:hAnsi="Cambria"/>
          <w:sz w:val="20"/>
          <w:szCs w:val="20"/>
        </w:rPr>
        <w:t>n Higher Education 58, 520–544.</w:t>
      </w:r>
    </w:p>
    <w:p w:rsidR="008F63F7" w:rsidRDefault="00382F14" w:rsidP="008F63F7">
      <w:pPr>
        <w:spacing w:after="0" w:line="240" w:lineRule="auto"/>
        <w:ind w:left="425" w:hanging="425"/>
        <w:rPr>
          <w:rFonts w:ascii="Cambria" w:hAnsi="Cambria"/>
          <w:sz w:val="20"/>
          <w:szCs w:val="20"/>
        </w:rPr>
      </w:pPr>
      <w:r>
        <w:rPr>
          <w:rFonts w:ascii="Cambria" w:hAnsi="Cambria"/>
          <w:sz w:val="20"/>
          <w:szCs w:val="20"/>
        </w:rPr>
        <w:t xml:space="preserve">[124] </w:t>
      </w:r>
      <w:proofErr w:type="spellStart"/>
      <w:r w:rsidR="008F63F7" w:rsidRPr="008F63F7">
        <w:rPr>
          <w:rFonts w:ascii="Cambria" w:hAnsi="Cambria"/>
          <w:sz w:val="20"/>
          <w:szCs w:val="20"/>
        </w:rPr>
        <w:t>Agliata</w:t>
      </w:r>
      <w:proofErr w:type="spellEnd"/>
      <w:r w:rsidR="008F63F7" w:rsidRPr="008F63F7">
        <w:rPr>
          <w:rFonts w:ascii="Cambria" w:hAnsi="Cambria"/>
          <w:sz w:val="20"/>
          <w:szCs w:val="20"/>
        </w:rPr>
        <w:t xml:space="preserve">, A.K., and </w:t>
      </w:r>
      <w:proofErr w:type="spellStart"/>
      <w:r w:rsidR="008F63F7" w:rsidRPr="008F63F7">
        <w:rPr>
          <w:rFonts w:ascii="Cambria" w:hAnsi="Cambria"/>
          <w:sz w:val="20"/>
          <w:szCs w:val="20"/>
        </w:rPr>
        <w:t>Renk</w:t>
      </w:r>
      <w:proofErr w:type="spellEnd"/>
      <w:r w:rsidR="008F63F7" w:rsidRPr="008F63F7">
        <w:rPr>
          <w:rFonts w:ascii="Cambria" w:hAnsi="Cambria"/>
          <w:sz w:val="20"/>
          <w:szCs w:val="20"/>
        </w:rPr>
        <w:t>, K. (2007). College Students’ Adjustment: The Role of Parent–College Student Expectation Discrepancies and Communication Reciprocity. Journal of</w:t>
      </w:r>
      <w:r w:rsidR="008F63F7">
        <w:rPr>
          <w:rFonts w:ascii="Cambria" w:hAnsi="Cambria"/>
          <w:sz w:val="20"/>
          <w:szCs w:val="20"/>
        </w:rPr>
        <w:t xml:space="preserve"> Youth and Adolescence 37, 96</w:t>
      </w:r>
    </w:p>
    <w:p w:rsidR="00A166DF" w:rsidRDefault="008F63F7" w:rsidP="00A166DF">
      <w:pPr>
        <w:spacing w:after="0" w:line="240" w:lineRule="auto"/>
        <w:ind w:left="425" w:hanging="425"/>
        <w:rPr>
          <w:rFonts w:ascii="Cambria" w:hAnsi="Cambria"/>
          <w:sz w:val="20"/>
          <w:szCs w:val="20"/>
        </w:rPr>
      </w:pPr>
      <w:r>
        <w:rPr>
          <w:rFonts w:ascii="Cambria" w:hAnsi="Cambria"/>
          <w:sz w:val="20"/>
          <w:szCs w:val="20"/>
        </w:rPr>
        <w:t xml:space="preserve">[125] </w:t>
      </w:r>
      <w:proofErr w:type="spellStart"/>
      <w:r w:rsidR="00382F14" w:rsidRPr="00382F14">
        <w:rPr>
          <w:rFonts w:ascii="Cambria" w:hAnsi="Cambria"/>
          <w:sz w:val="20"/>
          <w:szCs w:val="20"/>
        </w:rPr>
        <w:t>Agliata</w:t>
      </w:r>
      <w:proofErr w:type="spellEnd"/>
      <w:r w:rsidR="00382F14" w:rsidRPr="00382F14">
        <w:rPr>
          <w:rFonts w:ascii="Cambria" w:hAnsi="Cambria"/>
          <w:sz w:val="20"/>
          <w:szCs w:val="20"/>
        </w:rPr>
        <w:t>, A.</w:t>
      </w:r>
      <w:r>
        <w:rPr>
          <w:rFonts w:ascii="Cambria" w:hAnsi="Cambria"/>
          <w:sz w:val="20"/>
          <w:szCs w:val="20"/>
        </w:rPr>
        <w:t xml:space="preserve"> K.</w:t>
      </w:r>
      <w:r w:rsidR="00382F14" w:rsidRPr="00382F14">
        <w:rPr>
          <w:rFonts w:ascii="Cambria" w:hAnsi="Cambria"/>
          <w:sz w:val="20"/>
          <w:szCs w:val="20"/>
        </w:rPr>
        <w:t xml:space="preserve">, and </w:t>
      </w:r>
      <w:proofErr w:type="spellStart"/>
      <w:r w:rsidR="00382F14" w:rsidRPr="00382F14">
        <w:rPr>
          <w:rFonts w:ascii="Cambria" w:hAnsi="Cambria"/>
          <w:sz w:val="20"/>
          <w:szCs w:val="20"/>
        </w:rPr>
        <w:t>Renk</w:t>
      </w:r>
      <w:proofErr w:type="spellEnd"/>
      <w:r w:rsidR="00382F14" w:rsidRPr="00382F14">
        <w:rPr>
          <w:rFonts w:ascii="Cambria" w:hAnsi="Cambria"/>
          <w:sz w:val="20"/>
          <w:szCs w:val="20"/>
        </w:rPr>
        <w:t>, K. (2008). College Students’ Affective Distress: The Role of Expectation Discrepancies and Communication. Journal of Ch</w:t>
      </w:r>
      <w:r w:rsidR="00A166DF">
        <w:rPr>
          <w:rFonts w:ascii="Cambria" w:hAnsi="Cambria"/>
          <w:sz w:val="20"/>
          <w:szCs w:val="20"/>
        </w:rPr>
        <w:t>ild and Family Studies 18, 396.</w:t>
      </w:r>
    </w:p>
    <w:p w:rsidR="00A166DF" w:rsidRDefault="00A166DF" w:rsidP="00A166DF">
      <w:pPr>
        <w:spacing w:after="0" w:line="240" w:lineRule="auto"/>
        <w:ind w:left="425" w:hanging="425"/>
        <w:rPr>
          <w:rFonts w:ascii="Cambria" w:hAnsi="Cambria"/>
          <w:sz w:val="20"/>
          <w:szCs w:val="20"/>
        </w:rPr>
      </w:pPr>
      <w:r>
        <w:rPr>
          <w:rFonts w:ascii="Cambria" w:hAnsi="Cambria"/>
          <w:sz w:val="20"/>
          <w:szCs w:val="20"/>
        </w:rPr>
        <w:t xml:space="preserve">[126] </w:t>
      </w:r>
      <w:proofErr w:type="spellStart"/>
      <w:r w:rsidRPr="00A166DF">
        <w:rPr>
          <w:rFonts w:ascii="Cambria" w:hAnsi="Cambria"/>
          <w:sz w:val="20"/>
          <w:szCs w:val="20"/>
        </w:rPr>
        <w:t>Erdem</w:t>
      </w:r>
      <w:proofErr w:type="spellEnd"/>
      <w:r w:rsidRPr="00A166DF">
        <w:rPr>
          <w:rFonts w:ascii="Cambria" w:hAnsi="Cambria"/>
          <w:sz w:val="20"/>
          <w:szCs w:val="20"/>
        </w:rPr>
        <w:t xml:space="preserve">, F., and </w:t>
      </w:r>
      <w:proofErr w:type="spellStart"/>
      <w:r w:rsidRPr="00A166DF">
        <w:rPr>
          <w:rFonts w:ascii="Cambria" w:hAnsi="Cambria"/>
          <w:sz w:val="20"/>
          <w:szCs w:val="20"/>
        </w:rPr>
        <w:t>Aytemur</w:t>
      </w:r>
      <w:proofErr w:type="spellEnd"/>
      <w:r w:rsidRPr="00A166DF">
        <w:rPr>
          <w:rFonts w:ascii="Cambria" w:hAnsi="Cambria"/>
          <w:sz w:val="20"/>
          <w:szCs w:val="20"/>
        </w:rPr>
        <w:t xml:space="preserve">, J.Ö. (2008). Mentoring—A relationship based on trust: Qualitative research. Public </w:t>
      </w:r>
      <w:r>
        <w:rPr>
          <w:rFonts w:ascii="Cambria" w:hAnsi="Cambria"/>
          <w:sz w:val="20"/>
          <w:szCs w:val="20"/>
        </w:rPr>
        <w:t>Personnel Management 37, 55–65.</w:t>
      </w:r>
    </w:p>
    <w:p w:rsidR="00A166DF" w:rsidRDefault="00A166DF" w:rsidP="00A166DF">
      <w:pPr>
        <w:spacing w:after="0" w:line="240" w:lineRule="auto"/>
        <w:ind w:left="425" w:hanging="425"/>
        <w:rPr>
          <w:rFonts w:ascii="Cambria" w:hAnsi="Cambria"/>
          <w:sz w:val="20"/>
          <w:szCs w:val="20"/>
        </w:rPr>
      </w:pPr>
      <w:r>
        <w:rPr>
          <w:rFonts w:ascii="Cambria" w:hAnsi="Cambria"/>
          <w:sz w:val="20"/>
          <w:szCs w:val="20"/>
        </w:rPr>
        <w:t xml:space="preserve">[127] </w:t>
      </w:r>
      <w:proofErr w:type="spellStart"/>
      <w:r w:rsidRPr="00A166DF">
        <w:rPr>
          <w:rFonts w:ascii="Cambria" w:hAnsi="Cambria"/>
          <w:sz w:val="20"/>
          <w:szCs w:val="20"/>
        </w:rPr>
        <w:t>Fleig</w:t>
      </w:r>
      <w:proofErr w:type="spellEnd"/>
      <w:r w:rsidRPr="00A166DF">
        <w:rPr>
          <w:rFonts w:ascii="Cambria" w:hAnsi="Cambria"/>
          <w:sz w:val="20"/>
          <w:szCs w:val="20"/>
        </w:rPr>
        <w:t xml:space="preserve">-Palmer, M.M., and </w:t>
      </w:r>
      <w:proofErr w:type="spellStart"/>
      <w:r w:rsidRPr="00A166DF">
        <w:rPr>
          <w:rFonts w:ascii="Cambria" w:hAnsi="Cambria"/>
          <w:sz w:val="20"/>
          <w:szCs w:val="20"/>
        </w:rPr>
        <w:t>Schoorman</w:t>
      </w:r>
      <w:proofErr w:type="spellEnd"/>
      <w:r w:rsidRPr="00A166DF">
        <w:rPr>
          <w:rFonts w:ascii="Cambria" w:hAnsi="Cambria"/>
          <w:sz w:val="20"/>
          <w:szCs w:val="20"/>
        </w:rPr>
        <w:t>, F.D. (2011). Trust as a moderator of the relationship between mentoring and knowledge transfer. Journal of Leadership &amp; Orga</w:t>
      </w:r>
      <w:r>
        <w:rPr>
          <w:rFonts w:ascii="Cambria" w:hAnsi="Cambria"/>
          <w:sz w:val="20"/>
          <w:szCs w:val="20"/>
        </w:rPr>
        <w:t>nizational Studies 18, 334–343.</w:t>
      </w:r>
    </w:p>
    <w:p w:rsidR="002575F6" w:rsidRPr="00F66824" w:rsidRDefault="00A166DF" w:rsidP="00501E14">
      <w:pPr>
        <w:spacing w:after="0" w:line="240" w:lineRule="auto"/>
        <w:ind w:left="425" w:hanging="425"/>
        <w:rPr>
          <w:rFonts w:ascii="Cambria" w:hAnsi="Cambria"/>
          <w:sz w:val="20"/>
          <w:szCs w:val="20"/>
        </w:rPr>
      </w:pPr>
      <w:r>
        <w:rPr>
          <w:rFonts w:ascii="Cambria" w:hAnsi="Cambria"/>
          <w:sz w:val="20"/>
          <w:szCs w:val="20"/>
        </w:rPr>
        <w:t xml:space="preserve">[128] </w:t>
      </w:r>
      <w:proofErr w:type="spellStart"/>
      <w:r w:rsidRPr="00A166DF">
        <w:rPr>
          <w:rFonts w:ascii="Cambria" w:hAnsi="Cambria"/>
          <w:sz w:val="20"/>
          <w:szCs w:val="20"/>
        </w:rPr>
        <w:t>Kabdulovaa</w:t>
      </w:r>
      <w:proofErr w:type="spellEnd"/>
      <w:r w:rsidRPr="00A166DF">
        <w:rPr>
          <w:rFonts w:ascii="Cambria" w:hAnsi="Cambria"/>
          <w:sz w:val="20"/>
          <w:szCs w:val="20"/>
        </w:rPr>
        <w:t xml:space="preserve">, E., and </w:t>
      </w:r>
      <w:proofErr w:type="spellStart"/>
      <w:r w:rsidRPr="00A166DF">
        <w:rPr>
          <w:rFonts w:ascii="Cambria" w:hAnsi="Cambria"/>
          <w:sz w:val="20"/>
          <w:szCs w:val="20"/>
        </w:rPr>
        <w:t>Öztürk</w:t>
      </w:r>
      <w:proofErr w:type="spellEnd"/>
      <w:r w:rsidRPr="00A166DF">
        <w:rPr>
          <w:rFonts w:ascii="Cambria" w:hAnsi="Cambria"/>
          <w:sz w:val="20"/>
          <w:szCs w:val="20"/>
        </w:rPr>
        <w:t>, E.B. (2017). The Relationship between Mentoring Functions Received and Psychological Empowerment: The Role of Trust and Political Skill. The Jour</w:t>
      </w:r>
      <w:r w:rsidR="00501E14">
        <w:rPr>
          <w:rFonts w:ascii="Cambria" w:hAnsi="Cambria"/>
          <w:sz w:val="20"/>
          <w:szCs w:val="20"/>
        </w:rPr>
        <w:t>nal of Human and Work 4, 47–60.</w:t>
      </w:r>
    </w:p>
    <w:p w:rsidR="00F66824" w:rsidRPr="00F66824" w:rsidRDefault="00501E14" w:rsidP="00F66824">
      <w:pPr>
        <w:spacing w:after="0" w:line="240" w:lineRule="auto"/>
        <w:ind w:left="425" w:hanging="425"/>
        <w:rPr>
          <w:rFonts w:ascii="Cambria" w:hAnsi="Cambria"/>
          <w:sz w:val="20"/>
          <w:szCs w:val="20"/>
        </w:rPr>
      </w:pPr>
      <w:r>
        <w:rPr>
          <w:rFonts w:ascii="Cambria" w:hAnsi="Cambria"/>
          <w:sz w:val="20"/>
          <w:szCs w:val="20"/>
        </w:rPr>
        <w:t>[129</w:t>
      </w:r>
      <w:r w:rsidR="00AA7006">
        <w:rPr>
          <w:rFonts w:ascii="Cambria" w:hAnsi="Cambria"/>
          <w:sz w:val="20"/>
          <w:szCs w:val="20"/>
        </w:rPr>
        <w:t xml:space="preserve">] </w:t>
      </w:r>
      <w:r w:rsidR="00F66824" w:rsidRPr="00F66824">
        <w:rPr>
          <w:rFonts w:ascii="Cambria" w:hAnsi="Cambria"/>
          <w:sz w:val="20"/>
          <w:szCs w:val="20"/>
        </w:rPr>
        <w:t xml:space="preserve">Ghosh, R., and </w:t>
      </w:r>
      <w:proofErr w:type="spellStart"/>
      <w:r w:rsidR="00F66824" w:rsidRPr="00F66824">
        <w:rPr>
          <w:rFonts w:ascii="Cambria" w:hAnsi="Cambria"/>
          <w:sz w:val="20"/>
          <w:szCs w:val="20"/>
        </w:rPr>
        <w:t>Reio</w:t>
      </w:r>
      <w:proofErr w:type="spellEnd"/>
      <w:r w:rsidR="00F66824" w:rsidRPr="00F66824">
        <w:rPr>
          <w:rFonts w:ascii="Cambria" w:hAnsi="Cambria"/>
          <w:sz w:val="20"/>
          <w:szCs w:val="20"/>
        </w:rPr>
        <w:t>, T.G. (2013). Career benefits associated with mentoring for mentors: A meta-analysis. Journal of Vocational Behavior 83, 106–116.</w:t>
      </w:r>
    </w:p>
    <w:p w:rsidR="008F0E03" w:rsidRPr="00B82268" w:rsidRDefault="00501E14" w:rsidP="001448D2">
      <w:pPr>
        <w:spacing w:after="0" w:line="240" w:lineRule="auto"/>
        <w:ind w:left="425" w:hanging="425"/>
        <w:rPr>
          <w:rFonts w:ascii="Cambria" w:hAnsi="Cambria"/>
          <w:sz w:val="20"/>
          <w:szCs w:val="20"/>
        </w:rPr>
      </w:pPr>
      <w:r>
        <w:rPr>
          <w:rFonts w:ascii="Cambria" w:hAnsi="Cambria"/>
          <w:sz w:val="20"/>
          <w:szCs w:val="20"/>
        </w:rPr>
        <w:t>[130</w:t>
      </w:r>
      <w:r w:rsidR="00AA7006">
        <w:rPr>
          <w:rFonts w:ascii="Cambria" w:hAnsi="Cambria"/>
          <w:sz w:val="20"/>
          <w:szCs w:val="20"/>
        </w:rPr>
        <w:t xml:space="preserve">] </w:t>
      </w:r>
      <w:r w:rsidR="00F66824" w:rsidRPr="00F66824">
        <w:rPr>
          <w:rFonts w:ascii="Cambria" w:hAnsi="Cambria"/>
          <w:sz w:val="20"/>
          <w:szCs w:val="20"/>
        </w:rPr>
        <w:t xml:space="preserve">Reddick, R., Griffin, K., </w:t>
      </w:r>
      <w:proofErr w:type="spellStart"/>
      <w:r w:rsidR="00F66824" w:rsidRPr="00F66824">
        <w:rPr>
          <w:rFonts w:ascii="Cambria" w:hAnsi="Cambria"/>
          <w:sz w:val="20"/>
          <w:szCs w:val="20"/>
        </w:rPr>
        <w:t>Cherwitz</w:t>
      </w:r>
      <w:proofErr w:type="spellEnd"/>
      <w:r w:rsidR="00F66824" w:rsidRPr="00F66824">
        <w:rPr>
          <w:rFonts w:ascii="Cambria" w:hAnsi="Cambria"/>
          <w:sz w:val="20"/>
          <w:szCs w:val="20"/>
        </w:rPr>
        <w:t xml:space="preserve">, R., </w:t>
      </w:r>
      <w:proofErr w:type="spellStart"/>
      <w:r w:rsidR="00F66824" w:rsidRPr="00F66824">
        <w:rPr>
          <w:rFonts w:ascii="Cambria" w:hAnsi="Cambria"/>
          <w:sz w:val="20"/>
          <w:szCs w:val="20"/>
        </w:rPr>
        <w:t>Cérda-Pražák</w:t>
      </w:r>
      <w:proofErr w:type="spellEnd"/>
      <w:r w:rsidR="00F66824" w:rsidRPr="00F66824">
        <w:rPr>
          <w:rFonts w:ascii="Cambria" w:hAnsi="Cambria"/>
          <w:sz w:val="20"/>
          <w:szCs w:val="20"/>
        </w:rPr>
        <w:t>, A., and Bunch, N. (2012). What you get when you give: how graduate students benefit from serving as mentors. The Journal of Faculty Development 26, 37–49.</w:t>
      </w:r>
    </w:p>
    <w:sectPr w:rsidR="008F0E03" w:rsidRPr="00B82268" w:rsidSect="00EE43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E16" w:rsidRDefault="00CA5E16" w:rsidP="0030298A">
      <w:pPr>
        <w:spacing w:after="0" w:line="240" w:lineRule="auto"/>
      </w:pPr>
      <w:r>
        <w:separator/>
      </w:r>
    </w:p>
  </w:endnote>
  <w:endnote w:type="continuationSeparator" w:id="0">
    <w:p w:rsidR="00CA5E16" w:rsidRDefault="00CA5E16" w:rsidP="0030298A">
      <w:pPr>
        <w:spacing w:after="0" w:line="240" w:lineRule="auto"/>
      </w:pPr>
      <w:r>
        <w:continuationSeparator/>
      </w:r>
    </w:p>
  </w:endnote>
  <w:endnote w:type="continuationNotice" w:id="1">
    <w:p w:rsidR="00CA5E16" w:rsidRDefault="00CA5E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GaramondPro-Italic">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E16" w:rsidRDefault="00CA5E16" w:rsidP="0030298A">
      <w:pPr>
        <w:spacing w:after="0" w:line="240" w:lineRule="auto"/>
      </w:pPr>
      <w:r>
        <w:separator/>
      </w:r>
    </w:p>
  </w:footnote>
  <w:footnote w:type="continuationSeparator" w:id="0">
    <w:p w:rsidR="00CA5E16" w:rsidRDefault="00CA5E16" w:rsidP="0030298A">
      <w:pPr>
        <w:spacing w:after="0" w:line="240" w:lineRule="auto"/>
      </w:pPr>
      <w:r>
        <w:continuationSeparator/>
      </w:r>
    </w:p>
  </w:footnote>
  <w:footnote w:type="continuationNotice" w:id="1">
    <w:p w:rsidR="00CA5E16" w:rsidRDefault="00CA5E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E06" w:rsidRPr="0030298A" w:rsidRDefault="00CE3E06">
    <w:pPr>
      <w:pStyle w:val="Header"/>
      <w:rPr>
        <w:rFonts w:asciiTheme="majorHAnsi" w:hAnsiTheme="majorHAnsi"/>
        <w:sz w:val="24"/>
        <w:szCs w:val="24"/>
      </w:rPr>
    </w:pPr>
    <w:r>
      <w:rPr>
        <w:rFonts w:asciiTheme="majorHAnsi" w:hAnsiTheme="majorHAnsi"/>
        <w:sz w:val="24"/>
        <w:szCs w:val="24"/>
      </w:rPr>
      <w:t>Pre-University Research Projects</w:t>
    </w:r>
  </w:p>
  <w:p w:rsidR="00CE3E06" w:rsidRDefault="00CE3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F3712"/>
    <w:multiLevelType w:val="multilevel"/>
    <w:tmpl w:val="BFAA8516"/>
    <w:lvl w:ilvl="0">
      <w:start w:val="1"/>
      <w:numFmt w:val="decimal"/>
      <w:lvlText w:val="%1."/>
      <w:lvlJc w:val="left"/>
      <w:pPr>
        <w:ind w:left="720" w:hanging="360"/>
      </w:pPr>
      <w:rPr>
        <w:rFonts w:hint="default"/>
        <w:b/>
        <w:color w:val="E36C0A" w:themeColor="accent6"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A6A3552"/>
    <w:multiLevelType w:val="multilevel"/>
    <w:tmpl w:val="BFAA8516"/>
    <w:lvl w:ilvl="0">
      <w:start w:val="1"/>
      <w:numFmt w:val="decimal"/>
      <w:lvlText w:val="%1."/>
      <w:lvlJc w:val="left"/>
      <w:pPr>
        <w:ind w:left="720" w:hanging="360"/>
      </w:pPr>
      <w:rPr>
        <w:rFonts w:hint="default"/>
        <w:b/>
        <w:color w:val="E36C0A" w:themeColor="accent6"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A1830D1"/>
    <w:multiLevelType w:val="multilevel"/>
    <w:tmpl w:val="1BA8546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31"/>
    <w:rsid w:val="0000028A"/>
    <w:rsid w:val="00003FF9"/>
    <w:rsid w:val="00021CE8"/>
    <w:rsid w:val="00024DE4"/>
    <w:rsid w:val="00025CF2"/>
    <w:rsid w:val="00027D85"/>
    <w:rsid w:val="00034458"/>
    <w:rsid w:val="00037BE2"/>
    <w:rsid w:val="00037E10"/>
    <w:rsid w:val="00040A70"/>
    <w:rsid w:val="00050429"/>
    <w:rsid w:val="000511C0"/>
    <w:rsid w:val="00054389"/>
    <w:rsid w:val="000550DA"/>
    <w:rsid w:val="00057813"/>
    <w:rsid w:val="000602D4"/>
    <w:rsid w:val="000663FB"/>
    <w:rsid w:val="00067171"/>
    <w:rsid w:val="0007380F"/>
    <w:rsid w:val="00073CB7"/>
    <w:rsid w:val="00074A7F"/>
    <w:rsid w:val="00090CB3"/>
    <w:rsid w:val="000956D3"/>
    <w:rsid w:val="000A6383"/>
    <w:rsid w:val="000D6236"/>
    <w:rsid w:val="00103D91"/>
    <w:rsid w:val="00105871"/>
    <w:rsid w:val="00106AA6"/>
    <w:rsid w:val="00110CFA"/>
    <w:rsid w:val="001164D5"/>
    <w:rsid w:val="00136D6B"/>
    <w:rsid w:val="0014192D"/>
    <w:rsid w:val="001448D2"/>
    <w:rsid w:val="001545EF"/>
    <w:rsid w:val="00165F4E"/>
    <w:rsid w:val="00172F70"/>
    <w:rsid w:val="00173530"/>
    <w:rsid w:val="00183005"/>
    <w:rsid w:val="001A080B"/>
    <w:rsid w:val="001B370A"/>
    <w:rsid w:val="001C70BF"/>
    <w:rsid w:val="001D4261"/>
    <w:rsid w:val="001E2997"/>
    <w:rsid w:val="001E2A8C"/>
    <w:rsid w:val="001E3DF4"/>
    <w:rsid w:val="001E4582"/>
    <w:rsid w:val="001F0A7F"/>
    <w:rsid w:val="001F5104"/>
    <w:rsid w:val="001F53D6"/>
    <w:rsid w:val="00201224"/>
    <w:rsid w:val="0020459A"/>
    <w:rsid w:val="00204CAC"/>
    <w:rsid w:val="00206D36"/>
    <w:rsid w:val="0021485D"/>
    <w:rsid w:val="00217DA9"/>
    <w:rsid w:val="002256D8"/>
    <w:rsid w:val="00225C21"/>
    <w:rsid w:val="00242040"/>
    <w:rsid w:val="002430DE"/>
    <w:rsid w:val="00247F60"/>
    <w:rsid w:val="00251B2D"/>
    <w:rsid w:val="002557A8"/>
    <w:rsid w:val="002575F6"/>
    <w:rsid w:val="002618FD"/>
    <w:rsid w:val="00261DAF"/>
    <w:rsid w:val="00273054"/>
    <w:rsid w:val="002870F5"/>
    <w:rsid w:val="002A3D12"/>
    <w:rsid w:val="002A40B1"/>
    <w:rsid w:val="002A4231"/>
    <w:rsid w:val="002A5625"/>
    <w:rsid w:val="002B3DA8"/>
    <w:rsid w:val="002B4955"/>
    <w:rsid w:val="002B6830"/>
    <w:rsid w:val="002C4284"/>
    <w:rsid w:val="002D2DFB"/>
    <w:rsid w:val="002D4AC9"/>
    <w:rsid w:val="002D5EFC"/>
    <w:rsid w:val="002E7A12"/>
    <w:rsid w:val="002F17E0"/>
    <w:rsid w:val="002F3C4B"/>
    <w:rsid w:val="002F4218"/>
    <w:rsid w:val="002F6F18"/>
    <w:rsid w:val="003024AA"/>
    <w:rsid w:val="0030298A"/>
    <w:rsid w:val="00306378"/>
    <w:rsid w:val="0031027D"/>
    <w:rsid w:val="00313341"/>
    <w:rsid w:val="003146EC"/>
    <w:rsid w:val="0031525D"/>
    <w:rsid w:val="00317EAC"/>
    <w:rsid w:val="003230AC"/>
    <w:rsid w:val="0033335C"/>
    <w:rsid w:val="003341C1"/>
    <w:rsid w:val="00334A69"/>
    <w:rsid w:val="00335968"/>
    <w:rsid w:val="00336211"/>
    <w:rsid w:val="00347393"/>
    <w:rsid w:val="0035236A"/>
    <w:rsid w:val="00365139"/>
    <w:rsid w:val="003729CC"/>
    <w:rsid w:val="00382F14"/>
    <w:rsid w:val="00394C75"/>
    <w:rsid w:val="00397955"/>
    <w:rsid w:val="003A796B"/>
    <w:rsid w:val="003B16D6"/>
    <w:rsid w:val="003B7723"/>
    <w:rsid w:val="003E13D5"/>
    <w:rsid w:val="003E7590"/>
    <w:rsid w:val="004008A4"/>
    <w:rsid w:val="004108DB"/>
    <w:rsid w:val="00416906"/>
    <w:rsid w:val="0042072F"/>
    <w:rsid w:val="00420B62"/>
    <w:rsid w:val="00420CCC"/>
    <w:rsid w:val="00436983"/>
    <w:rsid w:val="004444C0"/>
    <w:rsid w:val="00445E90"/>
    <w:rsid w:val="00455A96"/>
    <w:rsid w:val="00456FD2"/>
    <w:rsid w:val="00457917"/>
    <w:rsid w:val="004653F5"/>
    <w:rsid w:val="004661B7"/>
    <w:rsid w:val="00471713"/>
    <w:rsid w:val="00475FEA"/>
    <w:rsid w:val="004804F0"/>
    <w:rsid w:val="00483C17"/>
    <w:rsid w:val="00483D1B"/>
    <w:rsid w:val="00483EAD"/>
    <w:rsid w:val="004954F1"/>
    <w:rsid w:val="004B353C"/>
    <w:rsid w:val="004B5C6D"/>
    <w:rsid w:val="004C2C39"/>
    <w:rsid w:val="004D2854"/>
    <w:rsid w:val="004E1FF1"/>
    <w:rsid w:val="004E24D0"/>
    <w:rsid w:val="004E46A8"/>
    <w:rsid w:val="00501E14"/>
    <w:rsid w:val="005027CC"/>
    <w:rsid w:val="005075FE"/>
    <w:rsid w:val="00513BD2"/>
    <w:rsid w:val="00517B26"/>
    <w:rsid w:val="005201F8"/>
    <w:rsid w:val="005343E5"/>
    <w:rsid w:val="0054628B"/>
    <w:rsid w:val="00546E81"/>
    <w:rsid w:val="00571616"/>
    <w:rsid w:val="00577636"/>
    <w:rsid w:val="0059297D"/>
    <w:rsid w:val="00597922"/>
    <w:rsid w:val="00597A41"/>
    <w:rsid w:val="005A5B1A"/>
    <w:rsid w:val="005A6F4B"/>
    <w:rsid w:val="005A71BE"/>
    <w:rsid w:val="005B128F"/>
    <w:rsid w:val="005C19ED"/>
    <w:rsid w:val="005C7C49"/>
    <w:rsid w:val="005D2BF8"/>
    <w:rsid w:val="005E1C65"/>
    <w:rsid w:val="005E4E01"/>
    <w:rsid w:val="005F49A5"/>
    <w:rsid w:val="005F54A9"/>
    <w:rsid w:val="00606D0A"/>
    <w:rsid w:val="0060799C"/>
    <w:rsid w:val="00610782"/>
    <w:rsid w:val="00615D3A"/>
    <w:rsid w:val="006162C2"/>
    <w:rsid w:val="00617417"/>
    <w:rsid w:val="00632E68"/>
    <w:rsid w:val="00643108"/>
    <w:rsid w:val="00645ECD"/>
    <w:rsid w:val="00651C99"/>
    <w:rsid w:val="00651D4C"/>
    <w:rsid w:val="00652457"/>
    <w:rsid w:val="00663FD2"/>
    <w:rsid w:val="006729AC"/>
    <w:rsid w:val="0067511E"/>
    <w:rsid w:val="00677A95"/>
    <w:rsid w:val="006812CD"/>
    <w:rsid w:val="006858F8"/>
    <w:rsid w:val="00687190"/>
    <w:rsid w:val="006949CE"/>
    <w:rsid w:val="006A3E52"/>
    <w:rsid w:val="006B31D3"/>
    <w:rsid w:val="006B792E"/>
    <w:rsid w:val="006E54D4"/>
    <w:rsid w:val="006F392F"/>
    <w:rsid w:val="006F6C05"/>
    <w:rsid w:val="006F7995"/>
    <w:rsid w:val="00700456"/>
    <w:rsid w:val="007023A4"/>
    <w:rsid w:val="007209E2"/>
    <w:rsid w:val="0074741D"/>
    <w:rsid w:val="00750F1E"/>
    <w:rsid w:val="00755598"/>
    <w:rsid w:val="00764C75"/>
    <w:rsid w:val="00764F1E"/>
    <w:rsid w:val="00766DD5"/>
    <w:rsid w:val="00774F2F"/>
    <w:rsid w:val="007771D2"/>
    <w:rsid w:val="0078375F"/>
    <w:rsid w:val="00784484"/>
    <w:rsid w:val="00790EF2"/>
    <w:rsid w:val="007A2F90"/>
    <w:rsid w:val="007B5CC9"/>
    <w:rsid w:val="007B7431"/>
    <w:rsid w:val="007C3454"/>
    <w:rsid w:val="007E59FA"/>
    <w:rsid w:val="007F740F"/>
    <w:rsid w:val="0080168C"/>
    <w:rsid w:val="00802B7E"/>
    <w:rsid w:val="00816A11"/>
    <w:rsid w:val="0082010A"/>
    <w:rsid w:val="008228F3"/>
    <w:rsid w:val="008243BC"/>
    <w:rsid w:val="00826EA8"/>
    <w:rsid w:val="008329B1"/>
    <w:rsid w:val="00834432"/>
    <w:rsid w:val="0083648E"/>
    <w:rsid w:val="008473FE"/>
    <w:rsid w:val="008545B1"/>
    <w:rsid w:val="00855942"/>
    <w:rsid w:val="00860FCB"/>
    <w:rsid w:val="008805A5"/>
    <w:rsid w:val="00883464"/>
    <w:rsid w:val="00890B2F"/>
    <w:rsid w:val="00891E75"/>
    <w:rsid w:val="008C10A1"/>
    <w:rsid w:val="008C535A"/>
    <w:rsid w:val="008C579E"/>
    <w:rsid w:val="008D4158"/>
    <w:rsid w:val="008F0036"/>
    <w:rsid w:val="008F0E03"/>
    <w:rsid w:val="008F5D75"/>
    <w:rsid w:val="008F63F7"/>
    <w:rsid w:val="00902EC4"/>
    <w:rsid w:val="00906137"/>
    <w:rsid w:val="00914797"/>
    <w:rsid w:val="00920A80"/>
    <w:rsid w:val="00931D30"/>
    <w:rsid w:val="009337B3"/>
    <w:rsid w:val="00952BB9"/>
    <w:rsid w:val="00960A8D"/>
    <w:rsid w:val="009618A4"/>
    <w:rsid w:val="009733F2"/>
    <w:rsid w:val="009756A7"/>
    <w:rsid w:val="009763BB"/>
    <w:rsid w:val="0097736C"/>
    <w:rsid w:val="009874C0"/>
    <w:rsid w:val="009972D0"/>
    <w:rsid w:val="009A0F2A"/>
    <w:rsid w:val="009A363E"/>
    <w:rsid w:val="009A4422"/>
    <w:rsid w:val="009A667E"/>
    <w:rsid w:val="009B3B52"/>
    <w:rsid w:val="009B4243"/>
    <w:rsid w:val="009D0967"/>
    <w:rsid w:val="009F33B8"/>
    <w:rsid w:val="009F7590"/>
    <w:rsid w:val="00A0388F"/>
    <w:rsid w:val="00A05A7D"/>
    <w:rsid w:val="00A14803"/>
    <w:rsid w:val="00A166DF"/>
    <w:rsid w:val="00A17C06"/>
    <w:rsid w:val="00A3334B"/>
    <w:rsid w:val="00A37261"/>
    <w:rsid w:val="00A37A57"/>
    <w:rsid w:val="00A44557"/>
    <w:rsid w:val="00A477F5"/>
    <w:rsid w:val="00A51F6C"/>
    <w:rsid w:val="00A53693"/>
    <w:rsid w:val="00A56A12"/>
    <w:rsid w:val="00A620A6"/>
    <w:rsid w:val="00A63C4C"/>
    <w:rsid w:val="00A70DFB"/>
    <w:rsid w:val="00A73FFF"/>
    <w:rsid w:val="00A75657"/>
    <w:rsid w:val="00A833F6"/>
    <w:rsid w:val="00A83423"/>
    <w:rsid w:val="00A86FF4"/>
    <w:rsid w:val="00A87C61"/>
    <w:rsid w:val="00AA0F85"/>
    <w:rsid w:val="00AA7006"/>
    <w:rsid w:val="00AC5A68"/>
    <w:rsid w:val="00AD2C80"/>
    <w:rsid w:val="00AD3BBD"/>
    <w:rsid w:val="00AD68B2"/>
    <w:rsid w:val="00AE10DD"/>
    <w:rsid w:val="00AF234C"/>
    <w:rsid w:val="00B06732"/>
    <w:rsid w:val="00B07E7C"/>
    <w:rsid w:val="00B158F5"/>
    <w:rsid w:val="00B173DD"/>
    <w:rsid w:val="00B22081"/>
    <w:rsid w:val="00B244C8"/>
    <w:rsid w:val="00B30CBE"/>
    <w:rsid w:val="00B35DAC"/>
    <w:rsid w:val="00B5278D"/>
    <w:rsid w:val="00B567DE"/>
    <w:rsid w:val="00B628B6"/>
    <w:rsid w:val="00B65CC0"/>
    <w:rsid w:val="00B71358"/>
    <w:rsid w:val="00B7655A"/>
    <w:rsid w:val="00B82268"/>
    <w:rsid w:val="00B82A7B"/>
    <w:rsid w:val="00B9289C"/>
    <w:rsid w:val="00B97E3A"/>
    <w:rsid w:val="00BA31E8"/>
    <w:rsid w:val="00BA32A1"/>
    <w:rsid w:val="00BA470B"/>
    <w:rsid w:val="00BA4BEB"/>
    <w:rsid w:val="00BD50C7"/>
    <w:rsid w:val="00BF232E"/>
    <w:rsid w:val="00C06BD0"/>
    <w:rsid w:val="00C07E18"/>
    <w:rsid w:val="00C1090E"/>
    <w:rsid w:val="00C2332D"/>
    <w:rsid w:val="00C31CCF"/>
    <w:rsid w:val="00C512BD"/>
    <w:rsid w:val="00C522CB"/>
    <w:rsid w:val="00C53258"/>
    <w:rsid w:val="00C56912"/>
    <w:rsid w:val="00C63802"/>
    <w:rsid w:val="00C641D1"/>
    <w:rsid w:val="00C65DA1"/>
    <w:rsid w:val="00C733D1"/>
    <w:rsid w:val="00C75332"/>
    <w:rsid w:val="00C901A6"/>
    <w:rsid w:val="00C948F8"/>
    <w:rsid w:val="00CA2EA3"/>
    <w:rsid w:val="00CA5E16"/>
    <w:rsid w:val="00CB03E0"/>
    <w:rsid w:val="00CB230D"/>
    <w:rsid w:val="00CC7F65"/>
    <w:rsid w:val="00CD2D7E"/>
    <w:rsid w:val="00CD3E1D"/>
    <w:rsid w:val="00CD4323"/>
    <w:rsid w:val="00CE0932"/>
    <w:rsid w:val="00CE3E06"/>
    <w:rsid w:val="00CE3F81"/>
    <w:rsid w:val="00CE62B0"/>
    <w:rsid w:val="00CE6D3A"/>
    <w:rsid w:val="00CF0B29"/>
    <w:rsid w:val="00D02D39"/>
    <w:rsid w:val="00D101BF"/>
    <w:rsid w:val="00D24FCA"/>
    <w:rsid w:val="00D42C9B"/>
    <w:rsid w:val="00D641CD"/>
    <w:rsid w:val="00D76802"/>
    <w:rsid w:val="00D77339"/>
    <w:rsid w:val="00D80BB6"/>
    <w:rsid w:val="00D91990"/>
    <w:rsid w:val="00D96638"/>
    <w:rsid w:val="00DA443D"/>
    <w:rsid w:val="00DB3687"/>
    <w:rsid w:val="00DB56E9"/>
    <w:rsid w:val="00DB5C41"/>
    <w:rsid w:val="00DB74DE"/>
    <w:rsid w:val="00DC0401"/>
    <w:rsid w:val="00DC0BE5"/>
    <w:rsid w:val="00DD0028"/>
    <w:rsid w:val="00DD2843"/>
    <w:rsid w:val="00DD4035"/>
    <w:rsid w:val="00DE1B35"/>
    <w:rsid w:val="00DE1CDE"/>
    <w:rsid w:val="00DE6A80"/>
    <w:rsid w:val="00E00387"/>
    <w:rsid w:val="00E015BC"/>
    <w:rsid w:val="00E1195C"/>
    <w:rsid w:val="00E12417"/>
    <w:rsid w:val="00E14982"/>
    <w:rsid w:val="00E24BC9"/>
    <w:rsid w:val="00E279A8"/>
    <w:rsid w:val="00E31815"/>
    <w:rsid w:val="00E37C1C"/>
    <w:rsid w:val="00E44CFF"/>
    <w:rsid w:val="00E75058"/>
    <w:rsid w:val="00E75942"/>
    <w:rsid w:val="00E80846"/>
    <w:rsid w:val="00E86294"/>
    <w:rsid w:val="00E87B99"/>
    <w:rsid w:val="00E953A1"/>
    <w:rsid w:val="00E95C1F"/>
    <w:rsid w:val="00EA0293"/>
    <w:rsid w:val="00EB3151"/>
    <w:rsid w:val="00EB3740"/>
    <w:rsid w:val="00EB40F8"/>
    <w:rsid w:val="00EB7383"/>
    <w:rsid w:val="00EC40B6"/>
    <w:rsid w:val="00EC7062"/>
    <w:rsid w:val="00ED5990"/>
    <w:rsid w:val="00EE4362"/>
    <w:rsid w:val="00EF327A"/>
    <w:rsid w:val="00F05F83"/>
    <w:rsid w:val="00F06654"/>
    <w:rsid w:val="00F16605"/>
    <w:rsid w:val="00F1676B"/>
    <w:rsid w:val="00F1777F"/>
    <w:rsid w:val="00F25CBE"/>
    <w:rsid w:val="00F3452A"/>
    <w:rsid w:val="00F40D4E"/>
    <w:rsid w:val="00F419CA"/>
    <w:rsid w:val="00F66824"/>
    <w:rsid w:val="00F75C4A"/>
    <w:rsid w:val="00F8620F"/>
    <w:rsid w:val="00F913E9"/>
    <w:rsid w:val="00F941B9"/>
    <w:rsid w:val="00FB03EE"/>
    <w:rsid w:val="00FB1A6F"/>
    <w:rsid w:val="00FB327E"/>
    <w:rsid w:val="00FB635A"/>
    <w:rsid w:val="00FB70EF"/>
    <w:rsid w:val="00FC2D9D"/>
    <w:rsid w:val="00FC5C5F"/>
    <w:rsid w:val="00FC6C5B"/>
    <w:rsid w:val="00FC6D1A"/>
    <w:rsid w:val="00FD523C"/>
    <w:rsid w:val="00FE6100"/>
    <w:rsid w:val="00FE63B8"/>
    <w:rsid w:val="00FE656B"/>
    <w:rsid w:val="00FF362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F1F1C"/>
  <w15:docId w15:val="{4E0D66B3-2274-4AB4-97AB-C3972B45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7431"/>
  </w:style>
  <w:style w:type="paragraph" w:styleId="Heading1">
    <w:name w:val="heading 1"/>
    <w:basedOn w:val="Normal"/>
    <w:link w:val="Heading1Char"/>
    <w:uiPriority w:val="9"/>
    <w:qFormat/>
    <w:rsid w:val="007B7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aliases w:val="Heading supplement"/>
    <w:basedOn w:val="Normal"/>
    <w:next w:val="Normal"/>
    <w:link w:val="Heading2Char"/>
    <w:uiPriority w:val="9"/>
    <w:unhideWhenUsed/>
    <w:qFormat/>
    <w:rsid w:val="0033335C"/>
    <w:pPr>
      <w:keepNext/>
      <w:keepLines/>
      <w:spacing w:before="200" w:after="0"/>
      <w:outlineLvl w:val="1"/>
    </w:pPr>
    <w:rPr>
      <w:rFonts w:ascii="Times New Roman" w:eastAsiaTheme="majorEastAsia" w:hAnsi="Times New Roman" w:cstheme="majorBidi"/>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supplement Char"/>
    <w:basedOn w:val="DefaultParagraphFont"/>
    <w:link w:val="Heading2"/>
    <w:uiPriority w:val="9"/>
    <w:rsid w:val="0033335C"/>
    <w:rPr>
      <w:rFonts w:ascii="Times New Roman" w:eastAsiaTheme="majorEastAsia" w:hAnsi="Times New Roman" w:cstheme="majorBidi"/>
      <w:b/>
      <w:bCs/>
      <w:sz w:val="20"/>
      <w:szCs w:val="26"/>
    </w:rPr>
  </w:style>
  <w:style w:type="character" w:styleId="Hyperlink">
    <w:name w:val="Hyperlink"/>
    <w:basedOn w:val="DefaultParagraphFont"/>
    <w:uiPriority w:val="99"/>
    <w:unhideWhenUsed/>
    <w:rsid w:val="007B7431"/>
    <w:rPr>
      <w:color w:val="0000FF" w:themeColor="hyperlink"/>
      <w:u w:val="single"/>
    </w:rPr>
  </w:style>
  <w:style w:type="character" w:customStyle="1" w:styleId="slug-vol">
    <w:name w:val="slug-vol"/>
    <w:basedOn w:val="DefaultParagraphFont"/>
    <w:rsid w:val="007B7431"/>
  </w:style>
  <w:style w:type="character" w:customStyle="1" w:styleId="slug-issue">
    <w:name w:val="slug-issue"/>
    <w:basedOn w:val="DefaultParagraphFont"/>
    <w:rsid w:val="007B7431"/>
  </w:style>
  <w:style w:type="character" w:customStyle="1" w:styleId="slug-pages">
    <w:name w:val="slug-pages"/>
    <w:basedOn w:val="DefaultParagraphFont"/>
    <w:rsid w:val="007B7431"/>
  </w:style>
  <w:style w:type="character" w:customStyle="1" w:styleId="Heading1Char">
    <w:name w:val="Heading 1 Char"/>
    <w:basedOn w:val="DefaultParagraphFont"/>
    <w:link w:val="Heading1"/>
    <w:uiPriority w:val="9"/>
    <w:rsid w:val="007B7431"/>
    <w:rPr>
      <w:rFonts w:ascii="Times New Roman" w:eastAsia="Times New Roman" w:hAnsi="Times New Roman" w:cs="Times New Roman"/>
      <w:b/>
      <w:bCs/>
      <w:kern w:val="36"/>
      <w:sz w:val="48"/>
      <w:szCs w:val="48"/>
    </w:rPr>
  </w:style>
  <w:style w:type="character" w:customStyle="1" w:styleId="highlight">
    <w:name w:val="highlight"/>
    <w:basedOn w:val="DefaultParagraphFont"/>
    <w:rsid w:val="008F0E03"/>
  </w:style>
  <w:style w:type="paragraph" w:styleId="ListParagraph">
    <w:name w:val="List Paragraph"/>
    <w:basedOn w:val="Normal"/>
    <w:uiPriority w:val="34"/>
    <w:qFormat/>
    <w:rsid w:val="0030298A"/>
    <w:pPr>
      <w:ind w:left="720"/>
      <w:contextualSpacing/>
    </w:pPr>
    <w:rPr>
      <w:rFonts w:eastAsiaTheme="minorEastAsia"/>
    </w:rPr>
  </w:style>
  <w:style w:type="paragraph" w:styleId="BodyText">
    <w:name w:val="Body Text"/>
    <w:basedOn w:val="Normal"/>
    <w:link w:val="BodyTextChar"/>
    <w:rsid w:val="0030298A"/>
    <w:pPr>
      <w:spacing w:after="0" w:line="480" w:lineRule="auto"/>
      <w:ind w:firstLine="540"/>
    </w:pPr>
    <w:rPr>
      <w:rFonts w:ascii="Times" w:eastAsia="Times New Roman" w:hAnsi="Times" w:cs="Times New Roman"/>
      <w:sz w:val="24"/>
      <w:szCs w:val="20"/>
    </w:rPr>
  </w:style>
  <w:style w:type="character" w:customStyle="1" w:styleId="BodyTextChar">
    <w:name w:val="Body Text Char"/>
    <w:basedOn w:val="DefaultParagraphFont"/>
    <w:link w:val="BodyText"/>
    <w:rsid w:val="0030298A"/>
    <w:rPr>
      <w:rFonts w:ascii="Times" w:eastAsia="Times New Roman" w:hAnsi="Times" w:cs="Times New Roman"/>
      <w:sz w:val="24"/>
      <w:szCs w:val="20"/>
    </w:rPr>
  </w:style>
  <w:style w:type="paragraph" w:styleId="Header">
    <w:name w:val="header"/>
    <w:basedOn w:val="Normal"/>
    <w:link w:val="HeaderChar"/>
    <w:uiPriority w:val="99"/>
    <w:unhideWhenUsed/>
    <w:rsid w:val="00302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8A"/>
  </w:style>
  <w:style w:type="paragraph" w:styleId="Footer">
    <w:name w:val="footer"/>
    <w:basedOn w:val="Normal"/>
    <w:link w:val="FooterChar"/>
    <w:uiPriority w:val="99"/>
    <w:unhideWhenUsed/>
    <w:rsid w:val="00302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8A"/>
  </w:style>
  <w:style w:type="paragraph" w:styleId="BalloonText">
    <w:name w:val="Balloon Text"/>
    <w:basedOn w:val="Normal"/>
    <w:link w:val="BalloonTextChar"/>
    <w:uiPriority w:val="99"/>
    <w:semiHidden/>
    <w:unhideWhenUsed/>
    <w:rsid w:val="00302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98A"/>
    <w:rPr>
      <w:rFonts w:ascii="Tahoma" w:hAnsi="Tahoma" w:cs="Tahoma"/>
      <w:sz w:val="16"/>
      <w:szCs w:val="16"/>
    </w:rPr>
  </w:style>
  <w:style w:type="table" w:styleId="TableGrid">
    <w:name w:val="Table Grid"/>
    <w:basedOn w:val="TableNormal"/>
    <w:uiPriority w:val="59"/>
    <w:rsid w:val="0002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A477F5"/>
  </w:style>
  <w:style w:type="character" w:styleId="CommentReference">
    <w:name w:val="annotation reference"/>
    <w:basedOn w:val="DefaultParagraphFont"/>
    <w:uiPriority w:val="99"/>
    <w:semiHidden/>
    <w:unhideWhenUsed/>
    <w:rsid w:val="00A73FFF"/>
    <w:rPr>
      <w:sz w:val="16"/>
      <w:szCs w:val="16"/>
    </w:rPr>
  </w:style>
  <w:style w:type="paragraph" w:styleId="CommentText">
    <w:name w:val="annotation text"/>
    <w:basedOn w:val="Normal"/>
    <w:link w:val="CommentTextChar"/>
    <w:uiPriority w:val="99"/>
    <w:semiHidden/>
    <w:unhideWhenUsed/>
    <w:rsid w:val="00A73FFF"/>
    <w:pPr>
      <w:spacing w:line="240" w:lineRule="auto"/>
    </w:pPr>
    <w:rPr>
      <w:sz w:val="20"/>
      <w:szCs w:val="20"/>
    </w:rPr>
  </w:style>
  <w:style w:type="character" w:customStyle="1" w:styleId="CommentTextChar">
    <w:name w:val="Comment Text Char"/>
    <w:basedOn w:val="DefaultParagraphFont"/>
    <w:link w:val="CommentText"/>
    <w:uiPriority w:val="99"/>
    <w:semiHidden/>
    <w:rsid w:val="00610782"/>
    <w:rPr>
      <w:sz w:val="20"/>
      <w:szCs w:val="20"/>
    </w:rPr>
  </w:style>
  <w:style w:type="paragraph" w:styleId="CommentSubject">
    <w:name w:val="annotation subject"/>
    <w:basedOn w:val="CommentText"/>
    <w:next w:val="CommentText"/>
    <w:link w:val="CommentSubjectChar"/>
    <w:uiPriority w:val="99"/>
    <w:semiHidden/>
    <w:unhideWhenUsed/>
    <w:rsid w:val="00610782"/>
    <w:rPr>
      <w:b/>
      <w:bCs/>
    </w:rPr>
  </w:style>
  <w:style w:type="character" w:customStyle="1" w:styleId="CommentSubjectChar">
    <w:name w:val="Comment Subject Char"/>
    <w:basedOn w:val="CommentTextChar"/>
    <w:link w:val="CommentSubject"/>
    <w:uiPriority w:val="99"/>
    <w:semiHidden/>
    <w:rsid w:val="00610782"/>
    <w:rPr>
      <w:b/>
      <w:bCs/>
      <w:sz w:val="20"/>
      <w:szCs w:val="20"/>
    </w:rPr>
  </w:style>
  <w:style w:type="paragraph" w:styleId="Revision">
    <w:name w:val="Revision"/>
    <w:hidden/>
    <w:uiPriority w:val="99"/>
    <w:semiHidden/>
    <w:rsid w:val="00A53693"/>
    <w:pPr>
      <w:spacing w:after="0" w:line="240" w:lineRule="auto"/>
    </w:pPr>
  </w:style>
  <w:style w:type="character" w:styleId="PlaceholderText">
    <w:name w:val="Placeholder Text"/>
    <w:basedOn w:val="DefaultParagraphFont"/>
    <w:uiPriority w:val="99"/>
    <w:semiHidden/>
    <w:rsid w:val="00057813"/>
    <w:rPr>
      <w:color w:val="808080"/>
    </w:rPr>
  </w:style>
  <w:style w:type="paragraph" w:styleId="NormalWeb">
    <w:name w:val="Normal (Web)"/>
    <w:basedOn w:val="Normal"/>
    <w:uiPriority w:val="99"/>
    <w:semiHidden/>
    <w:unhideWhenUsed/>
    <w:rsid w:val="00F941B9"/>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paragraph" w:styleId="Bibliography">
    <w:name w:val="Bibliography"/>
    <w:basedOn w:val="Normal"/>
    <w:next w:val="Normal"/>
    <w:uiPriority w:val="37"/>
    <w:semiHidden/>
    <w:unhideWhenUsed/>
    <w:rsid w:val="00247F60"/>
  </w:style>
  <w:style w:type="paragraph" w:customStyle="1" w:styleId="Default">
    <w:name w:val="Default"/>
    <w:rsid w:val="006B792E"/>
    <w:pPr>
      <w:autoSpaceDE w:val="0"/>
      <w:autoSpaceDN w:val="0"/>
      <w:adjustRightInd w:val="0"/>
      <w:spacing w:after="0" w:line="240" w:lineRule="auto"/>
    </w:pPr>
    <w:rPr>
      <w:rFonts w:ascii="Calibri" w:hAnsi="Calibri" w:cs="Calibri"/>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95288">
      <w:bodyDiv w:val="1"/>
      <w:marLeft w:val="0"/>
      <w:marRight w:val="0"/>
      <w:marTop w:val="0"/>
      <w:marBottom w:val="0"/>
      <w:divBdr>
        <w:top w:val="none" w:sz="0" w:space="0" w:color="auto"/>
        <w:left w:val="none" w:sz="0" w:space="0" w:color="auto"/>
        <w:bottom w:val="none" w:sz="0" w:space="0" w:color="auto"/>
        <w:right w:val="none" w:sz="0" w:space="0" w:color="auto"/>
      </w:divBdr>
      <w:divsChild>
        <w:div w:id="1141776672">
          <w:marLeft w:val="0"/>
          <w:marRight w:val="0"/>
          <w:marTop w:val="0"/>
          <w:marBottom w:val="0"/>
          <w:divBdr>
            <w:top w:val="none" w:sz="0" w:space="0" w:color="auto"/>
            <w:left w:val="none" w:sz="0" w:space="0" w:color="auto"/>
            <w:bottom w:val="none" w:sz="0" w:space="0" w:color="auto"/>
            <w:right w:val="none" w:sz="0" w:space="0" w:color="auto"/>
          </w:divBdr>
        </w:div>
        <w:div w:id="1812018367">
          <w:marLeft w:val="0"/>
          <w:marRight w:val="0"/>
          <w:marTop w:val="0"/>
          <w:marBottom w:val="0"/>
          <w:divBdr>
            <w:top w:val="none" w:sz="0" w:space="0" w:color="auto"/>
            <w:left w:val="none" w:sz="0" w:space="0" w:color="auto"/>
            <w:bottom w:val="none" w:sz="0" w:space="0" w:color="auto"/>
            <w:right w:val="none" w:sz="0" w:space="0" w:color="auto"/>
          </w:divBdr>
        </w:div>
      </w:divsChild>
    </w:div>
    <w:div w:id="899486496">
      <w:bodyDiv w:val="1"/>
      <w:marLeft w:val="0"/>
      <w:marRight w:val="0"/>
      <w:marTop w:val="0"/>
      <w:marBottom w:val="0"/>
      <w:divBdr>
        <w:top w:val="none" w:sz="0" w:space="0" w:color="auto"/>
        <w:left w:val="none" w:sz="0" w:space="0" w:color="auto"/>
        <w:bottom w:val="none" w:sz="0" w:space="0" w:color="auto"/>
        <w:right w:val="none" w:sz="0" w:space="0" w:color="auto"/>
      </w:divBdr>
    </w:div>
    <w:div w:id="1018392785">
      <w:bodyDiv w:val="1"/>
      <w:marLeft w:val="0"/>
      <w:marRight w:val="0"/>
      <w:marTop w:val="0"/>
      <w:marBottom w:val="0"/>
      <w:divBdr>
        <w:top w:val="none" w:sz="0" w:space="0" w:color="auto"/>
        <w:left w:val="none" w:sz="0" w:space="0" w:color="auto"/>
        <w:bottom w:val="none" w:sz="0" w:space="0" w:color="auto"/>
        <w:right w:val="none" w:sz="0" w:space="0" w:color="auto"/>
      </w:divBdr>
    </w:div>
    <w:div w:id="1106778468">
      <w:bodyDiv w:val="1"/>
      <w:marLeft w:val="0"/>
      <w:marRight w:val="0"/>
      <w:marTop w:val="0"/>
      <w:marBottom w:val="0"/>
      <w:divBdr>
        <w:top w:val="none" w:sz="0" w:space="0" w:color="auto"/>
        <w:left w:val="none" w:sz="0" w:space="0" w:color="auto"/>
        <w:bottom w:val="none" w:sz="0" w:space="0" w:color="auto"/>
        <w:right w:val="none" w:sz="0" w:space="0" w:color="auto"/>
      </w:divBdr>
      <w:divsChild>
        <w:div w:id="1771193298">
          <w:marLeft w:val="0"/>
          <w:marRight w:val="0"/>
          <w:marTop w:val="0"/>
          <w:marBottom w:val="0"/>
          <w:divBdr>
            <w:top w:val="none" w:sz="0" w:space="0" w:color="auto"/>
            <w:left w:val="none" w:sz="0" w:space="0" w:color="auto"/>
            <w:bottom w:val="none" w:sz="0" w:space="0" w:color="auto"/>
            <w:right w:val="none" w:sz="0" w:space="0" w:color="auto"/>
          </w:divBdr>
        </w:div>
        <w:div w:id="2016490178">
          <w:marLeft w:val="0"/>
          <w:marRight w:val="0"/>
          <w:marTop w:val="0"/>
          <w:marBottom w:val="0"/>
          <w:divBdr>
            <w:top w:val="none" w:sz="0" w:space="0" w:color="auto"/>
            <w:left w:val="none" w:sz="0" w:space="0" w:color="auto"/>
            <w:bottom w:val="none" w:sz="0" w:space="0" w:color="auto"/>
            <w:right w:val="none" w:sz="0" w:space="0" w:color="auto"/>
          </w:divBdr>
        </w:div>
      </w:divsChild>
    </w:div>
    <w:div w:id="1673023686">
      <w:bodyDiv w:val="1"/>
      <w:marLeft w:val="0"/>
      <w:marRight w:val="0"/>
      <w:marTop w:val="0"/>
      <w:marBottom w:val="0"/>
      <w:divBdr>
        <w:top w:val="none" w:sz="0" w:space="0" w:color="auto"/>
        <w:left w:val="none" w:sz="0" w:space="0" w:color="auto"/>
        <w:bottom w:val="none" w:sz="0" w:space="0" w:color="auto"/>
        <w:right w:val="none" w:sz="0" w:space="0" w:color="auto"/>
      </w:divBdr>
    </w:div>
    <w:div w:id="1879246353">
      <w:bodyDiv w:val="1"/>
      <w:marLeft w:val="0"/>
      <w:marRight w:val="0"/>
      <w:marTop w:val="0"/>
      <w:marBottom w:val="0"/>
      <w:divBdr>
        <w:top w:val="none" w:sz="0" w:space="0" w:color="auto"/>
        <w:left w:val="none" w:sz="0" w:space="0" w:color="auto"/>
        <w:bottom w:val="none" w:sz="0" w:space="0" w:color="auto"/>
        <w:right w:val="none" w:sz="0" w:space="0" w:color="auto"/>
      </w:divBdr>
      <w:divsChild>
        <w:div w:id="891887123">
          <w:marLeft w:val="0"/>
          <w:marRight w:val="0"/>
          <w:marTop w:val="0"/>
          <w:marBottom w:val="0"/>
          <w:divBdr>
            <w:top w:val="none" w:sz="0" w:space="0" w:color="auto"/>
            <w:left w:val="none" w:sz="0" w:space="0" w:color="auto"/>
            <w:bottom w:val="none" w:sz="0" w:space="0" w:color="auto"/>
            <w:right w:val="none" w:sz="0" w:space="0" w:color="auto"/>
          </w:divBdr>
        </w:div>
        <w:div w:id="1364593918">
          <w:marLeft w:val="0"/>
          <w:marRight w:val="0"/>
          <w:marTop w:val="0"/>
          <w:marBottom w:val="0"/>
          <w:divBdr>
            <w:top w:val="none" w:sz="0" w:space="0" w:color="auto"/>
            <w:left w:val="none" w:sz="0" w:space="0" w:color="auto"/>
            <w:bottom w:val="none" w:sz="0" w:space="0" w:color="auto"/>
            <w:right w:val="none" w:sz="0" w:space="0" w:color="auto"/>
          </w:divBdr>
        </w:div>
      </w:divsChild>
    </w:div>
    <w:div w:id="1918323045">
      <w:bodyDiv w:val="1"/>
      <w:marLeft w:val="0"/>
      <w:marRight w:val="0"/>
      <w:marTop w:val="0"/>
      <w:marBottom w:val="0"/>
      <w:divBdr>
        <w:top w:val="none" w:sz="0" w:space="0" w:color="auto"/>
        <w:left w:val="none" w:sz="0" w:space="0" w:color="auto"/>
        <w:bottom w:val="none" w:sz="0" w:space="0" w:color="auto"/>
        <w:right w:val="none" w:sz="0" w:space="0" w:color="auto"/>
      </w:divBdr>
    </w:div>
    <w:div w:id="1928725948">
      <w:bodyDiv w:val="1"/>
      <w:marLeft w:val="0"/>
      <w:marRight w:val="0"/>
      <w:marTop w:val="0"/>
      <w:marBottom w:val="0"/>
      <w:divBdr>
        <w:top w:val="none" w:sz="0" w:space="0" w:color="auto"/>
        <w:left w:val="none" w:sz="0" w:space="0" w:color="auto"/>
        <w:bottom w:val="none" w:sz="0" w:space="0" w:color="auto"/>
        <w:right w:val="none" w:sz="0" w:space="0" w:color="auto"/>
      </w:divBdr>
      <w:divsChild>
        <w:div w:id="393898855">
          <w:marLeft w:val="0"/>
          <w:marRight w:val="0"/>
          <w:marTop w:val="0"/>
          <w:marBottom w:val="0"/>
          <w:divBdr>
            <w:top w:val="none" w:sz="0" w:space="0" w:color="auto"/>
            <w:left w:val="none" w:sz="0" w:space="0" w:color="auto"/>
            <w:bottom w:val="none" w:sz="0" w:space="0" w:color="auto"/>
            <w:right w:val="none" w:sz="0" w:space="0" w:color="auto"/>
          </w:divBdr>
        </w:div>
        <w:div w:id="1990550218">
          <w:marLeft w:val="0"/>
          <w:marRight w:val="0"/>
          <w:marTop w:val="0"/>
          <w:marBottom w:val="0"/>
          <w:divBdr>
            <w:top w:val="none" w:sz="0" w:space="0" w:color="auto"/>
            <w:left w:val="none" w:sz="0" w:space="0" w:color="auto"/>
            <w:bottom w:val="none" w:sz="0" w:space="0" w:color="auto"/>
            <w:right w:val="none" w:sz="0" w:space="0" w:color="auto"/>
          </w:divBdr>
        </w:div>
      </w:divsChild>
    </w:div>
    <w:div w:id="1928729373">
      <w:bodyDiv w:val="1"/>
      <w:marLeft w:val="0"/>
      <w:marRight w:val="0"/>
      <w:marTop w:val="0"/>
      <w:marBottom w:val="0"/>
      <w:divBdr>
        <w:top w:val="none" w:sz="0" w:space="0" w:color="auto"/>
        <w:left w:val="none" w:sz="0" w:space="0" w:color="auto"/>
        <w:bottom w:val="none" w:sz="0" w:space="0" w:color="auto"/>
        <w:right w:val="none" w:sz="0" w:space="0" w:color="auto"/>
      </w:divBdr>
      <w:divsChild>
        <w:div w:id="1832407116">
          <w:marLeft w:val="0"/>
          <w:marRight w:val="0"/>
          <w:marTop w:val="0"/>
          <w:marBottom w:val="0"/>
          <w:divBdr>
            <w:top w:val="none" w:sz="0" w:space="0" w:color="auto"/>
            <w:left w:val="none" w:sz="0" w:space="0" w:color="auto"/>
            <w:bottom w:val="none" w:sz="0" w:space="0" w:color="auto"/>
            <w:right w:val="none" w:sz="0" w:space="0" w:color="auto"/>
          </w:divBdr>
        </w:div>
        <w:div w:id="526064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zusa.or.jp/cod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0C975-9C90-4956-B953-86E33569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4429</TotalTime>
  <Pages>25</Pages>
  <Words>12963</Words>
  <Characters>73892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SCBE, NTU</Company>
  <LinksUpToDate>false</LinksUpToDate>
  <CharactersWithSpaces>86682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Maurice Ling</cp:lastModifiedBy>
  <cp:revision>53</cp:revision>
  <cp:lastPrinted>2014-12-11T09:13:00Z</cp:lastPrinted>
  <dcterms:created xsi:type="dcterms:W3CDTF">2017-08-17T09:24:00Z</dcterms:created>
  <dcterms:modified xsi:type="dcterms:W3CDTF">2017-10-21T15:54:00Z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id="fcZPsy5m"/&gt;&lt;style id="http://www.zotero.org/styles/cell" hasBibliography="1" bibliographyStyleHasBeenSet="0"/&gt;&lt;prefs&gt;&lt;pref name="fieldType" value="Field"/&gt;&lt;pref name="storeReferences" value="t</vt:lpwstr>
  </property>
  <property fmtid="{D5CDD505-2E9C-101B-9397-08002B2CF9AE}" pid="3" name="ZOTERO_PREF_2">
    <vt:lpwstr>rue"/&gt;&lt;pref name="automaticJournalAbbreviations" value=""/&gt;&lt;pref name="noteType" value=""/&gt;&lt;/prefs&gt;&lt;/data&gt;</vt:lpwstr>
  </property>
</Properties>
</file>