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SRHVQ</w:t>
      </w:r>
      <w:r>
        <w:t xml:space="preserve"> </w:t>
      </w:r>
      <w:r>
        <w:t xml:space="preserve">—</w:t>
      </w:r>
      <w:r>
        <w:t xml:space="preserve"> </w:t>
      </w:r>
      <w:r>
        <w:t xml:space="preserve">Détail</w:t>
      </w:r>
      <w:r>
        <w:t xml:space="preserve"> </w:t>
      </w:r>
      <w:r>
        <w:t xml:space="preserve">de</w:t>
      </w:r>
      <w:r>
        <w:t xml:space="preserve"> </w:t>
      </w:r>
      <w:r>
        <w:t xml:space="preserve">révision</w:t>
      </w:r>
      <w:r>
        <w:t xml:space="preserve"> </w:t>
      </w:r>
      <w:r>
        <w:t xml:space="preserve">des</w:t>
      </w:r>
      <w:r>
        <w:t xml:space="preserve"> </w:t>
      </w:r>
      <w:r>
        <w:t xml:space="preserve">versions</w:t>
      </w:r>
    </w:p>
    <w:p>
      <w:pPr>
        <w:pStyle w:val="Subtitle"/>
      </w:pPr>
      <w:r>
        <w:t xml:space="preserve">Application</w:t>
      </w:r>
      <w:r>
        <w:t xml:space="preserve"> </w:t>
      </w:r>
      <w:r>
        <w:t xml:space="preserve">«</w:t>
      </w:r>
      <w:r>
        <w:t xml:space="preserve"> </w:t>
      </w: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»</w:t>
      </w:r>
      <w:r>
        <w:t xml:space="preserve"> </w:t>
      </w:r>
      <w:r>
        <w:t xml:space="preserve">·</w:t>
      </w:r>
      <w:r>
        <w:t xml:space="preserve"> </w:t>
      </w:r>
      <w:r>
        <w:t xml:space="preserve">Solution-ApplicationAppreciation</w:t>
      </w:r>
    </w:p>
    <w:bookmarkStart w:id="20" w:name="comment-tenir-ce-document"/>
    <w:p>
      <w:pPr>
        <w:pStyle w:val="Heading1"/>
      </w:pPr>
      <w:r>
        <w:t xml:space="preserve">Comment tenir ce document</w:t>
      </w:r>
    </w:p>
    <w:p>
      <w:pPr>
        <w:pStyle w:val="FirstParagraph"/>
      </w:pPr>
      <w:r>
        <w:t xml:space="preserve">À</w:t>
      </w:r>
      <w:r>
        <w:t xml:space="preserve"> </w:t>
      </w:r>
      <w:r>
        <w:rPr>
          <w:bCs/>
          <w:b/>
        </w:rPr>
        <w:t xml:space="preserve">chaque</w:t>
      </w:r>
      <w:r>
        <w:t xml:space="preserve"> </w:t>
      </w:r>
      <w:r>
        <w:t xml:space="preserve">nouvelle version exportée :</w:t>
      </w:r>
    </w:p>
    <w:p>
      <w:pPr>
        <w:numPr>
          <w:ilvl w:val="0"/>
          <w:numId w:val="1001"/>
        </w:numPr>
        <w:pStyle w:val="Compact"/>
      </w:pPr>
      <w:r>
        <w:t xml:space="preserve">Ajoutez une ligne au tableau 1 et une section au tableau 2.</w:t>
      </w:r>
    </w:p>
    <w:p>
      <w:pPr>
        <w:numPr>
          <w:ilvl w:val="0"/>
          <w:numId w:val="1001"/>
        </w:numPr>
        <w:pStyle w:val="Compact"/>
      </w:pPr>
      <w:r>
        <w:t xml:space="preserve">Mettez aussi à jour le numéro affiché dans l’écran</w:t>
      </w:r>
      <w:r>
        <w:t xml:space="preserve"> </w:t>
      </w:r>
      <w:r>
        <w:rPr>
          <w:bCs/>
          <w:b/>
        </w:rPr>
        <w:t xml:space="preserve">À propos</w:t>
      </w:r>
      <w:r>
        <w:t xml:space="preserve"> </w:t>
      </w:r>
      <w:r>
        <w:t xml:space="preserve">(lblVersion).</w:t>
      </w:r>
    </w:p>
    <w:p>
      <w:pPr>
        <w:pStyle w:val="FirstParagraph"/>
      </w:pPr>
      <w:r>
        <w:t xml:space="preserve">Les numéros de version sont ceux de la solution Power Platform :</w:t>
      </w:r>
      <w:r>
        <w:t xml:space="preserve"> </w:t>
      </w:r>
      <w:r>
        <w:rPr>
          <w:bCs/>
          <w:b/>
        </w:rPr>
        <w:t xml:space="preserve">majeure.mineure.build.révision</w:t>
      </w:r>
      <w:r>
        <w:t xml:space="preserve">.</w:t>
      </w:r>
    </w:p>
    <w:bookmarkEnd w:id="20"/>
    <w:bookmarkStart w:id="21" w:name="historique-des-versions"/>
    <w:p>
      <w:pPr>
        <w:pStyle w:val="Heading1"/>
      </w:pPr>
      <w:r>
        <w:t xml:space="preserve">1. Historique des versions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Environnement(s)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octobre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version complète : application, 2 flux, listes,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octobre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finale initiale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PDF (flux 3), PDF joint au dossier, écran allégé, corrections des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octobre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de rencontre conservé et affiché dans le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octobre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Échelle des postures de leadership à 4 niveaux, avec la note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1.0.0.4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[date d’export]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PréProd</w:t>
            </w:r>
            <w:r>
              <w:t xml:space="preserve"> </w:t>
            </w:r>
            <w:r>
              <w:t xml:space="preserve">(puis 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aux exigences des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Noms SRHVQ, groupes d’application, validation, confirmation, gestion des erreurs, À propos, 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</w:t>
            </w:r>
          </w:p>
        </w:tc>
      </w:tr>
    </w:tbl>
    <w:bookmarkEnd w:id="21"/>
    <w:bookmarkStart w:id="26" w:name="détail-des-changements"/>
    <w:p>
      <w:pPr>
        <w:pStyle w:val="Heading1"/>
      </w:pPr>
      <w:r>
        <w:t xml:space="preserve">2. Détail des changements</w:t>
      </w:r>
    </w:p>
    <w:bookmarkStart w:id="22" w:name="conformité-aux-exigences-des-ti"/>
    <w:p>
      <w:pPr>
        <w:pStyle w:val="Heading2"/>
      </w:pPr>
      <w:r>
        <w:t xml:space="preserve">1.0.0.4 — Conformité aux exigences des TI</w:t>
      </w:r>
    </w:p>
    <w:p>
      <w:pPr>
        <w:numPr>
          <w:ilvl w:val="0"/>
          <w:numId w:val="1002"/>
        </w:numPr>
        <w:pStyle w:val="Compact"/>
      </w:pPr>
      <w:r>
        <w:t xml:space="preserve">Variables d’environnement renommées selon la convention (SRHVQ_…) ; nouvelle variable</w:t>
      </w:r>
      <w:r>
        <w:t xml:space="preserve"> </w:t>
      </w:r>
      <w:r>
        <w:rPr>
          <w:bCs/>
          <w:b/>
        </w:rPr>
        <w:t xml:space="preserve">SRHVQ_CourrielSoutien</w:t>
      </w:r>
      <w:r>
        <w:t xml:space="preserve"> </w:t>
      </w:r>
      <w:r>
        <w:t xml:space="preserve">; bascule « Exporter la valeur » à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pour les 6 variables.</w:t>
      </w:r>
    </w:p>
    <w:p>
      <w:pPr>
        <w:numPr>
          <w:ilvl w:val="0"/>
          <w:numId w:val="1002"/>
        </w:numPr>
        <w:pStyle w:val="Compact"/>
      </w:pPr>
      <w:r>
        <w:t xml:space="preserve">Listes PréProd et Prod nommées</w:t>
      </w:r>
      <w:r>
        <w:t xml:space="preserve"> </w:t>
      </w:r>
      <w:r>
        <w:rPr>
          <w:bCs/>
          <w:b/>
        </w:rPr>
        <w:t xml:space="preserve">SRHVQ_Appreciations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SRHVQ_Parametres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Flux 1 : retire le groupe local</w:t>
      </w:r>
      <w:r>
        <w:t xml:space="preserve"> </w:t>
      </w:r>
      <w:r>
        <w:rPr>
          <w:bCs/>
          <w:b/>
        </w:rPr>
        <w:t xml:space="preserve">SRHVQ_Utilisateurs</w:t>
      </w:r>
      <w:r>
        <w:t xml:space="preserve"> </w:t>
      </w:r>
      <w:r>
        <w:t xml:space="preserve">(au lieu des Membres du site) de chaque nouveau dossier.</w:t>
      </w:r>
    </w:p>
    <w:p>
      <w:pPr>
        <w:numPr>
          <w:ilvl w:val="0"/>
          <w:numId w:val="1002"/>
        </w:numPr>
        <w:pStyle w:val="Compact"/>
      </w:pPr>
      <w:r>
        <w:t xml:space="preserve">Flux 1, 2 et 3 : gestion des erreurs (étendue Essayer + courriel au soutien).</w:t>
      </w:r>
    </w:p>
    <w:p>
      <w:pPr>
        <w:numPr>
          <w:ilvl w:val="0"/>
          <w:numId w:val="1002"/>
        </w:numPr>
        <w:pStyle w:val="Compact"/>
      </w:pPr>
      <w:r>
        <w:t xml:space="preserve">Application :</w:t>
      </w:r>
    </w:p>
    <w:p>
      <w:pPr>
        <w:numPr>
          <w:ilvl w:val="1"/>
          <w:numId w:val="1003"/>
        </w:numPr>
        <w:pStyle w:val="Compact"/>
      </w:pPr>
      <w:r>
        <w:t xml:space="preserve">commentaires et mise en forme des formules ;</w:t>
      </w:r>
    </w:p>
    <w:p>
      <w:pPr>
        <w:numPr>
          <w:ilvl w:val="1"/>
          <w:numId w:val="1003"/>
        </w:numPr>
        <w:pStyle w:val="Compact"/>
      </w:pPr>
      <w:r>
        <w:t xml:space="preserve">validation des champs obligatoires ;</w:t>
      </w:r>
    </w:p>
    <w:p>
      <w:pPr>
        <w:numPr>
          <w:ilvl w:val="1"/>
          <w:numId w:val="1003"/>
        </w:numPr>
        <w:pStyle w:val="Compact"/>
      </w:pPr>
      <w:r>
        <w:t xml:space="preserve">confirmation avant la création d’un dossier ;</w:t>
      </w:r>
    </w:p>
    <w:p>
      <w:pPr>
        <w:numPr>
          <w:ilvl w:val="1"/>
          <w:numId w:val="1003"/>
        </w:numPr>
        <w:pStyle w:val="Compact"/>
      </w:pPr>
      <w:r>
        <w:t xml:space="preserve">App.OnError ;</w:t>
      </w:r>
    </w:p>
    <w:p>
      <w:pPr>
        <w:numPr>
          <w:ilvl w:val="1"/>
          <w:numId w:val="1003"/>
        </w:numPr>
        <w:pStyle w:val="Compact"/>
      </w:pPr>
      <w:r>
        <w:t xml:space="preserve">écran</w:t>
      </w:r>
      <w:r>
        <w:t xml:space="preserve"> </w:t>
      </w:r>
      <w:r>
        <w:rPr>
          <w:bCs/>
          <w:b/>
        </w:rPr>
        <w:t xml:space="preserve">À propos</w:t>
      </w:r>
      <w:r>
        <w:t xml:space="preserve"> </w:t>
      </w:r>
      <w:r>
        <w:t xml:space="preserve">(soutien, téléphone, formulaire de courriel) ;</w:t>
      </w:r>
    </w:p>
    <w:p>
      <w:pPr>
        <w:numPr>
          <w:ilvl w:val="1"/>
          <w:numId w:val="1003"/>
        </w:numPr>
        <w:pStyle w:val="Compact"/>
      </w:pPr>
      <w:r>
        <w:t xml:space="preserve">écran d’</w:t>
      </w:r>
      <w:r>
        <w:rPr>
          <w:bCs/>
          <w:b/>
        </w:rPr>
        <w:t xml:space="preserve">aide</w:t>
      </w:r>
      <w:r>
        <w:t xml:space="preserve"> </w:t>
      </w:r>
      <w:r>
        <w:t xml:space="preserve">(didacticiel).</w:t>
      </w:r>
    </w:p>
    <w:p>
      <w:pPr>
        <w:numPr>
          <w:ilvl w:val="0"/>
          <w:numId w:val="1002"/>
        </w:numPr>
        <w:pStyle w:val="Compact"/>
      </w:pPr>
      <w:r>
        <w:t xml:space="preserve">Liste Parametres : nouvelles clés SupportNom et SupportTelephone.</w:t>
      </w:r>
    </w:p>
    <w:bookmarkEnd w:id="22"/>
    <w:bookmarkStart w:id="23" w:name="échelle-des-postures"/>
    <w:p>
      <w:pPr>
        <w:pStyle w:val="Heading2"/>
      </w:pPr>
      <w:r>
        <w:t xml:space="preserve">1.0.0.3 — Échelle des postures</w:t>
      </w:r>
    </w:p>
    <w:p>
      <w:pPr>
        <w:numPr>
          <w:ilvl w:val="0"/>
          <w:numId w:val="1004"/>
        </w:numPr>
        <w:pStyle w:val="Compact"/>
      </w:pPr>
      <w:r>
        <w:t xml:space="preserve">colEchelle à 4 niveaux : Insatisfaisant, Partiellement satisfaisant, Complètement satisfaisant, Supérieur ; descriptions mises à jour.</w:t>
      </w:r>
    </w:p>
    <w:p>
      <w:pPr>
        <w:numPr>
          <w:ilvl w:val="0"/>
          <w:numId w:val="1004"/>
        </w:numPr>
        <w:pStyle w:val="Compact"/>
      </w:pPr>
      <w:r>
        <w:t xml:space="preserve">Le tableau de l’échelle (echelleLegend) est généré à partir de colEchelle et affiche la note 1.</w:t>
      </w:r>
    </w:p>
    <w:p>
      <w:pPr>
        <w:numPr>
          <w:ilvl w:val="0"/>
          <w:numId w:val="1004"/>
        </w:numPr>
        <w:pStyle w:val="Compact"/>
      </w:pPr>
      <w:r>
        <w:t xml:space="preserve">Textes de la section B mis à jour.</w:t>
      </w:r>
    </w:p>
    <w:bookmarkEnd w:id="23"/>
    <w:bookmarkStart w:id="24" w:name="type-de-rencontre"/>
    <w:p>
      <w:pPr>
        <w:pStyle w:val="Heading2"/>
      </w:pPr>
      <w:r>
        <w:t xml:space="preserve">1.0.0.2 — Type de rencontre</w:t>
      </w:r>
    </w:p>
    <w:p>
      <w:pPr>
        <w:numPr>
          <w:ilvl w:val="0"/>
          <w:numId w:val="1005"/>
        </w:numPr>
        <w:pStyle w:val="Compact"/>
      </w:pPr>
      <w:r>
        <w:t xml:space="preserve">Comparaison des choix par mot-clé (cases à cocher et enregistrement).</w:t>
      </w:r>
    </w:p>
    <w:p>
      <w:pPr>
        <w:numPr>
          <w:ilvl w:val="0"/>
          <w:numId w:val="1005"/>
        </w:numPr>
        <w:pStyle w:val="Compact"/>
      </w:pPr>
      <w:r>
        <w:t xml:space="preserve">Relecture complète du dossier à l’ouverture du formulaire.</w:t>
      </w:r>
    </w:p>
    <w:bookmarkEnd w:id="24"/>
    <w:bookmarkStart w:id="25" w:name="version-finale-initiale"/>
    <w:p>
      <w:pPr>
        <w:pStyle w:val="Heading2"/>
      </w:pPr>
      <w:r>
        <w:t xml:space="preserve">1.0.0.1 — Version finale initiale</w:t>
      </w:r>
    </w:p>
    <w:p>
      <w:pPr>
        <w:numPr>
          <w:ilvl w:val="0"/>
          <w:numId w:val="1006"/>
        </w:numPr>
        <w:pStyle w:val="Compact"/>
      </w:pPr>
      <w:r>
        <w:t xml:space="preserve">Flux 3 GenererPDFAppreciation : PDF joint au dossier, une seule version.</w:t>
      </w:r>
    </w:p>
    <w:p>
      <w:pPr>
        <w:numPr>
          <w:ilvl w:val="0"/>
          <w:numId w:val="1006"/>
        </w:numPr>
        <w:pStyle w:val="Compact"/>
      </w:pPr>
      <w:r>
        <w:t xml:space="preserve">Bouton « Ouvrir le PDF » ; onglets Synthèse et Plan retirés ; « Transmis aux RH » ; dates sans fr-CA.</w:t>
      </w:r>
    </w:p>
    <w:p>
      <w:pPr>
        <w:numPr>
          <w:ilvl w:val="0"/>
          <w:numId w:val="1006"/>
        </w:numPr>
        <w:pStyle w:val="Compact"/>
      </w:pPr>
      <w:r>
        <w:t xml:space="preserve">26 corrections au guide d’origine (voir le guide de mise en production, partie 3).</w:t>
      </w:r>
    </w:p>
    <w:bookmarkEnd w:id="25"/>
    <w:bookmarkEnd w:id="26"/>
    <w:bookmarkStart w:id="27" w:name="approbations-de-mise-en-production"/>
    <w:p>
      <w:pPr>
        <w:pStyle w:val="Heading1"/>
      </w:pPr>
      <w:r>
        <w:t xml:space="preserve">3. Approbations de mise en production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PréProd — date et approbateur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— date et approbateur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SRHVQ — Détail de révision des versions</dc:title>
  <dc:creator/>
  <dc:language>fr-CA</dc:language>
  <cp:keywords/>
  <dcterms:created xsi:type="dcterms:W3CDTF">2026-10-30T17:01:01Z</dcterms:created>
  <dcterms:modified xsi:type="dcterms:W3CDTF">2026-10-30T17:01:01Z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Application « Appréciation de la contribution » · Solution-ApplicationAppreciation</vt:lpwstr>
  </property>
</Properties>
</file>