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Votre</w:t>
      </w:r>
      <w:r>
        <w:t xml:space="preserve"> </w:t>
      </w:r>
      <w:r>
        <w:t xml:space="preserve">solution</w:t>
      </w:r>
      <w:r>
        <w:t xml:space="preserve"> </w:t>
      </w:r>
      <w:r>
        <w:t xml:space="preserve">et</w:t>
      </w:r>
      <w:r>
        <w:t xml:space="preserve"> </w:t>
      </w:r>
      <w:r>
        <w:t xml:space="preserve">le</w:t>
      </w:r>
      <w:r>
        <w:t xml:space="preserve"> </w:t>
      </w:r>
      <w:r>
        <w:t xml:space="preserve">risque</w:t>
      </w:r>
      <w:r>
        <w:t xml:space="preserve"> </w:t>
      </w:r>
      <w:r>
        <w:t xml:space="preserve">OneDrive</w:t>
      </w:r>
      <w:r>
        <w:t xml:space="preserve"> </w:t>
      </w:r>
      <w:r>
        <w:t xml:space="preserve">—</w:t>
      </w:r>
      <w:r>
        <w:t xml:space="preserve"> </w:t>
      </w:r>
      <w:r>
        <w:t xml:space="preserve">Analyse</w:t>
      </w:r>
      <w:r>
        <w:t xml:space="preserve"> </w:t>
      </w:r>
      <w:r>
        <w:t xml:space="preserve">et</w:t>
      </w:r>
      <w:r>
        <w:t xml:space="preserve"> </w:t>
      </w:r>
      <w:r>
        <w:t xml:space="preserve">actions</w:t>
      </w:r>
    </w:p>
    <w:p>
      <w:pPr>
        <w:pStyle w:val="Subtitle"/>
      </w:pPr>
      <w:r>
        <w:t xml:space="preserve">Application</w:t>
      </w:r>
      <w:r>
        <w:t xml:space="preserve"> </w:t>
      </w:r>
      <w:r>
        <w:t xml:space="preserve">Appréciation</w:t>
      </w:r>
      <w:r>
        <w:t xml:space="preserve"> </w:t>
      </w:r>
      <w:r>
        <w:t xml:space="preserve">de</w:t>
      </w:r>
      <w:r>
        <w:t xml:space="preserve"> </w:t>
      </w:r>
      <w:r>
        <w:t xml:space="preserve">la</w:t>
      </w:r>
      <w:r>
        <w:t xml:space="preserve"> </w:t>
      </w:r>
      <w:r>
        <w:t xml:space="preserve">contribution</w:t>
      </w:r>
      <w:r>
        <w:t xml:space="preserve"> </w:t>
      </w:r>
      <w:r>
        <w:t xml:space="preserve">(SRHVQ)</w:t>
      </w:r>
      <w:r>
        <w:t xml:space="preserve"> </w:t>
      </w:r>
      <w:r>
        <w:t xml:space="preserve">·</w:t>
      </w:r>
      <w:r>
        <w:t xml:space="preserve"> </w:t>
      </w:r>
      <w:r>
        <w:t xml:space="preserve">30</w:t>
      </w:r>
      <w:r>
        <w:t xml:space="preserve"> </w:t>
      </w:r>
      <w:r>
        <w:t xml:space="preserve">octobre</w:t>
      </w:r>
      <w:r>
        <w:t xml:space="preserve"> </w:t>
      </w:r>
      <w:r>
        <w:t xml:space="preserve">2026</w:t>
      </w:r>
    </w:p>
    <w:bookmarkStart w:id="21" w:name="ce-que-montre-votre-solution"/>
    <w:p>
      <w:pPr>
        <w:pStyle w:val="Heading1"/>
      </w:pPr>
      <w:r>
        <w:t xml:space="preserve">1. Ce que montre votre solution</w:t>
      </w:r>
    </w:p>
    <w:p>
      <w:pPr>
        <w:pStyle w:val="FirstParagraph"/>
      </w:pPr>
      <w:r>
        <w:t xml:space="preserve">La solution contient</w:t>
      </w:r>
      <w:r>
        <w:t xml:space="preserve"> </w:t>
      </w:r>
      <w:r>
        <w:rPr>
          <w:bCs/>
          <w:b/>
        </w:rPr>
        <w:t xml:space="preserve">15 objets</w:t>
      </w:r>
      <w:r>
        <w:t xml:space="preserve"> </w:t>
      </w:r>
      <w:r>
        <w:t xml:space="preserve">: 1 application, 3 flux, 5 variables d’environnement et</w:t>
      </w:r>
      <w:r>
        <w:t xml:space="preserve"> </w:t>
      </w:r>
      <w:r>
        <w:rPr>
          <w:bCs/>
          <w:b/>
        </w:rPr>
        <w:t xml:space="preserve">6 références de connexion</w:t>
      </w:r>
      <w:r>
        <w:t xml:space="preserve">. Il n’en faudrait que 4.</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Référence de connexion</w:t>
            </w:r>
          </w:p>
        </w:tc>
        <w:tc>
          <w:tcPr/>
          <w:p>
            <w:pPr>
              <w:pStyle w:val="Compact"/>
              <w:jc w:val="left"/>
            </w:pPr>
            <w:r>
              <w:t xml:space="preserve">Âge</w:t>
            </w:r>
          </w:p>
        </w:tc>
        <w:tc>
          <w:tcPr/>
          <w:p>
            <w:pPr>
              <w:pStyle w:val="Compact"/>
              <w:jc w:val="left"/>
            </w:pPr>
            <w:r>
              <w:t xml:space="preserve">Probablement</w:t>
            </w:r>
          </w:p>
        </w:tc>
        <w:tc>
          <w:tcPr/>
          <w:p>
            <w:pPr>
              <w:pStyle w:val="Compact"/>
              <w:jc w:val="left"/>
            </w:pPr>
            <w:r>
              <w:t xml:space="preserve">Action</w:t>
            </w:r>
          </w:p>
        </w:tc>
      </w:tr>
      <w:tr>
        <w:tc>
          <w:tcPr/>
          <w:p>
            <w:pPr>
              <w:pStyle w:val="Compact"/>
              <w:jc w:val="left"/>
            </w:pPr>
            <w:r>
              <w:t xml:space="preserve">SharePoint Appreciations</w:t>
            </w:r>
          </w:p>
        </w:tc>
        <w:tc>
          <w:tcPr/>
          <w:p>
            <w:pPr>
              <w:pStyle w:val="Compact"/>
              <w:jc w:val="left"/>
            </w:pPr>
            <w:r>
              <w:t xml:space="preserve">3 jours</w:t>
            </w:r>
          </w:p>
        </w:tc>
        <w:tc>
          <w:tcPr/>
          <w:p>
            <w:pPr>
              <w:pStyle w:val="Compact"/>
              <w:jc w:val="left"/>
            </w:pPr>
            <w:r>
              <w:t xml:space="preserve">Celle du projet ✔</w:t>
            </w:r>
          </w:p>
        </w:tc>
        <w:tc>
          <w:tcPr/>
          <w:p>
            <w:pPr>
              <w:pStyle w:val="Compact"/>
              <w:jc w:val="left"/>
            </w:pPr>
            <w:r>
              <w:t xml:space="preserve">Garder</w:t>
            </w:r>
          </w:p>
        </w:tc>
      </w:tr>
      <w:tr>
        <w:tc>
          <w:tcPr/>
          <w:p>
            <w:pPr>
              <w:pStyle w:val="Compact"/>
              <w:jc w:val="left"/>
            </w:pPr>
            <w:r>
              <w:t xml:space="preserve">Outlook Appreciations</w:t>
            </w:r>
          </w:p>
        </w:tc>
        <w:tc>
          <w:tcPr/>
          <w:p>
            <w:pPr>
              <w:pStyle w:val="Compact"/>
              <w:jc w:val="left"/>
            </w:pPr>
            <w:r>
              <w:t xml:space="preserve">3 jours</w:t>
            </w:r>
          </w:p>
        </w:tc>
        <w:tc>
          <w:tcPr/>
          <w:p>
            <w:pPr>
              <w:pStyle w:val="Compact"/>
              <w:jc w:val="left"/>
            </w:pPr>
            <w:r>
              <w:t xml:space="preserve">Celle du projet ✔</w:t>
            </w:r>
          </w:p>
        </w:tc>
        <w:tc>
          <w:tcPr/>
          <w:p>
            <w:pPr>
              <w:pStyle w:val="Compact"/>
              <w:jc w:val="left"/>
            </w:pPr>
            <w:r>
              <w:t xml:space="preserve">Garder</w:t>
            </w:r>
          </w:p>
        </w:tc>
      </w:tr>
      <w:tr>
        <w:tc>
          <w:tcPr/>
          <w:p>
            <w:pPr>
              <w:pStyle w:val="Compact"/>
              <w:jc w:val="left"/>
            </w:pPr>
            <w:r>
              <w:t xml:space="preserve">Utilisateurs Office 365 Appreciations</w:t>
            </w:r>
          </w:p>
        </w:tc>
        <w:tc>
          <w:tcPr/>
          <w:p>
            <w:pPr>
              <w:pStyle w:val="Compact"/>
              <w:jc w:val="left"/>
            </w:pPr>
            <w:r>
              <w:t xml:space="preserve">3 jours</w:t>
            </w:r>
          </w:p>
        </w:tc>
        <w:tc>
          <w:tcPr/>
          <w:p>
            <w:pPr>
              <w:pStyle w:val="Compact"/>
              <w:jc w:val="left"/>
            </w:pPr>
            <w:r>
              <w:t xml:space="preserve">Celle du projet ✔</w:t>
            </w:r>
          </w:p>
        </w:tc>
        <w:tc>
          <w:tcPr/>
          <w:p>
            <w:pPr>
              <w:pStyle w:val="Compact"/>
              <w:jc w:val="left"/>
            </w:pPr>
            <w:r>
              <w:t xml:space="preserve">Garder</w:t>
            </w:r>
          </w:p>
        </w:tc>
      </w:tr>
      <w:tr>
        <w:tc>
          <w:tcPr/>
          <w:p>
            <w:pPr>
              <w:pStyle w:val="Compact"/>
              <w:jc w:val="left"/>
            </w:pPr>
            <w:r>
              <w:rPr>
                <w:bCs/>
                <w:b/>
              </w:rPr>
              <w:t xml:space="preserve">OneDrive Entreprise RHDSSTDAAT-1b68d</w:t>
            </w:r>
          </w:p>
        </w:tc>
        <w:tc>
          <w:tcPr/>
          <w:p>
            <w:pPr>
              <w:pStyle w:val="Compact"/>
              <w:jc w:val="left"/>
            </w:pPr>
            <w:r>
              <w:t xml:space="preserve">1 an</w:t>
            </w:r>
          </w:p>
        </w:tc>
        <w:tc>
          <w:tcPr/>
          <w:p>
            <w:pPr>
              <w:pStyle w:val="Compact"/>
              <w:jc w:val="left"/>
            </w:pPr>
            <w:r>
              <w:t xml:space="preserve">Utilisée par le</w:t>
            </w:r>
            <w:r>
              <w:t xml:space="preserve"> </w:t>
            </w:r>
            <w:r>
              <w:rPr>
                <w:bCs/>
                <w:b/>
              </w:rPr>
              <w:t xml:space="preserve">flux 3</w:t>
            </w:r>
            <w:r>
              <w:t xml:space="preserve"> </w:t>
            </w:r>
            <w:r>
              <w:t xml:space="preserve">(conversion PDF)</w:t>
            </w:r>
          </w:p>
        </w:tc>
        <w:tc>
          <w:tcPr/>
          <w:p>
            <w:pPr>
              <w:pStyle w:val="Compact"/>
              <w:jc w:val="left"/>
            </w:pPr>
            <w:r>
              <w:t xml:space="preserve">Garder : c’est la seule référence OneDrive</w:t>
            </w:r>
          </w:p>
        </w:tc>
      </w:tr>
      <w:tr>
        <w:tc>
          <w:tcPr/>
          <w:p>
            <w:pPr>
              <w:pStyle w:val="Compact"/>
              <w:jc w:val="left"/>
            </w:pPr>
            <w:r>
              <w:rPr>
                <w:bCs/>
                <w:b/>
              </w:rPr>
              <w:t xml:space="preserve">SharePoint RHDSSTDAAT-11da3</w:t>
            </w:r>
          </w:p>
        </w:tc>
        <w:tc>
          <w:tcPr/>
          <w:p>
            <w:pPr>
              <w:pStyle w:val="Compact"/>
              <w:jc w:val="left"/>
            </w:pPr>
            <w:r>
              <w:t xml:space="preserve">1 an</w:t>
            </w:r>
          </w:p>
        </w:tc>
        <w:tc>
          <w:tcPr/>
          <w:p>
            <w:pPr>
              <w:pStyle w:val="Compact"/>
              <w:jc w:val="left"/>
            </w:pPr>
            <w:r>
              <w:t xml:space="preserve">Ancien projet ; peut-être utilisée par une action du flux 3</w:t>
            </w:r>
          </w:p>
        </w:tc>
        <w:tc>
          <w:tcPr/>
          <w:p>
            <w:pPr>
              <w:pStyle w:val="Compact"/>
              <w:jc w:val="left"/>
            </w:pPr>
            <w:r>
              <w:t xml:space="preserve">Vérifier (ci-dessous)</w:t>
            </w:r>
          </w:p>
        </w:tc>
      </w:tr>
      <w:tr>
        <w:tc>
          <w:tcPr/>
          <w:p>
            <w:pPr>
              <w:pStyle w:val="Compact"/>
              <w:jc w:val="left"/>
            </w:pPr>
            <w:r>
              <w:rPr>
                <w:bCs/>
                <w:b/>
              </w:rPr>
              <w:t xml:space="preserve">Office 365 Outlook Gestion_formulaire_approb…</w:t>
            </w:r>
          </w:p>
        </w:tc>
        <w:tc>
          <w:tcPr/>
          <w:p>
            <w:pPr>
              <w:pStyle w:val="Compact"/>
              <w:jc w:val="left"/>
            </w:pPr>
            <w:r>
              <w:t xml:space="preserve">4 mois</w:t>
            </w:r>
          </w:p>
        </w:tc>
        <w:tc>
          <w:tcPr/>
          <w:p>
            <w:pPr>
              <w:pStyle w:val="Compact"/>
              <w:jc w:val="left"/>
            </w:pPr>
            <w:r>
              <w:t xml:space="preserve">Ancien projet (formulaire d’approbation)</w:t>
            </w:r>
          </w:p>
        </w:tc>
        <w:tc>
          <w:tcPr/>
          <w:p>
            <w:pPr>
              <w:pStyle w:val="Compact"/>
              <w:jc w:val="left"/>
            </w:pPr>
            <w:r>
              <w:t xml:space="preserve">Vérifier (ci-dessous)</w:t>
            </w:r>
          </w:p>
        </w:tc>
      </w:tr>
    </w:tbl>
    <w:p>
      <w:pPr>
        <w:pStyle w:val="BodyText"/>
      </w:pPr>
      <w:r>
        <w:rPr>
          <w:bCs/>
          <w:b/>
        </w:rPr>
        <w:t xml:space="preserve">Pourquoi c’est important :</w:t>
      </w:r>
      <w:r>
        <w:t xml:space="preserve"> </w:t>
      </w:r>
      <w:r>
        <w:t xml:space="preserve">à l’import, les TI doivent choisir une connexion du compte de service</w:t>
      </w:r>
      <w:r>
        <w:t xml:space="preserve"> </w:t>
      </w:r>
      <w:r>
        <w:rPr>
          <w:bCs/>
          <w:b/>
        </w:rPr>
        <w:t xml:space="preserve">pour chacune</w:t>
      </w:r>
      <w:r>
        <w:t xml:space="preserve"> </w:t>
      </w:r>
      <w:r>
        <w:t xml:space="preserve">des références. Des références inutiles compliquent l’import et peuvent créer de la confusion.</w:t>
      </w:r>
    </w:p>
    <w:bookmarkStart w:id="20" w:name="X763dbcedad2a4d19fe9b3fbf2150064cbf5b7c3"/>
    <w:p>
      <w:pPr>
        <w:pStyle w:val="Heading2"/>
      </w:pPr>
      <w:r>
        <w:t xml:space="preserve">Vérifier qui utilise chaque référence (10 minutes)</w:t>
      </w:r>
    </w:p>
    <w:p>
      <w:pPr>
        <w:numPr>
          <w:ilvl w:val="0"/>
          <w:numId w:val="1001"/>
        </w:numPr>
        <w:pStyle w:val="Compact"/>
      </w:pPr>
      <w:r>
        <w:t xml:space="preserve">Dans la solution, cliquez sur le flux</w:t>
      </w:r>
      <w:r>
        <w:t xml:space="preserve"> </w:t>
      </w:r>
      <w:r>
        <w:rPr>
          <w:bCs/>
          <w:b/>
        </w:rPr>
        <w:t xml:space="preserve">GenererPDFAppreciation</w:t>
      </w:r>
      <w:r>
        <w:t xml:space="preserve"> </w:t>
      </w:r>
      <w:r>
        <w:t xml:space="preserve">(le nom, pas les ⋯) : la page</w:t>
      </w:r>
      <w:r>
        <w:t xml:space="preserve"> </w:t>
      </w:r>
      <w:r>
        <w:rPr>
          <w:bCs/>
          <w:b/>
        </w:rPr>
        <w:t xml:space="preserve">Détails</w:t>
      </w:r>
      <w:r>
        <w:t xml:space="preserve"> </w:t>
      </w:r>
      <w:r>
        <w:t xml:space="preserve">du flux s’ouvre.</w:t>
      </w:r>
    </w:p>
    <w:p>
      <w:pPr>
        <w:numPr>
          <w:ilvl w:val="0"/>
          <w:numId w:val="1001"/>
        </w:numPr>
        <w:pStyle w:val="Compact"/>
      </w:pPr>
      <w:r>
        <w:t xml:space="preserve">Repérez la section</w:t>
      </w:r>
      <w:r>
        <w:t xml:space="preserve"> </w:t>
      </w:r>
      <w:r>
        <w:rPr>
          <w:bCs/>
          <w:b/>
        </w:rPr>
        <w:t xml:space="preserve">Références de connexion</w:t>
      </w:r>
      <w:r>
        <w:t xml:space="preserve"> </w:t>
      </w:r>
      <w:r>
        <w:t xml:space="preserve">: elle liste celles que le flux utilise.</w:t>
      </w:r>
    </w:p>
    <w:p>
      <w:pPr>
        <w:numPr>
          <w:ilvl w:val="0"/>
          <w:numId w:val="1001"/>
        </w:numPr>
        <w:pStyle w:val="Compact"/>
      </w:pPr>
      <w:r>
        <w:t xml:space="preserve">Faites de même pour les 2 autres flux.</w:t>
      </w:r>
    </w:p>
    <w:p>
      <w:pPr>
        <w:pStyle w:val="FirstParagraph"/>
      </w:pPr>
      <w:r>
        <w:rPr>
          <w:bCs/>
          <w:b/>
        </w:rPr>
        <w:t xml:space="preserve">Si une ancienne référence n’est utilisée par AUCUN flux :</w:t>
      </w:r>
    </w:p>
    <w:p>
      <w:pPr>
        <w:numPr>
          <w:ilvl w:val="0"/>
          <w:numId w:val="1002"/>
        </w:numPr>
        <w:pStyle w:val="Compact"/>
      </w:pPr>
      <w:r>
        <w:t xml:space="preserve">⋯ à côté de la référence.</w:t>
      </w:r>
    </w:p>
    <w:p>
      <w:pPr>
        <w:numPr>
          <w:ilvl w:val="0"/>
          <w:numId w:val="1002"/>
        </w:numPr>
        <w:pStyle w:val="Compact"/>
      </w:pPr>
      <w:r>
        <w:rPr>
          <w:bCs/>
          <w:b/>
        </w:rPr>
        <w:t xml:space="preserve">Supprimer de cette solution</w:t>
      </w:r>
      <w:r>
        <w:t xml:space="preserve">.</w:t>
      </w:r>
    </w:p>
    <w:p>
      <w:pPr>
        <w:pStyle w:val="BlockText"/>
      </w:pPr>
      <w:r>
        <w:t xml:space="preserve">⚠️</w:t>
      </w:r>
      <w:r>
        <w:t xml:space="preserve"> </w:t>
      </w:r>
      <w:r>
        <w:rPr>
          <w:bCs/>
          <w:b/>
        </w:rPr>
        <w:t xml:space="preserve">Jamais « Supprimer de cet environnement »</w:t>
      </w:r>
      <w:r>
        <w:t xml:space="preserve"> </w:t>
      </w:r>
      <w:r>
        <w:t xml:space="preserve">: la référence sert peut-être encore à votre ancien projet.</w:t>
      </w:r>
    </w:p>
    <w:p>
      <w:pPr>
        <w:pStyle w:val="FirstParagraph"/>
      </w:pPr>
      <w:r>
        <w:rPr>
          <w:bCs/>
          <w:b/>
        </w:rPr>
        <w:t xml:space="preserve">Si « SharePoint RHDSSTDAAT-11da3 » est utilisée par le flux 3 :</w:t>
      </w:r>
      <w:r>
        <w:t xml:space="preserve"> </w:t>
      </w:r>
      <w:r>
        <w:t xml:space="preserve">ce n’est pas bloquant, les TI y brancheront le compte de service. Pour simplifier :</w:t>
      </w:r>
    </w:p>
    <w:p>
      <w:pPr>
        <w:numPr>
          <w:ilvl w:val="0"/>
          <w:numId w:val="1003"/>
        </w:numPr>
        <w:pStyle w:val="Compact"/>
      </w:pPr>
      <w:r>
        <w:t xml:space="preserve">Ouvrez le flux 3 en</w:t>
      </w:r>
      <w:r>
        <w:t xml:space="preserve"> </w:t>
      </w:r>
      <w:r>
        <w:rPr>
          <w:bCs/>
          <w:b/>
        </w:rPr>
        <w:t xml:space="preserve">Modifier</w:t>
      </w:r>
      <w:r>
        <w:t xml:space="preserve">.</w:t>
      </w:r>
    </w:p>
    <w:p>
      <w:pPr>
        <w:numPr>
          <w:ilvl w:val="0"/>
          <w:numId w:val="1003"/>
        </w:numPr>
        <w:pStyle w:val="Compact"/>
      </w:pPr>
      <w:r>
        <w:t xml:space="preserve">Sur chaque action SharePoint (Pièces jointes, Supprimer la pièce jointe, Ajouter PDF) :</w:t>
      </w:r>
      <w:r>
        <w:t xml:space="preserve"> </w:t>
      </w:r>
      <w:r>
        <w:rPr>
          <w:bCs/>
          <w:b/>
        </w:rPr>
        <w:t xml:space="preserve">⋯ › Connexions</w:t>
      </w:r>
      <w:r>
        <w:t xml:space="preserve">, choisissez</w:t>
      </w:r>
      <w:r>
        <w:t xml:space="preserve"> </w:t>
      </w:r>
      <w:r>
        <w:rPr>
          <w:bCs/>
          <w:b/>
        </w:rPr>
        <w:t xml:space="preserve">SharePoint Appreciations</w:t>
      </w:r>
      <w:r>
        <w:t xml:space="preserve">.</w:t>
      </w:r>
    </w:p>
    <w:p>
      <w:pPr>
        <w:numPr>
          <w:ilvl w:val="0"/>
          <w:numId w:val="1003"/>
        </w:numPr>
        <w:pStyle w:val="Compact"/>
      </w:pPr>
      <w:r>
        <w:rPr>
          <w:bCs/>
          <w:b/>
        </w:rPr>
        <w:t xml:space="preserve">Enregistrez</w:t>
      </w:r>
      <w:r>
        <w:t xml:space="preserve">, puis retirez l’ancienne référence de la solution.</w:t>
      </w:r>
    </w:p>
    <w:p>
      <w:pPr>
        <w:pStyle w:val="FirstParagraph"/>
      </w:pPr>
      <w:r>
        <w:rPr>
          <w:bCs/>
          <w:b/>
        </w:rPr>
        <w:t xml:space="preserve">Pour la demande déjà envoyée</w:t>
      </w:r>
      <w:r>
        <w:t xml:space="preserve">, indiquez aux TI les références à brancher sur le compte de service.</w:t>
      </w:r>
    </w:p>
    <w:bookmarkEnd w:id="20"/>
    <w:bookmarkEnd w:id="21"/>
    <w:bookmarkStart w:id="24" w:name="X7aa3ca5157eabc73b05700b09d288128521ea7f"/>
    <w:p>
      <w:pPr>
        <w:pStyle w:val="Heading1"/>
      </w:pPr>
      <w:r>
        <w:t xml:space="preserve">2. Les flux et OneDrive : y a-t-il un risque d’erreur ?</w:t>
      </w:r>
    </w:p>
    <w:p>
      <w:pPr>
        <w:pStyle w:val="FirstParagraph"/>
      </w:pPr>
      <w:r>
        <w:rPr>
          <w:bCs/>
          <w:b/>
        </w:rPr>
        <w:t xml:space="preserve">Oui, mais il est faible et surtout lié à un point à vérifier par les TI.</w:t>
      </w:r>
      <w:r>
        <w:t xml:space="preserve"> </w:t>
      </w:r>
      <w:r>
        <w:t xml:space="preserve">Le flux 3 utilise OneDrive comme espace de travail temporaire. Il y crée un fichier .html, le convertit en PDF, joint le PDF au dossier, puis supprime le .html. La conversion en PDF n’existe que dans le connecteur OneDrive Entreprise, d’où son utilisation.</w:t>
      </w:r>
    </w:p>
    <w:p>
      <w:pPr>
        <w:pStyle w:val="BodyText"/>
      </w:pPr>
      <w:r>
        <w:t xml:space="preserve">Les flux 1 et 2</w:t>
      </w:r>
      <w:r>
        <w:t xml:space="preserve"> </w:t>
      </w:r>
      <w:r>
        <w:rPr>
          <w:bCs/>
          <w:b/>
        </w:rPr>
        <w:t xml:space="preserve">n’utilisent pas OneDrive</w:t>
      </w:r>
      <w:r>
        <w:t xml:space="preserve"> </w:t>
      </w:r>
      <w:r>
        <w:t xml:space="preserve">: aucun risque de ce côté.</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Risque</w:t>
            </w:r>
          </w:p>
        </w:tc>
        <w:tc>
          <w:tcPr/>
          <w:p>
            <w:pPr>
              <w:pStyle w:val="Compact"/>
              <w:jc w:val="left"/>
            </w:pPr>
            <w:r>
              <w:t xml:space="preserve">Probabilité</w:t>
            </w:r>
          </w:p>
        </w:tc>
        <w:tc>
          <w:tcPr/>
          <w:p>
            <w:pPr>
              <w:pStyle w:val="Compact"/>
              <w:jc w:val="left"/>
            </w:pPr>
            <w:r>
              <w:t xml:space="preserve">Ce qui arriverait</w:t>
            </w:r>
          </w:p>
        </w:tc>
        <w:tc>
          <w:tcPr/>
          <w:p>
            <w:pPr>
              <w:pStyle w:val="Compact"/>
              <w:jc w:val="left"/>
            </w:pPr>
            <w:r>
              <w:t xml:space="preserve">Prévention</w:t>
            </w:r>
          </w:p>
        </w:tc>
      </w:tr>
      <w:tr>
        <w:tc>
          <w:tcPr/>
          <w:p>
            <w:pPr>
              <w:pStyle w:val="Compact"/>
              <w:jc w:val="left"/>
            </w:pPr>
            <w:r>
              <w:rPr>
                <w:bCs/>
                <w:b/>
              </w:rPr>
              <w:t xml:space="preserve">1. Le compte de service n’a pas de OneDrive</w:t>
            </w:r>
            <w:r>
              <w:t xml:space="preserve"> </w:t>
            </w:r>
            <w:r>
              <w:t xml:space="preserve">(pas de licence, ou jamais ouvert)</w:t>
            </w:r>
          </w:p>
        </w:tc>
        <w:tc>
          <w:tcPr/>
          <w:p>
            <w:pPr>
              <w:pStyle w:val="Compact"/>
              <w:jc w:val="left"/>
            </w:pPr>
            <w:r>
              <w:rPr>
                <w:bCs/>
                <w:b/>
              </w:rPr>
              <w:t xml:space="preserve">Le plus probable</w:t>
            </w:r>
            <w:r>
              <w:t xml:space="preserve">, si le compte de service est récent</w:t>
            </w:r>
          </w:p>
        </w:tc>
        <w:tc>
          <w:tcPr/>
          <w:p>
            <w:pPr>
              <w:pStyle w:val="Compact"/>
              <w:jc w:val="left"/>
            </w:pPr>
            <w:r>
              <w:t xml:space="preserve">Le flux 3 échoue à « Créer un fichier » ; l’application affiche « Le PDF n’a pas pu être créé »</w:t>
            </w:r>
          </w:p>
        </w:tc>
        <w:tc>
          <w:tcPr/>
          <w:p>
            <w:pPr>
              <w:pStyle w:val="Compact"/>
              <w:jc w:val="left"/>
            </w:pPr>
            <w:r>
              <w:rPr>
                <w:bCs/>
                <w:b/>
              </w:rPr>
              <w:t xml:space="preserve">Demander aux TI</w:t>
            </w:r>
            <w:r>
              <w:t xml:space="preserve"> </w:t>
            </w:r>
            <w:r>
              <w:t xml:space="preserve">: le compte de service a une licence avec OneDrive, et son OneDrive a été</w:t>
            </w:r>
            <w:r>
              <w:t xml:space="preserve"> </w:t>
            </w:r>
            <w:r>
              <w:rPr>
                <w:bCs/>
                <w:b/>
              </w:rPr>
              <w:t xml:space="preserve">ouvert au moins une fois</w:t>
            </w:r>
            <w:r>
              <w:t xml:space="preserve"> </w:t>
            </w:r>
            <w:r>
              <w:t xml:space="preserve">(initialisé)</w:t>
            </w:r>
          </w:p>
        </w:tc>
      </w:tr>
      <w:tr>
        <w:tc>
          <w:tcPr/>
          <w:p>
            <w:pPr>
              <w:pStyle w:val="Compact"/>
              <w:jc w:val="left"/>
            </w:pPr>
            <w:r>
              <w:t xml:space="preserve">2. Deux personnes produisent le PDF</w:t>
            </w:r>
            <w:r>
              <w:t xml:space="preserve"> </w:t>
            </w:r>
            <w:r>
              <w:rPr>
                <w:bCs/>
                <w:b/>
              </w:rPr>
              <w:t xml:space="preserve">du même dossier</w:t>
            </w:r>
            <w:r>
              <w:t xml:space="preserve"> </w:t>
            </w:r>
            <w:r>
              <w:t xml:space="preserve">à la même seconde</w:t>
            </w:r>
          </w:p>
        </w:tc>
        <w:tc>
          <w:tcPr/>
          <w:p>
            <w:pPr>
              <w:pStyle w:val="Compact"/>
              <w:jc w:val="left"/>
            </w:pPr>
            <w:r>
              <w:t xml:space="preserve">Très faible</w:t>
            </w:r>
          </w:p>
        </w:tc>
        <w:tc>
          <w:tcPr/>
          <w:p>
            <w:pPr>
              <w:pStyle w:val="Compact"/>
              <w:jc w:val="left"/>
            </w:pPr>
            <w:r>
              <w:t xml:space="preserve">Conflit de nom du fichier temporaire</w:t>
            </w:r>
          </w:p>
        </w:tc>
        <w:tc>
          <w:tcPr/>
          <w:p>
            <w:pPr>
              <w:pStyle w:val="Compact"/>
              <w:jc w:val="left"/>
            </w:pPr>
            <w:r>
              <w:t xml:space="preserve">Nom temporaire unique (voir 2.1)</w:t>
            </w:r>
          </w:p>
        </w:tc>
      </w:tr>
      <w:tr>
        <w:tc>
          <w:tcPr/>
          <w:p>
            <w:pPr>
              <w:pStyle w:val="Compact"/>
              <w:jc w:val="left"/>
            </w:pPr>
            <w:r>
              <w:t xml:space="preserve">3. Le .html temporaire n’est pas supprimé si la conversion échoue</w:t>
            </w:r>
          </w:p>
        </w:tc>
        <w:tc>
          <w:tcPr/>
          <w:p>
            <w:pPr>
              <w:pStyle w:val="Compact"/>
              <w:jc w:val="left"/>
            </w:pPr>
            <w:r>
              <w:t xml:space="preserve">Faible</w:t>
            </w:r>
          </w:p>
        </w:tc>
        <w:tc>
          <w:tcPr/>
          <w:p>
            <w:pPr>
              <w:pStyle w:val="Compact"/>
              <w:jc w:val="left"/>
            </w:pPr>
            <w:r>
              <w:t xml:space="preserve">Un petit fichier reste dans le OneDrive du compte de service</w:t>
            </w:r>
          </w:p>
        </w:tc>
        <w:tc>
          <w:tcPr/>
          <w:p>
            <w:pPr>
              <w:pStyle w:val="Compact"/>
              <w:jc w:val="left"/>
            </w:pPr>
            <w:r>
              <w:t xml:space="preserve">Le courriel d’erreur avertit le soutien ; nettoyage au besoin</w:t>
            </w:r>
          </w:p>
        </w:tc>
      </w:tr>
      <w:tr>
        <w:tc>
          <w:tcPr/>
          <w:p>
            <w:pPr>
              <w:pStyle w:val="Compact"/>
              <w:jc w:val="left"/>
            </w:pPr>
            <w:r>
              <w:t xml:space="preserve">4. La conversion prend plus de 2 minutes</w:t>
            </w:r>
          </w:p>
        </w:tc>
        <w:tc>
          <w:tcPr/>
          <w:p>
            <w:pPr>
              <w:pStyle w:val="Compact"/>
              <w:jc w:val="left"/>
            </w:pPr>
            <w:r>
              <w:t xml:space="preserve">Très faible (10 à 30 s d’habitude)</w:t>
            </w:r>
          </w:p>
        </w:tc>
        <w:tc>
          <w:tcPr/>
          <w:p>
            <w:pPr>
              <w:pStyle w:val="Compact"/>
              <w:jc w:val="left"/>
            </w:pPr>
            <w:r>
              <w:t xml:space="preserve">L’application affiche « Le PDF n’a pas pu être créé »</w:t>
            </w:r>
          </w:p>
        </w:tc>
        <w:tc>
          <w:tcPr/>
          <w:p>
            <w:pPr>
              <w:pStyle w:val="Compact"/>
              <w:jc w:val="left"/>
            </w:pPr>
            <w:r>
              <w:t xml:space="preserve">Réessayer</w:t>
            </w:r>
          </w:p>
        </w:tc>
      </w:tr>
      <w:tr>
        <w:tc>
          <w:tcPr/>
          <w:p>
            <w:pPr>
              <w:pStyle w:val="Compact"/>
              <w:jc w:val="left"/>
            </w:pPr>
            <w:r>
              <w:t xml:space="preserve">5. Limites de débit du connecteur, en période de pointe</w:t>
            </w:r>
          </w:p>
        </w:tc>
        <w:tc>
          <w:tcPr/>
          <w:p>
            <w:pPr>
              <w:pStyle w:val="Compact"/>
              <w:jc w:val="left"/>
            </w:pPr>
            <w:r>
              <w:t xml:space="preserve">Faible</w:t>
            </w:r>
          </w:p>
        </w:tc>
        <w:tc>
          <w:tcPr/>
          <w:p>
            <w:pPr>
              <w:pStyle w:val="Compact"/>
              <w:jc w:val="left"/>
            </w:pPr>
            <w:r>
              <w:t xml:space="preserve">Ralentissement ou échec ponctuel</w:t>
            </w:r>
          </w:p>
        </w:tc>
        <w:tc>
          <w:tcPr/>
          <w:p>
            <w:pPr>
              <w:pStyle w:val="Compact"/>
              <w:jc w:val="left"/>
            </w:pPr>
            <w:r>
              <w:t xml:space="preserve">Aucune action ; à surveiller avec les courriels d’erreur</w:t>
            </w:r>
          </w:p>
        </w:tc>
      </w:tr>
    </w:tbl>
    <w:p>
      <w:pPr>
        <w:pStyle w:val="BodyText"/>
      </w:pPr>
      <w:r>
        <w:t xml:space="preserve">Aucun de ces risques ne touche les</w:t>
      </w:r>
      <w:r>
        <w:t xml:space="preserve"> </w:t>
      </w:r>
      <w:r>
        <w:rPr>
          <w:bCs/>
          <w:b/>
        </w:rPr>
        <w:t xml:space="preserve">données</w:t>
      </w:r>
      <w:r>
        <w:t xml:space="preserve"> </w:t>
      </w:r>
      <w:r>
        <w:t xml:space="preserve">: le dossier n’est jamais modifié par le flux 3. Seul le PDF ne serait pas produit, et on peut réessayer.</w:t>
      </w:r>
    </w:p>
    <w:bookmarkStart w:id="22" w:name="X5f0b23c1e81176fc4894b5f692cf74af5addf8a"/>
    <w:p>
      <w:pPr>
        <w:pStyle w:val="Heading2"/>
      </w:pPr>
      <w:r>
        <w:t xml:space="preserve">2.1 Petite amélioration recommandée : un nom temporaire unique</w:t>
      </w:r>
    </w:p>
    <w:p>
      <w:pPr>
        <w:pStyle w:val="FirstParagraph"/>
      </w:pPr>
      <w:r>
        <w:t xml:space="preserve">Dans le flux 3, action</w:t>
      </w:r>
      <w:r>
        <w:t xml:space="preserve"> </w:t>
      </w:r>
      <w:r>
        <w:rPr>
          <w:bCs/>
          <w:b/>
        </w:rPr>
        <w:t xml:space="preserve">Créer un fichier</w:t>
      </w:r>
      <w:r>
        <w:t xml:space="preserve"> </w:t>
      </w:r>
      <w:r>
        <w:t xml:space="preserve">(OneDrive), champ</w:t>
      </w:r>
      <w:r>
        <w:t xml:space="preserve"> </w:t>
      </w:r>
      <w:r>
        <w:rPr>
          <w:bCs/>
          <w:b/>
        </w:rPr>
        <w:t xml:space="preserve">Nom de fichier</w:t>
      </w:r>
      <w:r>
        <w:t xml:space="preserve"> </w:t>
      </w:r>
      <w:r>
        <w:t xml:space="preserve">: remplacez le contenu par cette</w:t>
      </w:r>
      <w:r>
        <w:t xml:space="preserve"> </w:t>
      </w:r>
      <w:r>
        <w:rPr>
          <w:bCs/>
          <w:b/>
        </w:rPr>
        <w:t xml:space="preserve">expression</w:t>
      </w:r>
      <w:r>
        <w:t xml:space="preserve"> </w:t>
      </w:r>
      <w:r>
        <w:t xml:space="preserve">(onglet fx) :</w:t>
      </w:r>
    </w:p>
    <w:p>
      <w:pPr>
        <w:pStyle w:val="SourceCode"/>
      </w:pPr>
      <w:r>
        <w:rPr>
          <w:rStyle w:val="VerbatimChar"/>
        </w:rPr>
        <w:t xml:space="preserve">concat(triggerBody()?['text'], '-', guid(), '.html')</w:t>
      </w:r>
    </w:p>
    <w:p>
      <w:pPr>
        <w:pStyle w:val="FirstParagraph"/>
      </w:pPr>
      <w:r>
        <w:t xml:space="preserve">Le nom du</w:t>
      </w:r>
      <w:r>
        <w:t xml:space="preserve"> </w:t>
      </w:r>
      <w:r>
        <w:rPr>
          <w:bCs/>
          <w:b/>
        </w:rPr>
        <w:t xml:space="preserve">PDF joint au dossier</w:t>
      </w:r>
      <w:r>
        <w:t xml:space="preserve"> </w:t>
      </w:r>
      <w:r>
        <w:t xml:space="preserve">ne change pas : il est fixé par l’action « Ajouter PDF ». La suppression du fichier temporaire utilise son</w:t>
      </w:r>
      <w:r>
        <w:t xml:space="preserve"> </w:t>
      </w:r>
      <w:r>
        <w:rPr>
          <w:bCs/>
          <w:b/>
        </w:rPr>
        <w:t xml:space="preserve">Id</w:t>
      </w:r>
      <w:r>
        <w:t xml:space="preserve"> </w:t>
      </w:r>
      <w:r>
        <w:t xml:space="preserve">: rien d’autre à changer.</w:t>
      </w:r>
    </w:p>
    <w:bookmarkEnd w:id="22"/>
    <w:bookmarkStart w:id="23" w:name="à-ajouter-dans-votre-courriel-aux-ti"/>
    <w:p>
      <w:pPr>
        <w:pStyle w:val="Heading2"/>
      </w:pPr>
      <w:r>
        <w:t xml:space="preserve">2.2 À ajouter dans votre courriel aux TI</w:t>
      </w:r>
    </w:p>
    <w:p>
      <w:pPr>
        <w:pStyle w:val="BlockText"/>
      </w:pPr>
      <w:r>
        <w:t xml:space="preserve">Le flux GenererPDFAppreciation utilise OneDrive Entreprise (création d’un fichier temporaire, puis conversion en PDF). Merci de confirmer que le</w:t>
      </w:r>
      <w:r>
        <w:t xml:space="preserve"> </w:t>
      </w:r>
      <w:r>
        <w:rPr>
          <w:bCs/>
          <w:b/>
        </w:rPr>
        <w:t xml:space="preserve">compte de service</w:t>
      </w:r>
      <w:r>
        <w:t xml:space="preserve"> </w:t>
      </w:r>
      <w:r>
        <w:t xml:space="preserve">utilisé pour les connexions a une</w:t>
      </w:r>
      <w:r>
        <w:t xml:space="preserve"> </w:t>
      </w:r>
      <w:r>
        <w:rPr>
          <w:bCs/>
          <w:b/>
        </w:rPr>
        <w:t xml:space="preserve">licence incluant OneDrive</w:t>
      </w:r>
      <w:r>
        <w:t xml:space="preserve"> </w:t>
      </w:r>
      <w:r>
        <w:t xml:space="preserve">et que son</w:t>
      </w:r>
      <w:r>
        <w:t xml:space="preserve"> </w:t>
      </w:r>
      <w:r>
        <w:rPr>
          <w:bCs/>
          <w:b/>
        </w:rPr>
        <w:t xml:space="preserve">OneDrive est initialisé</w:t>
      </w:r>
      <w:r>
        <w:t xml:space="preserve">. Les références de connexion à brancher sur le compte de service sont : SharePoint Appreciations, Outlook Appreciations, Utilisateurs Office 365 Appreciations, OneDrive Entreprise RHDSSTDAAT-1b68d</w:t>
      </w:r>
      <w:r>
        <w:t xml:space="preserve"> </w:t>
      </w:r>
      <w:r>
        <w:rPr>
          <w:iCs/>
          <w:i/>
        </w:rPr>
        <w:t xml:space="preserve">[+ SharePoint RHDSSTDAAT-11da3 et Office 365 Outlook Gestion_formulaire… si elles restent dans la solution]</w:t>
      </w:r>
      <w:r>
        <w:t xml:space="preserve">.</w:t>
      </w:r>
    </w:p>
    <w:bookmarkEnd w:id="23"/>
    <w:bookmarkEnd w:id="24"/>
    <w:bookmarkStart w:id="25" w:name="votre-formulaire-de-demande"/>
    <w:p>
      <w:pPr>
        <w:pStyle w:val="Heading1"/>
      </w:pPr>
      <w:r>
        <w:t xml:space="preserve">3. Votre formulaire de demande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Champ</w:t>
            </w:r>
          </w:p>
        </w:tc>
        <w:tc>
          <w:tcPr/>
          <w:p>
            <w:pPr>
              <w:pStyle w:val="Compact"/>
              <w:jc w:val="left"/>
            </w:pPr>
            <w:r>
              <w:t xml:space="preserve">Votre réponse</w:t>
            </w:r>
          </w:p>
        </w:tc>
        <w:tc>
          <w:tcPr/>
          <w:p>
            <w:pPr>
              <w:pStyle w:val="Compact"/>
              <w:jc w:val="left"/>
            </w:pPr>
            <w:r>
              <w:t xml:space="preserve">Commentaire</w:t>
            </w:r>
          </w:p>
        </w:tc>
      </w:tr>
      <w:tr>
        <w:tc>
          <w:tcPr/>
          <w:p>
            <w:pPr>
              <w:pStyle w:val="Compact"/>
              <w:jc w:val="left"/>
            </w:pPr>
            <w:r>
              <w:t xml:space="preserve">Type</w:t>
            </w:r>
          </w:p>
        </w:tc>
        <w:tc>
          <w:tcPr/>
          <w:p>
            <w:pPr>
              <w:pStyle w:val="Compact"/>
              <w:jc w:val="left"/>
            </w:pPr>
            <w:r>
              <w:t xml:space="preserve">Mise en PréProd (nouvelle appli)</w:t>
            </w:r>
          </w:p>
        </w:tc>
        <w:tc>
          <w:tcPr/>
          <w:p>
            <w:pPr>
              <w:pStyle w:val="Compact"/>
              <w:jc w:val="left"/>
            </w:pPr>
            <w:r>
              <w:t xml:space="preserve">✔</w:t>
            </w:r>
          </w:p>
        </w:tc>
      </w:tr>
      <w:tr>
        <w:tc>
          <w:tcPr/>
          <w:p>
            <w:pPr>
              <w:pStyle w:val="Compact"/>
              <w:jc w:val="left"/>
            </w:pPr>
            <w:r>
              <w:t xml:space="preserve">Acronyme</w:t>
            </w:r>
          </w:p>
        </w:tc>
        <w:tc>
          <w:tcPr/>
          <w:p>
            <w:pPr>
              <w:pStyle w:val="Compact"/>
              <w:jc w:val="left"/>
            </w:pPr>
            <w:r>
              <w:t xml:space="preserve">SRHVQ</w:t>
            </w:r>
          </w:p>
        </w:tc>
        <w:tc>
          <w:tcPr/>
          <w:p>
            <w:pPr>
              <w:pStyle w:val="Compact"/>
              <w:jc w:val="left"/>
            </w:pPr>
            <w:r>
              <w:t xml:space="preserve">✔ Tous les documents utilisent maintenant SRHVQ</w:t>
            </w:r>
          </w:p>
        </w:tc>
      </w:tr>
      <w:tr>
        <w:tc>
          <w:tcPr/>
          <w:p>
            <w:pPr>
              <w:pStyle w:val="Compact"/>
              <w:jc w:val="left"/>
            </w:pPr>
            <w:r>
              <w:t xml:space="preserve">Date souhaitée</w:t>
            </w:r>
          </w:p>
        </w:tc>
        <w:tc>
          <w:tcPr/>
          <w:p>
            <w:pPr>
              <w:pStyle w:val="Compact"/>
              <w:jc w:val="left"/>
            </w:pPr>
            <w:r>
              <w:t xml:space="preserve">6 novembre 2026</w:t>
            </w:r>
          </w:p>
        </w:tc>
        <w:tc>
          <w:tcPr/>
          <w:p>
            <w:pPr>
              <w:pStyle w:val="Compact"/>
              <w:jc w:val="left"/>
            </w:pPr>
            <w:r>
              <w:t xml:space="preserve">Serré pour un lancement le 9 : prévoir le scénario pilote</w:t>
            </w:r>
          </w:p>
        </w:tc>
      </w:tr>
      <w:tr>
        <w:tc>
          <w:tcPr/>
          <w:p>
            <w:pPr>
              <w:pStyle w:val="Compact"/>
              <w:jc w:val="left"/>
            </w:pPr>
            <w:r>
              <w:t xml:space="preserve">Pièces jointes</w:t>
            </w:r>
          </w:p>
        </w:tc>
        <w:tc>
          <w:tcPr/>
          <w:p>
            <w:pPr>
              <w:pStyle w:val="Compact"/>
              <w:jc w:val="left"/>
            </w:pPr>
            <w:r>
              <w:t xml:space="preserve">Solution 1.0.0.1, Excel, schémas, demande</w:t>
            </w:r>
          </w:p>
        </w:tc>
        <w:tc>
          <w:tcPr/>
          <w:p>
            <w:pPr>
              <w:pStyle w:val="Compact"/>
              <w:jc w:val="left"/>
            </w:pPr>
            <w:r>
              <w:t xml:space="preserve">✔ Si vous ré-exportez avant l’import, remplacez le .zip (voir le pas à pas du site, dernière partie)</w:t>
            </w:r>
          </w:p>
        </w:tc>
      </w:tr>
      <w:tr>
        <w:tc>
          <w:tcPr/>
          <w:p>
            <w:pPr>
              <w:pStyle w:val="Compact"/>
              <w:jc w:val="left"/>
            </w:pPr>
            <w:r>
              <w:t xml:space="preserve">Commentaires</w:t>
            </w:r>
          </w:p>
        </w:tc>
        <w:tc>
          <w:tcPr/>
          <w:p>
            <w:pPr>
              <w:pStyle w:val="Compact"/>
              <w:jc w:val="left"/>
            </w:pPr>
            <w:r>
              <w:t xml:space="preserve">« J’ai indiqué Bruno… »</w:t>
            </w:r>
          </w:p>
        </w:tc>
        <w:tc>
          <w:tcPr/>
          <w:p>
            <w:pPr>
              <w:pStyle w:val="Compact"/>
              <w:jc w:val="left"/>
            </w:pPr>
            <w:r>
              <w:t xml:space="preserve">Ajoutez le texte de la section 2.2</w:t>
            </w:r>
          </w:p>
        </w:tc>
      </w:tr>
    </w:tbl>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CA"/>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Votre solution et le risque OneDrive — Analyse et actions</dc:title>
  <dc:creator/>
  <dc:language>fr-CA</dc:language>
  <cp:keywords/>
  <dcterms:created xsi:type="dcterms:W3CDTF">2026-10-30T17:01:01Z</dcterms:created>
  <dcterms:modified xsi:type="dcterms:W3CDTF">2026-10-30T17:01:01Z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Application Appréciation de la contribution (SRHVQ) · 30 octobre 2026</vt:lpwstr>
  </property>
</Properties>
</file>