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istorique-des-versions-de-lapplication"/>
    <w:p>
      <w:pPr>
        <w:pStyle w:val="Heading1"/>
      </w:pPr>
      <w:r>
        <w:t xml:space="preserve">Historique des versions de l’application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Changements</w:t>
            </w:r>
          </w:p>
        </w:tc>
      </w:tr>
      <w:tr>
        <w:tc>
          <w:tcPr/>
          <w:p>
            <w:pPr>
              <w:pStyle w:val="Compact"/>
              <w:jc w:val="left"/>
            </w:pPr>
            <w:r>
              <w:rPr>
                <w:bCs/>
                <w:b/>
              </w:rPr>
              <w:t xml:space="preserve">3.6</w:t>
            </w:r>
          </w:p>
        </w:tc>
        <w:tc>
          <w:tcPr/>
          <w:p>
            <w:pPr>
              <w:pStyle w:val="Compact"/>
              <w:jc w:val="left"/>
            </w:pPr>
            <w:r>
              <w:t xml:space="preserve">19 oct. 2026</w:t>
            </w:r>
          </w:p>
        </w:tc>
        <w:tc>
          <w:tcPr/>
          <w:p>
            <w:pPr>
              <w:pStyle w:val="Compact"/>
              <w:jc w:val="left"/>
            </w:pPr>
            <w:r>
              <w:rPr>
                <w:bCs/>
                <w:b/>
              </w:rPr>
              <w:t xml:space="preserve">« Qui êtes-vous ? » d’abord</w:t>
            </w:r>
            <w:r>
              <w:t xml:space="preserve">, puis le type de poste (écran de départ et barre de gauche)</w:t>
            </w:r>
          </w:p>
        </w:tc>
      </w:tr>
      <w:tr>
        <w:tc>
          <w:tcPr/>
          <w:p>
            <w:pPr>
              <w:pStyle w:val="Compact"/>
              <w:jc w:val="left"/>
            </w:pPr>
            <w:r>
              <w:t xml:space="preserve">3.5</w:t>
            </w:r>
          </w:p>
        </w:tc>
        <w:tc>
          <w:tcPr/>
          <w:p>
            <w:pPr>
              <w:pStyle w:val="Compact"/>
              <w:jc w:val="left"/>
            </w:pPr>
            <w:r>
              <w:t xml:space="preserve">19 oct. 2026</w:t>
            </w:r>
          </w:p>
        </w:tc>
        <w:tc>
          <w:tcPr/>
          <w:p>
            <w:pPr>
              <w:pStyle w:val="Compact"/>
              <w:jc w:val="left"/>
            </w:pPr>
            <w:r>
              <w:t xml:space="preserve">Choix du rôle qui ne montre que ce qui vous concerne (sections des autres cachées tant qu’elles sont vides), gardé jusqu’à « Nouveau formulaire ». Aide-mémoire et « Comment remplir » fusionnés et mis en évidence. Rappel de l’échelle retiré de l’aide. Numéro de dossier caché sur un formulaire neuf. Bouton Configuration retiré. Version affichée au bas de la page et au bas du PDF seulement</w:t>
            </w:r>
          </w:p>
        </w:tc>
      </w:tr>
      <w:tr>
        <w:tc>
          <w:tcPr/>
          <w:p>
            <w:pPr>
              <w:pStyle w:val="Compact"/>
              <w:jc w:val="left"/>
            </w:pPr>
            <w:r>
              <w:t xml:space="preserve">3.4</w:t>
            </w:r>
          </w:p>
        </w:tc>
        <w:tc>
          <w:tcPr/>
          <w:p>
            <w:pPr>
              <w:pStyle w:val="Compact"/>
              <w:jc w:val="left"/>
            </w:pPr>
            <w:r>
              <w:t xml:space="preserve">19 oct. 2026</w:t>
            </w:r>
          </w:p>
        </w:tc>
        <w:tc>
          <w:tcPr/>
          <w:p>
            <w:pPr>
              <w:pStyle w:val="Compact"/>
              <w:jc w:val="left"/>
            </w:pPr>
            <w:r>
              <w:t xml:space="preserve">Aperçu SharePoint : bandeau « ⤓ Télécharger » et fenêtre « Copier le contenu », parce que l’aperçu bloque les téléchargements</w:t>
            </w:r>
          </w:p>
        </w:tc>
      </w:tr>
      <w:tr>
        <w:tc>
          <w:tcPr/>
          <w:p>
            <w:pPr>
              <w:pStyle w:val="Compact"/>
              <w:jc w:val="left"/>
            </w:pPr>
            <w:r>
              <w:t xml:space="preserve">3.3</w:t>
            </w:r>
          </w:p>
        </w:tc>
        <w:tc>
          <w:tcPr/>
          <w:p>
            <w:pPr>
              <w:pStyle w:val="Compact"/>
              <w:jc w:val="left"/>
            </w:pPr>
            <w:r>
              <w:t xml:space="preserve">16 oct. 2026</w:t>
            </w:r>
          </w:p>
        </w:tc>
        <w:tc>
          <w:tcPr/>
          <w:p>
            <w:pPr>
              <w:pStyle w:val="Compact"/>
              <w:jc w:val="left"/>
            </w:pPr>
            <w:r>
              <w:t xml:space="preserve">Ne bloque plus dans SharePoint (« Mot de passe incorrect ») : stockage vérifié réellement, lectures JSON sécurisées. Adresses SharePoint inscrites dans le fichier</w:t>
            </w:r>
          </w:p>
        </w:tc>
      </w:tr>
      <w:tr>
        <w:tc>
          <w:tcPr/>
          <w:p>
            <w:pPr>
              <w:pStyle w:val="Compact"/>
              <w:jc w:val="left"/>
            </w:pPr>
            <w:r>
              <w:t xml:space="preserve">3.2</w:t>
            </w:r>
          </w:p>
        </w:tc>
        <w:tc>
          <w:tcPr/>
          <w:p>
            <w:pPr>
              <w:pStyle w:val="Compact"/>
              <w:jc w:val="left"/>
            </w:pPr>
            <w:r>
              <w:t xml:space="preserve">16 oct. 2026</w:t>
            </w:r>
          </w:p>
        </w:tc>
        <w:tc>
          <w:tcPr/>
          <w:p>
            <w:pPr>
              <w:pStyle w:val="Compact"/>
              <w:jc w:val="left"/>
            </w:pPr>
            <w:r>
              <w:t xml:space="preserve">Les 3 formulaires du 15 octobre 2026 : introduction et étapes, nouvel ordre des types de rencontre (« Bilan de mi-année », « Autre (ex. : statutaire) »), « Indicateurs de mesure », nouvelles questions des sections C, D, E et F, « Exemples d’application » ; sans équipe : postures adaptées ; professionnel : « Pour chacune des compétences suivantes… » ; coquille « constance » corrigée</w:t>
            </w:r>
          </w:p>
        </w:tc>
      </w:tr>
      <w:tr>
        <w:tc>
          <w:tcPr/>
          <w:p>
            <w:pPr>
              <w:pStyle w:val="Compact"/>
              <w:jc w:val="left"/>
            </w:pPr>
            <w:r>
              <w:t xml:space="preserve">3.1</w:t>
            </w:r>
          </w:p>
        </w:tc>
        <w:tc>
          <w:tcPr/>
          <w:p>
            <w:pPr>
              <w:pStyle w:val="Compact"/>
              <w:jc w:val="left"/>
            </w:pPr>
            <w:r>
              <w:t xml:space="preserve">14 oct. 2026</w:t>
            </w:r>
          </w:p>
        </w:tc>
        <w:tc>
          <w:tcPr/>
          <w:p>
            <w:pPr>
              <w:pStyle w:val="Compact"/>
              <w:jc w:val="left"/>
            </w:pPr>
            <w:r>
              <w:t xml:space="preserve">Démarrage même sans stockage du navigateur ; erreurs visibles</w:t>
            </w:r>
          </w:p>
        </w:tc>
      </w:tr>
      <w:tr>
        <w:tc>
          <w:tcPr/>
          <w:p>
            <w:pPr>
              <w:pStyle w:val="Compact"/>
              <w:jc w:val="left"/>
            </w:pPr>
            <w:r>
              <w:t xml:space="preserve">3.0</w:t>
            </w:r>
          </w:p>
        </w:tc>
        <w:tc>
          <w:tcPr/>
          <w:p>
            <w:pPr>
              <w:pStyle w:val="Compact"/>
              <w:jc w:val="left"/>
            </w:pPr>
            <w:r>
              <w:t xml:space="preserve">oct. 2026</w:t>
            </w:r>
          </w:p>
        </w:tc>
        <w:tc>
          <w:tcPr/>
          <w:p>
            <w:pPr>
              <w:pStyle w:val="Compact"/>
              <w:jc w:val="left"/>
            </w:pPr>
            <w:r>
              <w:t xml:space="preserve">Dépôt authentifié par SharePoint (liste de dépôt et flux) ; brouillon chiffré par mot de passe</w:t>
            </w:r>
          </w:p>
        </w:tc>
      </w:tr>
    </w:tbl>
    <w:p>
      <w:pPr>
        <w:pStyle w:val="BodyText"/>
      </w:pPr>
      <w:r>
        <w:rPr>
          <w:bCs/>
          <w:b/>
        </w:rPr>
        <w:t xml:space="preserve">Compatibilité :</w:t>
      </w:r>
      <w:r>
        <w:t xml:space="preserve"> </w:t>
      </w:r>
      <w:r>
        <w:t xml:space="preserve">tous les brouillons et dossiers</w:t>
      </w:r>
      <w:r>
        <w:t xml:space="preserve"> </w:t>
      </w:r>
      <w:r>
        <w:rPr>
          <w:rStyle w:val="VerbatimChar"/>
        </w:rPr>
        <w:t xml:space="preserve">.json</w:t>
      </w:r>
      <w:r>
        <w:t xml:space="preserve"> </w:t>
      </w:r>
      <w:r>
        <w:t xml:space="preserve">des versions précédentes s’ouvrent sans perte. Un brouillon passe à la version du 15 octobre 2026. Un dossier déjà certifié garde la version avec laquelle il a été certifié. Les noms des champs n’ont pas changé, donc le flux Power Automate n’est pas touché.</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2026-10-19T14:34:11Z</dcterms:created>
  <dcterms:modified xsi:type="dcterms:W3CDTF">2026-10-19T14:34:11Z</dcterms:modified>
</cp:coreProperties>
</file>

<file path=docProps/custom.xml><?xml version="1.0" encoding="utf-8"?>
<Properties xmlns="http://schemas.openxmlformats.org/officeDocument/2006/custom-properties" xmlns:vt="http://schemas.openxmlformats.org/officeDocument/2006/docPropsVTypes"/>
</file>