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5ac1ae16e8d766d712b9f74894d9672ad51573"/>
    <w:p>
      <w:pPr>
        <w:pStyle w:val="Heading1"/>
      </w:pPr>
      <w:r>
        <w:t xml:space="preserve">Liste de construction du flux « AC - Traiter un dépôt » — à cocher</w:t>
      </w:r>
    </w:p>
    <w:p>
      <w:pPr>
        <w:pStyle w:val="FirstParagraph"/>
      </w:pPr>
      <w:r>
        <w:t xml:space="preserve">Suivez les lignes</w:t>
      </w:r>
      <w:r>
        <w:t xml:space="preserve"> </w:t>
      </w:r>
      <w:r>
        <w:rPr>
          <w:bCs/>
          <w:b/>
        </w:rPr>
        <w:t xml:space="preserve">dans l’ordre, de haut en bas</w:t>
      </w:r>
      <w:r>
        <w:t xml:space="preserve">, comme elles apparaissent à l’écran. Cochez au fur et à mesure.</w:t>
      </w:r>
    </w:p>
    <w:p>
      <w:pPr>
        <w:pStyle w:val="BodyText"/>
      </w:pPr>
      <w:r>
        <w:rPr>
          <w:bCs/>
          <w:b/>
        </w:rPr>
        <w:t xml:space="preserve">Comment remplir une carte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Nom</w:t>
      </w:r>
      <w:r>
        <w:t xml:space="preserve"> </w:t>
      </w:r>
      <w:r>
        <w:t xml:space="preserve">: renommez la carte avec</w:t>
      </w:r>
      <w:r>
        <w:t xml:space="preserve"> </w:t>
      </w:r>
      <w:r>
        <w:rPr>
          <w:bCs/>
          <w:b/>
        </w:rPr>
        <w:t xml:space="preserve">… › Renommer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Valeur « (fx) »</w:t>
      </w:r>
      <w:r>
        <w:t xml:space="preserve"> </w:t>
      </w:r>
      <w:r>
        <w:t xml:space="preserve">: cliquez dans le champ, ouvrez l’onglet</w:t>
      </w:r>
      <w:r>
        <w:t xml:space="preserve"> </w:t>
      </w:r>
      <w:r>
        <w:rPr>
          <w:bCs/>
          <w:b/>
        </w:rPr>
        <w:t xml:space="preserve">Expression (fx)</w:t>
      </w:r>
      <w:r>
        <w:t xml:space="preserve">, collez, puis cliquez sur</w:t>
      </w:r>
      <w:r>
        <w:t xml:space="preserve"> </w:t>
      </w:r>
      <w:r>
        <w:rPr>
          <w:bCs/>
          <w:b/>
        </w:rPr>
        <w:t xml:space="preserve">OK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Valeur « texte »</w:t>
      </w:r>
      <w:r>
        <w:t xml:space="preserve"> </w:t>
      </w:r>
      <w:r>
        <w:t xml:space="preserve">: tapez ou collez directement dans le champ.</w:t>
      </w:r>
    </w:p>
    <w:p>
      <w:r>
        <w:pict>
          <v:rect style="width:0;height:1.5pt" o:hralign="center" o:hrstd="t" o:hr="t"/>
        </w:pict>
      </w:r>
    </w:p>
    <w:bookmarkStart w:id="20" w:name="Xa04dcbeaf0758883b4a310ae7ab47b2554e260a"/>
    <w:p>
      <w:pPr>
        <w:pStyle w:val="Heading2"/>
      </w:pPr>
      <w:r>
        <w:t xml:space="preserve">Partie A — Le haut du flux (hors de l’étendue)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Power Automate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remplir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Lorsqu’un élément est créé ou modifié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 (déclencheur)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: SandBox Annie Audet · Liste : Depot_Appreciations ·</w:t>
            </w:r>
            <w:r>
              <w:t xml:space="preserve"> </w:t>
            </w:r>
            <w:r>
              <w:rPr>
                <w:bCs/>
                <w:b/>
              </w:rPr>
              <w:t xml:space="preserve">… › Paramètres</w:t>
            </w:r>
            <w:r>
              <w:t xml:space="preserve"> </w:t>
            </w:r>
            <w:r>
              <w:t xml:space="preserve">: simultanéité</w:t>
            </w:r>
            <w:r>
              <w:t xml:space="preserve"> </w:t>
            </w:r>
            <w:r>
              <w:rPr>
                <w:bCs/>
                <w:b/>
              </w:rPr>
              <w:t xml:space="preserve">activée, 1</w:t>
            </w:r>
            <w:r>
              <w:t xml:space="preserve"> </w:t>
            </w:r>
            <w:r>
              <w:t xml:space="preserve">· Condition de déclenchement (voir la note sous le tableau)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Initialiser une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bCs/>
                <w:b/>
              </w:rPr>
              <w:t xml:space="preserve">Chaîne</w:t>
            </w:r>
            <w:r>
              <w:t xml:space="preserve"> </w:t>
            </w:r>
            <w:r>
              <w:t xml:space="preserve">· Valeur (fx) :</w:t>
            </w:r>
            <w:r>
              <w:t xml:space="preserve"> </w:t>
            </w:r>
            <w:r>
              <w:rPr>
                <w:rStyle w:val="VerbatimChar"/>
              </w:rPr>
              <w:t xml:space="preserve">toLower(triggerBody()?['Author']?['Email'])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motifRefus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Initialiser une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bCs/>
                <w:b/>
              </w:rPr>
              <w:t xml:space="preserve">Chaîne</w:t>
            </w:r>
            <w:r>
              <w:t xml:space="preserve"> </w:t>
            </w:r>
            <w:r>
              <w:t xml:space="preserve">· Valeur :</w:t>
            </w:r>
            <w:r>
              <w:t xml:space="preserve"> </w:t>
            </w:r>
            <w:r>
              <w:rPr>
                <w:iCs/>
                <w:i/>
              </w:rPr>
              <w:t xml:space="preserve">(vide)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Initialiser une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bCs/>
                <w:b/>
              </w:rPr>
              <w:t xml:space="preserve">Chaîne</w:t>
            </w:r>
            <w:r>
              <w:t xml:space="preserve"> </w:t>
            </w:r>
            <w:r>
              <w:t xml:space="preserve">· Valeur :</w:t>
            </w:r>
            <w:r>
              <w:t xml:space="preserve"> </w:t>
            </w:r>
            <w:r>
              <w:rPr>
                <w:iCs/>
                <w:i/>
              </w:rPr>
              <w:t xml:space="preserve">(vide)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Initialiser une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bCs/>
                <w:b/>
              </w:rPr>
              <w:t xml:space="preserve">Booléen</w:t>
            </w:r>
            <w:r>
              <w:t xml:space="preserve"> </w:t>
            </w:r>
            <w:r>
              <w:t xml:space="preserve">· Valeur :</w:t>
            </w:r>
            <w:r>
              <w:t xml:space="preserve"> </w:t>
            </w:r>
            <w:r>
              <w:rPr>
                <w:bCs/>
                <w:b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nomDeposant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Initialiser une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bCs/>
                <w:b/>
              </w:rPr>
              <w:t xml:space="preserve">Chaîne</w:t>
            </w:r>
            <w:r>
              <w:t xml:space="preserve"> </w:t>
            </w:r>
            <w:r>
              <w:t xml:space="preserve">· Valeur (fx) :</w:t>
            </w:r>
            <w:r>
              <w:t xml:space="preserve"> </w:t>
            </w:r>
            <w:r>
              <w:rPr>
                <w:rStyle w:val="VerbatimChar"/>
              </w:rPr>
              <w:t xml:space="preserve">triggerBody()?['Author']?['DisplayName']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Initialiser une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bCs/>
                <w:b/>
              </w:rPr>
              <w:t xml:space="preserve">Chaîne</w:t>
            </w:r>
            <w:r>
              <w:t xml:space="preserve"> </w:t>
            </w:r>
            <w:r>
              <w:t xml:space="preserve">· Valeur (fx) :</w:t>
            </w:r>
            <w:r>
              <w:t xml:space="preserve"> </w:t>
            </w:r>
            <w:r>
              <w:rPr>
                <w:rStyle w:val="VerbatimChar"/>
              </w:rPr>
              <w:t xml:space="preserve">formatDateTime(convertFromUtc(utcNow(),'Eastern Standard Time'),'yyyy-MM-dd HH:mm')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texteDepot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Initialiser une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bCs/>
                <w:b/>
              </w:rPr>
              <w:t xml:space="preserve">Chaîne</w:t>
            </w:r>
            <w:r>
              <w:t xml:space="preserve"> </w:t>
            </w:r>
            <w:r>
              <w:t xml:space="preserve">· Valeur :</w:t>
            </w:r>
            <w:r>
              <w:t xml:space="preserve"> </w:t>
            </w:r>
            <w:r>
              <w:rPr>
                <w:iCs/>
                <w:i/>
              </w:rPr>
              <w:t xml:space="preserve">(vide)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Initialiser une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bCs/>
                <w:b/>
              </w:rPr>
              <w:t xml:space="preserve">Objet</w:t>
            </w:r>
            <w:r>
              <w:t xml:space="preserve"> </w:t>
            </w:r>
            <w:r>
              <w:t xml:space="preserve">· Valeur :</w:t>
            </w:r>
            <w:r>
              <w:t xml:space="preserve"> </w:t>
            </w:r>
            <w:r>
              <w:rPr>
                <w:iCs/>
                <w:i/>
              </w:rPr>
              <w:t xml:space="preserve">(vide)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Condition de déclenchement</w:t>
      </w:r>
      <w:r>
        <w:t xml:space="preserve"> </w:t>
      </w:r>
      <w:r>
        <w:t xml:space="preserve">: à coller directement dans la case de</w:t>
      </w:r>
      <w:r>
        <w:t xml:space="preserve"> </w:t>
      </w:r>
      <w:r>
        <w:rPr>
          <w:bCs/>
          <w:b/>
        </w:rPr>
        <w:t xml:space="preserve">Conditions de déclenchement</w:t>
      </w:r>
      <w:r>
        <w:t xml:space="preserve"> </w:t>
      </w:r>
      <w:r>
        <w:t xml:space="preserve">(le texte commence par</w:t>
      </w:r>
      <w:r>
        <w:t xml:space="preserve"> </w:t>
      </w:r>
      <w:r>
        <w:rPr>
          <w:rStyle w:val="VerbatimChar"/>
        </w:rPr>
        <w:t xml:space="preserve">@</w:t>
      </w:r>
      <w:r>
        <w:t xml:space="preserve">), pas dans l’onglet fx :</w:t>
      </w:r>
      <w:r>
        <w:t xml:space="preserve"> </w:t>
      </w:r>
      <w:r>
        <w:rPr>
          <w:rStyle w:val="VerbatimChar"/>
        </w:rPr>
        <w:t xml:space="preserve">@or(not(empty(triggerOutputs()?['body/Contenu'])), equals(triggerOutputs()?['body/Attachments'], true))</w:t>
      </w:r>
    </w:p>
    <w:p>
      <w:pPr>
        <w:pStyle w:val="BodyText"/>
      </w:pPr>
      <w:r>
        <w:t xml:space="preserve">L’ordre des variables n’a pas d’importance, pourvu qu’elles soient toutes</w:t>
      </w:r>
      <w:r>
        <w:t xml:space="preserve"> </w:t>
      </w:r>
      <w:r>
        <w:rPr>
          <w:bCs/>
          <w:b/>
        </w:rPr>
        <w:t xml:space="preserve">au-dessus</w:t>
      </w:r>
      <w:r>
        <w:t xml:space="preserve"> </w:t>
      </w:r>
      <w:r>
        <w:t xml:space="preserve">de l’étendue.</w:t>
      </w:r>
    </w:p>
    <w:p>
      <w:pPr>
        <w:pStyle w:val="BodyText"/>
      </w:pPr>
      <w:r>
        <w:rPr>
          <w:bCs/>
          <w:b/>
        </w:rPr>
        <w:t xml:space="preserve">À supprimer s’ils existent encore</w:t>
      </w:r>
      <w:r>
        <w:t xml:space="preserve"> </w:t>
      </w:r>
      <w:r>
        <w:t xml:space="preserve">(anciennes variables) :</w:t>
      </w:r>
      <w:r>
        <w:t xml:space="preserve"> </w:t>
      </w:r>
      <w:r>
        <w:rPr>
          <w:bCs/>
          <w:b/>
        </w:rPr>
        <w:t xml:space="preserve">role</w:t>
      </w:r>
      <w:r>
        <w:t xml:space="preserve">,</w:t>
      </w:r>
      <w:r>
        <w:t xml:space="preserve"> </w:t>
      </w:r>
      <w:r>
        <w:rPr>
          <w:bCs/>
          <w:b/>
        </w:rPr>
        <w:t xml:space="preserve">fusion</w:t>
      </w:r>
      <w:r>
        <w:t xml:space="preserve">,</w:t>
      </w:r>
      <w:r>
        <w:t xml:space="preserve"> </w:t>
      </w:r>
      <w:r>
        <w:rPr>
          <w:bCs/>
          <w:b/>
        </w:rPr>
        <w:t xml:space="preserve">clePermises</w:t>
      </w:r>
      <w:r>
        <w:t xml:space="preserve">,</w:t>
      </w:r>
      <w:r>
        <w:t xml:space="preserve"> </w:t>
      </w:r>
      <w:r>
        <w:rPr>
          <w:bCs/>
          <w:b/>
        </w:rPr>
        <w:t xml:space="preserve">messageSucces</w:t>
      </w:r>
      <w:r>
        <w:t xml:space="preserve">,</w:t>
      </w:r>
      <w:r>
        <w:t xml:space="preserve"> </w:t>
      </w:r>
      <w:r>
        <w:rPr>
          <w:bCs/>
          <w:b/>
        </w:rPr>
        <w:t xml:space="preserve">nomFichierDossier</w:t>
      </w:r>
      <w:r>
        <w:t xml:space="preserve">,</w:t>
      </w:r>
      <w:r>
        <w:t xml:space="preserve"> </w:t>
      </w:r>
      <w:r>
        <w:rPr>
          <w:bCs/>
          <w:b/>
        </w:rPr>
        <w:t xml:space="preserve">idElementDossier</w:t>
      </w:r>
      <w:r>
        <w:t xml:space="preserve">. Pour chacune :</w:t>
      </w:r>
      <w:r>
        <w:t xml:space="preserve"> </w:t>
      </w:r>
      <w:r>
        <w:rPr>
          <w:bCs/>
          <w:b/>
        </w:rPr>
        <w:t xml:space="preserve">… › Supprimer</w:t>
      </w:r>
      <w:r>
        <w:t xml:space="preserve">. Si Power Automate refuse, une autre action l’utilise encore : envoyez-moi une capture.</w:t>
      </w:r>
    </w:p>
    <w:bookmarkEnd w:id="20"/>
    <w:bookmarkStart w:id="21" w:name="partie-b-dans-létendue-traitement-début"/>
    <w:p>
      <w:pPr>
        <w:pStyle w:val="Heading2"/>
      </w:pPr>
      <w:r>
        <w:t xml:space="preserve">Partie B — Dans l’étendue « Traitement » (début)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Power Automate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remplir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Étendue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Renommez l’ancienne « Étendue » en</w:t>
            </w:r>
            <w:r>
              <w:t xml:space="preserve"> </w:t>
            </w:r>
            <w:r>
              <w:rPr>
                <w:rStyle w:val="VerbatimChar"/>
              </w:rPr>
              <w:t xml:space="preserve">Traitement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 · Obtenir les pièces jointes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· Liste : Depot_Appreciations · ID (fx) :</w:t>
            </w:r>
            <w:r>
              <w:t xml:space="preserve"> </w:t>
            </w:r>
            <w:r>
              <w:rPr>
                <w:rStyle w:val="VerbatimChar"/>
              </w:rPr>
              <w:t xml:space="preserve">triggerBody()?['ID']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ContenuVide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Gauche (fx) :</w:t>
            </w:r>
            <w:r>
              <w:t xml:space="preserve"> </w:t>
            </w:r>
            <w:r>
              <w:rPr>
                <w:rStyle w:val="VerbatimChar"/>
              </w:rPr>
              <w:t xml:space="preserve">empty(coalesce(triggerBody()?['Contenu'],''))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est égal à</w:t>
            </w:r>
            <w:r>
              <w:t xml:space="preserve"> </w:t>
            </w:r>
            <w:r>
              <w:t xml:space="preserve">· Droite (fx) 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↳</w:t>
            </w:r>
            <w:r>
              <w:t xml:space="preserve"> </w:t>
            </w:r>
            <w:r>
              <w:rPr>
                <w:iCs/>
                <w:i/>
              </w:rPr>
              <w:t xml:space="preserve">Si oui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ContenuPJ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 · Obtenir le contenu de la pièce jointe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· Liste · ID (fx) :</w:t>
            </w:r>
            <w:r>
              <w:t xml:space="preserve"> </w:t>
            </w:r>
            <w:r>
              <w:rPr>
                <w:rStyle w:val="VerbatimChar"/>
              </w:rPr>
              <w:t xml:space="preserve">triggerBody()?['ID']</w:t>
            </w:r>
            <w:r>
              <w:t xml:space="preserve"> </w:t>
            </w:r>
            <w:r>
              <w:t xml:space="preserve">· Identificateur du fichier (fx) :</w:t>
            </w:r>
            <w:r>
              <w:t xml:space="preserve"> </w:t>
            </w:r>
            <w:r>
              <w:rPr>
                <w:rStyle w:val="VerbatimChar"/>
              </w:rPr>
              <w:t xml:space="preserve">first(body('PJ'))?['Id']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↳</w:t>
            </w:r>
            <w:r>
              <w:t xml:space="preserve"> </w:t>
            </w:r>
            <w:r>
              <w:rPr>
                <w:iCs/>
                <w:i/>
              </w:rPr>
              <w:t xml:space="preserve">Si oui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Définir texteDepot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Définir la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: texteDepot · Valeur (fx) :</w:t>
            </w:r>
            <w:r>
              <w:t xml:space="preserve"> </w:t>
            </w:r>
            <w:r>
              <w:rPr>
                <w:rStyle w:val="VerbatimChar"/>
              </w:rPr>
              <w:t xml:space="preserve">base64ToString(body('ContenuPJ')?['$content'])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↳</w:t>
            </w:r>
            <w:r>
              <w:t xml:space="preserve"> </w:t>
            </w:r>
            <w:r>
              <w:rPr>
                <w:iCs/>
                <w:i/>
              </w:rPr>
              <w:t xml:space="preserve">Si non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Définir texteDepot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Définir la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: texteDepot · Valeur (fx) :</w:t>
            </w:r>
            <w:r>
              <w:t xml:space="preserve"> </w:t>
            </w:r>
            <w:r>
              <w:rPr>
                <w:rStyle w:val="VerbatimChar"/>
              </w:rPr>
              <w:t xml:space="preserve">triggerBody()?['Contenu']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Depot</w:t>
            </w:r>
            <w:r>
              <w:t xml:space="preserve"> </w:t>
            </w:r>
            <w:r>
              <w:rPr>
                <w:iCs/>
                <w:i/>
              </w:rPr>
              <w:t xml:space="preserve">(sous la condition)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Entrées (fx) :</w:t>
            </w:r>
            <w:r>
              <w:t xml:space="preserve"> </w:t>
            </w:r>
            <w:r>
              <w:rPr>
                <w:rStyle w:val="VerbatimChar"/>
              </w:rPr>
              <w:t xml:space="preserve">json(variables('texteDepot'))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Entrées (fx) : l’expression du guide 5, section 4.4 (variante recommandée)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Définir motifRefus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Définir la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: motifRefus · Valeur (fx) :</w:t>
            </w:r>
            <w:r>
              <w:t xml:space="preserve"> </w:t>
            </w:r>
            <w:r>
              <w:rPr>
                <w:rStyle w:val="VerbatimChar"/>
              </w:rPr>
              <w:t xml:space="preserve">outputs('Controle')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DepotValide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Gauche (fx) :</w:t>
            </w:r>
            <w:r>
              <w:t xml:space="preserve"> </w:t>
            </w:r>
            <w:r>
              <w:rPr>
                <w:rStyle w:val="VerbatimChar"/>
              </w:rPr>
              <w:t xml:space="preserve">empty(variables('motifRefus'))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est égal à</w:t>
            </w:r>
            <w:r>
              <w:t xml:space="preserve"> </w:t>
            </w:r>
            <w:r>
              <w:t xml:space="preserve">· Droite (fx) 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↳</w:t>
            </w:r>
            <w:r>
              <w:t xml:space="preserve"> </w:t>
            </w:r>
            <w:r>
              <w:rPr>
                <w:iCs/>
                <w:i/>
              </w:rPr>
              <w:t xml:space="preserve">Si oui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ChercherDossier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 · Obtenir les fichiers (propriétés uniquement)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Bibliothèque : Dossiers_Appreciations · Requête de filtre et nombre maximal : guide 5, section 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↳</w:t>
            </w:r>
            <w:r>
              <w:t xml:space="preserve"> </w:t>
            </w:r>
            <w:r>
              <w:rPr>
                <w:iCs/>
                <w:i/>
              </w:rPr>
              <w:t xml:space="preserve">Si oui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NouveauDossier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Gauche (fx) :</w:t>
            </w:r>
            <w:r>
              <w:t xml:space="preserve"> </w:t>
            </w:r>
            <w:r>
              <w:rPr>
                <w:rStyle w:val="VerbatimChar"/>
              </w:rPr>
              <w:t xml:space="preserve">length(body('ChercherDossier')?['value'])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est égal à</w:t>
            </w:r>
            <w:r>
              <w:t xml:space="preserve"> </w:t>
            </w:r>
            <w:r>
              <w:t xml:space="preserve">· Droite :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Point de contrôle :</w:t>
      </w:r>
      <w:r>
        <w:t xml:space="preserve"> </w:t>
      </w:r>
      <w:r>
        <w:t xml:space="preserve">cliquez sur</w:t>
      </w:r>
      <w:r>
        <w:t xml:space="preserve"> </w:t>
      </w:r>
      <w:r>
        <w:rPr>
          <w:bCs/>
          <w:b/>
        </w:rPr>
        <w:t xml:space="preserve">Enregistrer</w:t>
      </w:r>
      <w:r>
        <w:t xml:space="preserve">. Le</w:t>
      </w:r>
      <w:r>
        <w:t xml:space="preserve"> </w:t>
      </w:r>
      <w:r>
        <w:rPr>
          <w:bCs/>
          <w:b/>
        </w:rPr>
        <w:t xml:space="preserve">Vérificateur de flux</w:t>
      </w:r>
      <w:r>
        <w:t xml:space="preserve"> </w:t>
      </w:r>
      <w:r>
        <w:t xml:space="preserve">doit afficher</w:t>
      </w:r>
      <w:r>
        <w:t xml:space="preserve"> </w:t>
      </w:r>
      <w:r>
        <w:rPr>
          <w:bCs/>
          <w:b/>
        </w:rPr>
        <w:t xml:space="preserve">Erreurs (0)</w:t>
      </w:r>
      <w:r>
        <w:t xml:space="preserve">. Envoyez-moi une capture : ensuite on attaque la partie C.</w:t>
      </w:r>
    </w:p>
    <w:bookmarkEnd w:id="21"/>
    <w:bookmarkStart w:id="22" w:name="X361882736416c8bb0f09589daec626edde7180f"/>
    <w:p>
      <w:pPr>
        <w:pStyle w:val="Heading2"/>
      </w:pPr>
      <w:r>
        <w:t xml:space="preserve">Partie C — Branche « Si oui » de NouveauDossier (premier dépôt)</w:t>
      </w:r>
    </w:p>
    <w:p>
      <w:pPr>
        <w:pStyle w:val="FirstParagraph"/>
      </w:pPr>
      <w:r>
        <w:t xml:space="preserve">Guide 5, section 5 · schéma page 2/6.</w:t>
      </w:r>
      <w:r>
        <w:t xml:space="preserve"> </w:t>
      </w:r>
      <w:r>
        <w:rPr>
          <w:iCs/>
          <w:i/>
        </w:rPr>
        <w:t xml:space="preserve">(On la fera ensemble après la partie B.)</w:t>
      </w:r>
    </w:p>
    <w:bookmarkEnd w:id="22"/>
    <w:bookmarkStart w:id="23" w:name="Xcf5aa481fdaed4aab9f953a5edefb28e5d234eb"/>
    <w:p>
      <w:pPr>
        <w:pStyle w:val="Heading2"/>
      </w:pPr>
      <w:r>
        <w:t xml:space="preserve">Partie D — Branche « Si non » de NouveauDossier (dossier existant)</w:t>
      </w:r>
    </w:p>
    <w:p>
      <w:pPr>
        <w:pStyle w:val="FirstParagraph"/>
      </w:pPr>
      <w:r>
        <w:t xml:space="preserve">Guide 5, section 6 · schémas pages 3/6, 4/6 et 5/6.</w:t>
      </w:r>
    </w:p>
    <w:bookmarkEnd w:id="23"/>
    <w:bookmarkStart w:id="24" w:name="Xa9c590eaaf35765d75608b7a16fc5d28489f4c6"/>
    <w:p>
      <w:pPr>
        <w:pStyle w:val="Heading2"/>
      </w:pPr>
      <w:r>
        <w:t xml:space="preserve">Partie E — Après l’étendue (refus, courriels, nettoyage)</w:t>
      </w:r>
    </w:p>
    <w:p>
      <w:pPr>
        <w:pStyle w:val="FirstParagraph"/>
      </w:pPr>
      <w:r>
        <w:t xml:space="preserve">Guide 5, section 7 · schéma page 6/6.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2026-10-22T18:24:45Z</dcterms:created>
  <dcterms:modified xsi:type="dcterms:W3CDTF">2026-10-22T18:24:45Z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