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des changements du 28 octobre (PDF joint au dossier, écran allégé)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Synthèse</w:t>
      </w:r>
      <w:r>
        <w:t xml:space="preserve"> </w:t>
      </w:r>
      <w:r>
        <w:t xml:space="preserve">(onglet retiré le 28 octobre) : synBarSup, synValSup, synBarCadre, synValCadre.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 </w:t>
      </w:r>
      <w:r>
        <w:t xml:space="preserve">puis créer les boutons « 📄 Ouvrir le PDF » (formulaire) et « 📄 PDF » (Mes dossiers).</w:t>
      </w:r>
    </w:p>
    <w:p>
      <w:pPr>
        <w:pStyle w:val="FirstParagraph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1.0.0.1).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Solution-ApplicationAppreciation_1_0_0_1_managed.zip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.zip géré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 fichier</w:t>
      </w:r>
      <w:r>
        <w:t xml:space="preserve"> </w:t>
      </w:r>
      <w:r>
        <w:rPr>
          <w:rStyle w:val="VerbatimChar"/>
          <w:bCs/>
          <w:b/>
        </w:rPr>
        <w:t xml:space="preserve">Variables-environnement-et-deploiement.xlsx</w:t>
      </w:r>
      <w:r>
        <w:t xml:space="preserve"> </w:t>
      </w:r>
      <w:r>
        <w:t xml:space="preserve">: colonnes Pré-prod et Prod à compléter avec eux, et la liste de vérification des TI ;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partie 4</w:t>
      </w:r>
      <w:r>
        <w:t xml:space="preserve"> </w:t>
      </w:r>
      <w:r>
        <w:t xml:space="preserve">de ce guide (SharePoint), avec l’étape 3 du Guide complet (les 35 colonnes) 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schéma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Schema-solution.jpg</w:t>
      </w:r>
      <w:r>
        <w:t xml:space="preserve">).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2026-10-28T17:13:34Z</dcterms:created>
  <dcterms:modified xsi:type="dcterms:W3CDTF">2026-10-28T17:13:34Z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Apps, SharePoint et Power Automate — version finale du 27 octobre 2026</vt:lpwstr>
  </property>
</Properties>
</file>