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lux-power-automate-arexporteranalyse"/>
    <w:p>
      <w:pPr>
        <w:pStyle w:val="Heading1"/>
      </w:pPr>
      <w:r>
        <w:t xml:space="preserve">Flux Power Automate « ARExporterAnalyse »</w:t>
      </w:r>
    </w:p>
    <w:p>
      <w:pPr>
        <w:pStyle w:val="FirstParagraph"/>
      </w:pPr>
      <w:r>
        <w:t xml:space="preserve">Ce flux remplace le flux HTTP de la version HTML (« RH-DSST - Envoyer analyse SharePoint »).</w:t>
      </w:r>
      <w:r>
        <w:t xml:space="preserve"> </w:t>
      </w:r>
      <w:r>
        <w:t xml:space="preserve">Il est</w:t>
      </w:r>
      <w:r>
        <w:t xml:space="preserve"> </w:t>
      </w:r>
      <w:r>
        <w:rPr>
          <w:bCs/>
          <w:b/>
        </w:rPr>
        <w:t xml:space="preserve">appelé directement par l’application Power Apps</w:t>
      </w:r>
      <w:r>
        <w:t xml:space="preserve"> </w:t>
      </w:r>
      <w:r>
        <w:t xml:space="preserve">(bouton « Envoyer à SharePoint (PDF/Excel) »).</w:t>
      </w:r>
    </w:p>
    <w:p>
      <w:pPr>
        <w:pStyle w:val="BlockText"/>
      </w:pPr>
      <w:r>
        <w:rPr>
          <w:bCs/>
          <w:b/>
        </w:rPr>
        <w:t xml:space="preserve">Avantage :</w:t>
      </w:r>
      <w:r>
        <w:t xml:space="preserve"> </w:t>
      </w:r>
      <w:r>
        <w:t xml:space="preserve">le déclencheur « Power Apps (V2) » et les connecteurs SharePoint, OneDrive Entreprise</w:t>
      </w:r>
      <w:r>
        <w:t xml:space="preserve"> </w:t>
      </w:r>
      <w:r>
        <w:t xml:space="preserve">et Office 365 Outlook sont tous</w:t>
      </w:r>
      <w:r>
        <w:t xml:space="preserve"> </w:t>
      </w:r>
      <w:r>
        <w:rPr>
          <w:bCs/>
          <w:b/>
        </w:rPr>
        <w:t xml:space="preserve">standards</w:t>
      </w:r>
      <w:r>
        <w:t xml:space="preserve"> </w:t>
      </w:r>
      <w:r>
        <w:t xml:space="preserve">: aucune licence Premium n’est requise</w:t>
      </w:r>
      <w:r>
        <w:t xml:space="preserve"> </w:t>
      </w:r>
      <w:r>
        <w:t xml:space="preserve">(contrairement au déclencheur « Lors de la réception d’une demande HTTP », qui est Premium).</w:t>
      </w:r>
      <w:r>
        <w:t xml:space="preserve"> </w:t>
      </w:r>
      <w:r>
        <w:t xml:space="preserve">Il n’y a plus d’URL à configurer sur chaque poste.</w:t>
      </w:r>
    </w:p>
    <w:p>
      <w:pPr>
        <w:pStyle w:val="FirstParagraph"/>
      </w:pPr>
      <w:r>
        <w:t xml:space="preserve">Ce que fait le flux :</w:t>
      </w:r>
    </w:p>
    <w:p>
      <w:pPr>
        <w:numPr>
          <w:ilvl w:val="0"/>
          <w:numId w:val="1001"/>
        </w:numPr>
        <w:pStyle w:val="Compact"/>
      </w:pPr>
      <w:r>
        <w:t xml:space="preserve">dépose le fichier</w:t>
      </w:r>
      <w:r>
        <w:t xml:space="preserve"> </w:t>
      </w:r>
      <w:r>
        <w:rPr>
          <w:bCs/>
          <w:b/>
        </w:rPr>
        <w:t xml:space="preserve">JSON</w:t>
      </w:r>
      <w:r>
        <w:t xml:space="preserve"> </w:t>
      </w:r>
      <w:r>
        <w:t xml:space="preserve">(même format que l’application HTML) dans la bibliothèque SharePoint ;</w:t>
      </w:r>
    </w:p>
    <w:p>
      <w:pPr>
        <w:numPr>
          <w:ilvl w:val="0"/>
          <w:numId w:val="1001"/>
        </w:numPr>
        <w:pStyle w:val="Compact"/>
      </w:pPr>
      <w:r>
        <w:t xml:space="preserve">dépose le fichier</w:t>
      </w:r>
      <w:r>
        <w:t xml:space="preserve"> </w:t>
      </w:r>
      <w:r>
        <w:rPr>
          <w:bCs/>
          <w:b/>
        </w:rPr>
        <w:t xml:space="preserve">CSV</w:t>
      </w:r>
      <w:r>
        <w:t xml:space="preserve"> </w:t>
      </w:r>
      <w:r>
        <w:t xml:space="preserve">(s’ouvre dans Excel) dans la bibliothèque ;</w:t>
      </w:r>
    </w:p>
    <w:p>
      <w:pPr>
        <w:numPr>
          <w:ilvl w:val="0"/>
          <w:numId w:val="1001"/>
        </w:numPr>
        <w:pStyle w:val="Compact"/>
      </w:pPr>
      <w:r>
        <w:t xml:space="preserve">convertit le rapport HTML en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(via OneDrive) et le dépose dans la bibliothèque ;</w:t>
      </w:r>
    </w:p>
    <w:p>
      <w:pPr>
        <w:numPr>
          <w:ilvl w:val="0"/>
          <w:numId w:val="1001"/>
        </w:numPr>
        <w:pStyle w:val="Compact"/>
      </w:pPr>
      <w:r>
        <w:t xml:space="preserve">envoie un</w:t>
      </w:r>
      <w:r>
        <w:t xml:space="preserve"> </w:t>
      </w:r>
      <w:r>
        <w:rPr>
          <w:bCs/>
          <w:b/>
        </w:rPr>
        <w:t xml:space="preserve">courriel</w:t>
      </w:r>
      <w:r>
        <w:t xml:space="preserve"> </w:t>
      </w:r>
      <w:r>
        <w:t xml:space="preserve">aux responsables SST avec le PDF en pièce jointe ;</w:t>
      </w:r>
    </w:p>
    <w:p>
      <w:pPr>
        <w:numPr>
          <w:ilvl w:val="0"/>
          <w:numId w:val="1001"/>
        </w:numPr>
        <w:pStyle w:val="Compact"/>
      </w:pPr>
      <w:r>
        <w:t xml:space="preserve">répond à l’application.</w:t>
      </w:r>
    </w:p>
    <w:p>
      <w:r>
        <w:pict>
          <v:rect style="width:0;height:1.5pt" o:hralign="center" o:hrstd="t" o:hr="t"/>
        </w:pict>
      </w:r>
    </w:p>
    <w:bookmarkStart w:id="30" w:name="création-pas-à-pas"/>
    <w:p>
      <w:pPr>
        <w:pStyle w:val="Heading2"/>
      </w:pPr>
      <w:r>
        <w:t xml:space="preserve">Création pas à pas</w:t>
      </w:r>
    </w:p>
    <w:p>
      <w:pPr>
        <w:pStyle w:val="FirstParagraph"/>
      </w:pPr>
      <w:r>
        <w:t xml:space="preserve">Dans</w:t>
      </w:r>
      <w:r>
        <w:t xml:space="preserve"> </w:t>
      </w:r>
      <w:hyperlink r:id="rId20">
        <w:r>
          <w:rPr>
            <w:rStyle w:val="Hyperlink"/>
          </w:rPr>
          <w:t xml:space="preserve">https://make.powerautomate.com</w:t>
        </w:r>
      </w:hyperlink>
      <w:r>
        <w:t xml:space="preserve"> </w:t>
      </w:r>
      <w:r>
        <w:t xml:space="preserve">(même environnement que l’application) :</w:t>
      </w:r>
      <w:r>
        <w:t xml:space="preserve"> </w:t>
      </w:r>
      <w:r>
        <w:rPr>
          <w:bCs/>
          <w:b/>
        </w:rPr>
        <w:t xml:space="preserve">Créer → Flux de cloud instantané → « Lorsque Power Apps appelle un flux (V2) »</w:t>
      </w:r>
      <w:r>
        <w:t xml:space="preserve"> </w:t>
      </w:r>
      <w:r>
        <w:t xml:space="preserve">(PowerApps V2).</w:t>
      </w:r>
      <w:r>
        <w:t xml:space="preserve"> </w:t>
      </w:r>
      <w:r>
        <w:t xml:space="preserve">Nom du flux :</w:t>
      </w:r>
      <w:r>
        <w:t xml:space="preserve"> </w:t>
      </w:r>
      <w:r>
        <w:rPr>
          <w:rStyle w:val="VerbatimChar"/>
          <w:bCs/>
          <w:b/>
        </w:rPr>
        <w:t xml:space="preserve">ARExporterAnalyse</w:t>
      </w:r>
      <w:r>
        <w:t xml:space="preserve"> </w:t>
      </w:r>
      <w:r>
        <w:t xml:space="preserve">(sans espace : c’est le nom utilisé dans la formule de l’application).</w:t>
      </w:r>
    </w:p>
    <w:bookmarkStart w:id="21" w:name="X0f7adf3f290c0856797afe76c54b49188553bf4"/>
    <w:p>
      <w:pPr>
        <w:pStyle w:val="Heading3"/>
      </w:pPr>
      <w:r>
        <w:t xml:space="preserve">Étape 1 — Déclencheur « Lorsque Power Apps appelle un flux (V2) »</w:t>
      </w:r>
    </w:p>
    <w:p>
      <w:pPr>
        <w:pStyle w:val="FirstParagraph"/>
      </w:pPr>
      <w:r>
        <w:t xml:space="preserve">Ajoutez</w:t>
      </w:r>
      <w:r>
        <w:t xml:space="preserve"> </w:t>
      </w:r>
      <w:r>
        <w:rPr>
          <w:bCs/>
          <w:b/>
        </w:rPr>
        <w:t xml:space="preserve">4 entrées de type Texte, dans cet ordre exact</w:t>
      </w:r>
      <w:r>
        <w:t xml:space="preserve"> </w:t>
      </w:r>
      <w:r>
        <w:t xml:space="preserve">(l’ordre doit correspondre à l’appel</w:t>
      </w:r>
      <w:r>
        <w:t xml:space="preserve"> </w:t>
      </w:r>
      <w:r>
        <w:rPr>
          <w:rStyle w:val="VerbatimChar"/>
        </w:rPr>
        <w:t xml:space="preserve">ARExporterAnalyse.Run(...)</w:t>
      </w:r>
      <w:r>
        <w:t xml:space="preserve">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8"/>
        <w:gridCol w:w="3960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l’entrée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reçu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</w:t>
            </w:r>
            <w:r>
              <w:t xml:space="preserve"> </w:t>
            </w:r>
            <w:r>
              <w:rPr>
                <w:rStyle w:val="VerbatimChar"/>
              </w:rPr>
              <w:t xml:space="preserve">AR_SST_Maintenance_2026-04-15</w:t>
            </w:r>
            <w:r>
              <w:t xml:space="preserve"> </w:t>
            </w:r>
            <w:r>
              <w:t xml:space="preserve">(sans extension)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RapportHTML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complet (entête, synthèse, grille, plan d’action)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DonneesCSV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grille au format CSV (séparateur « ;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DonneesJSON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au format JSON de l’application HTML</w:t>
            </w:r>
          </w:p>
        </w:tc>
      </w:tr>
    </w:tbl>
    <w:bookmarkEnd w:id="21"/>
    <w:bookmarkStart w:id="22" w:name="étape-2-sharepoint-créer-un-fichier-json"/>
    <w:p>
      <w:pPr>
        <w:pStyle w:val="Heading3"/>
      </w:pPr>
      <w:r>
        <w:t xml:space="preserve">Étape 2 — SharePoint « Créer un fichier » (JSON)</w:t>
      </w:r>
    </w:p>
    <w:p>
      <w:pPr>
        <w:numPr>
          <w:ilvl w:val="0"/>
          <w:numId w:val="1002"/>
        </w:numPr>
        <w:pStyle w:val="Compact"/>
      </w:pPr>
      <w:r>
        <w:t xml:space="preserve">Adresse du site :</w:t>
      </w:r>
      <w:r>
        <w:t xml:space="preserve"> </w:t>
      </w:r>
      <w:r>
        <w:rPr>
          <w:bCs/>
          <w:b/>
        </w:rPr>
        <w:t xml:space="preserve">RH SST Analyse de risque</w:t>
      </w:r>
    </w:p>
    <w:p>
      <w:pPr>
        <w:numPr>
          <w:ilvl w:val="0"/>
          <w:numId w:val="1002"/>
        </w:numPr>
        <w:pStyle w:val="Compact"/>
      </w:pPr>
      <w:r>
        <w:t xml:space="preserve">Chemin d’accès du dossier : la bibliothèque</w:t>
      </w:r>
      <w:r>
        <w:t xml:space="preserve"> </w:t>
      </w:r>
      <w:r>
        <w:rPr>
          <w:bCs/>
          <w:b/>
        </w:rPr>
        <w:t xml:space="preserve">Analyse de risque</w:t>
      </w:r>
      <w:r>
        <w:t xml:space="preserve"> </w:t>
      </w:r>
      <w:r>
        <w:t xml:space="preserve">(bouton dossier → sélectionner)</w:t>
      </w:r>
    </w:p>
    <w:p>
      <w:pPr>
        <w:numPr>
          <w:ilvl w:val="0"/>
          <w:numId w:val="1002"/>
        </w:numPr>
        <w:pStyle w:val="Compact"/>
      </w:pPr>
      <w:r>
        <w:t xml:space="preserve">Nom du fichier : contenu dynamique</w:t>
      </w:r>
      <w:r>
        <w:t xml:space="preserve"> </w:t>
      </w:r>
      <w:r>
        <w:rPr>
          <w:rStyle w:val="VerbatimChar"/>
        </w:rPr>
        <w:t xml:space="preserve">NomFichier</w:t>
      </w:r>
      <w:r>
        <w:t xml:space="preserve"> </w:t>
      </w:r>
      <w:r>
        <w:t xml:space="preserve">puis tapez</w:t>
      </w:r>
      <w:r>
        <w:t xml:space="preserve"> </w:t>
      </w:r>
      <w:r>
        <w:rPr>
          <w:rStyle w:val="VerbatimChar"/>
        </w:rPr>
        <w:t xml:space="preserve">.json</w:t>
      </w:r>
    </w:p>
    <w:p>
      <w:pPr>
        <w:numPr>
          <w:ilvl w:val="0"/>
          <w:numId w:val="1002"/>
        </w:numPr>
        <w:pStyle w:val="Compact"/>
      </w:pPr>
      <w:r>
        <w:t xml:space="preserve">Contenu du fichier : contenu dynamique</w:t>
      </w:r>
      <w:r>
        <w:t xml:space="preserve"> </w:t>
      </w:r>
      <w:r>
        <w:rPr>
          <w:rStyle w:val="VerbatimChar"/>
        </w:rPr>
        <w:t xml:space="preserve">DonneesJSON</w:t>
      </w:r>
    </w:p>
    <w:p>
      <w:pPr>
        <w:pStyle w:val="FirstParagraph"/>
      </w:pPr>
      <w:r>
        <w:t xml:space="preserve">Renommez l’action :</w:t>
      </w:r>
      <w:r>
        <w:t xml:space="preserve"> </w:t>
      </w:r>
      <w:r>
        <w:rPr>
          <w:bCs/>
          <w:b/>
        </w:rPr>
        <w:t xml:space="preserve">Créer fichier JSON</w:t>
      </w:r>
      <w:r>
        <w:t xml:space="preserve">.</w:t>
      </w:r>
    </w:p>
    <w:bookmarkEnd w:id="22"/>
    <w:bookmarkStart w:id="23" w:name="Xed39e3315d018550a752c9633e78c997cd62cd7"/>
    <w:p>
      <w:pPr>
        <w:pStyle w:val="Heading3"/>
      </w:pPr>
      <w:r>
        <w:t xml:space="preserve">Étape 3 — SharePoint « Créer un fichier » (Excel / CSV)</w:t>
      </w:r>
    </w:p>
    <w:p>
      <w:pPr>
        <w:numPr>
          <w:ilvl w:val="0"/>
          <w:numId w:val="1003"/>
        </w:numPr>
        <w:pStyle w:val="Compact"/>
      </w:pPr>
      <w:r>
        <w:t xml:space="preserve">Mêmes site et dossier</w:t>
      </w:r>
    </w:p>
    <w:p>
      <w:pPr>
        <w:numPr>
          <w:ilvl w:val="0"/>
          <w:numId w:val="1003"/>
        </w:numPr>
        <w:pStyle w:val="Compact"/>
      </w:pPr>
      <w:r>
        <w:t xml:space="preserve">Nom du fichier :</w:t>
      </w:r>
      <w:r>
        <w:t xml:space="preserve"> </w:t>
      </w:r>
      <w:r>
        <w:rPr>
          <w:rStyle w:val="VerbatimChar"/>
        </w:rPr>
        <w:t xml:space="preserve">NomFichier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.csv</w:t>
      </w:r>
    </w:p>
    <w:p>
      <w:pPr>
        <w:numPr>
          <w:ilvl w:val="0"/>
          <w:numId w:val="1003"/>
        </w:numPr>
        <w:pStyle w:val="Compact"/>
      </w:pPr>
      <w:r>
        <w:t xml:space="preserve">Contenu du fichier :</w:t>
      </w:r>
      <w:r>
        <w:t xml:space="preserve"> </w:t>
      </w:r>
      <w:r>
        <w:rPr>
          <w:rStyle w:val="VerbatimChar"/>
        </w:rPr>
        <w:t xml:space="preserve">DonneesCSV</w:t>
      </w:r>
    </w:p>
    <w:p>
      <w:pPr>
        <w:pStyle w:val="FirstParagraph"/>
      </w:pPr>
      <w:r>
        <w:t xml:space="preserve">Renommez l’action :</w:t>
      </w:r>
      <w:r>
        <w:t xml:space="preserve"> </w:t>
      </w:r>
      <w:r>
        <w:rPr>
          <w:bCs/>
          <w:b/>
        </w:rPr>
        <w:t xml:space="preserve">Créer fichier Excel</w:t>
      </w:r>
      <w:r>
        <w:t xml:space="preserve">.</w:t>
      </w:r>
    </w:p>
    <w:bookmarkEnd w:id="23"/>
    <w:bookmarkStart w:id="24" w:name="Xc27dd09e1e959ec39023b341e92d4f3dab2ae49"/>
    <w:p>
      <w:pPr>
        <w:pStyle w:val="Heading3"/>
      </w:pPr>
      <w:r>
        <w:t xml:space="preserve">Étape 4 — OneDrive Entreprise « Créer un fichier » (fichier temporaire)</w:t>
      </w:r>
    </w:p>
    <w:p>
      <w:pPr>
        <w:numPr>
          <w:ilvl w:val="0"/>
          <w:numId w:val="1004"/>
        </w:numPr>
        <w:pStyle w:val="Compact"/>
      </w:pPr>
      <w:r>
        <w:t xml:space="preserve">Chemin d’accès du dossier :</w:t>
      </w:r>
      <w:r>
        <w:t xml:space="preserve"> </w:t>
      </w:r>
      <w:r>
        <w:rPr>
          <w:rStyle w:val="VerbatimChar"/>
        </w:rPr>
        <w:t xml:space="preserve">/AR_Temp</w:t>
      </w:r>
      <w:r>
        <w:t xml:space="preserve"> </w:t>
      </w:r>
      <w:r>
        <w:t xml:space="preserve">(créez ce dossier dans votre OneDrive au besoin)</w:t>
      </w:r>
    </w:p>
    <w:p>
      <w:pPr>
        <w:numPr>
          <w:ilvl w:val="0"/>
          <w:numId w:val="1004"/>
        </w:numPr>
        <w:pStyle w:val="Compact"/>
      </w:pPr>
      <w:r>
        <w:t xml:space="preserve">Nom du fichier :</w:t>
      </w:r>
      <w:r>
        <w:t xml:space="preserve"> </w:t>
      </w:r>
      <w:r>
        <w:rPr>
          <w:rStyle w:val="VerbatimChar"/>
        </w:rPr>
        <w:t xml:space="preserve">NomFichier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.html</w:t>
      </w:r>
    </w:p>
    <w:p>
      <w:pPr>
        <w:numPr>
          <w:ilvl w:val="0"/>
          <w:numId w:val="1004"/>
        </w:numPr>
        <w:pStyle w:val="Compact"/>
      </w:pPr>
      <w:r>
        <w:t xml:space="preserve">Contenu du fichier :</w:t>
      </w:r>
      <w:r>
        <w:t xml:space="preserve"> </w:t>
      </w:r>
      <w:r>
        <w:rPr>
          <w:rStyle w:val="VerbatimChar"/>
        </w:rPr>
        <w:t xml:space="preserve">RapportHTML</w:t>
      </w:r>
    </w:p>
    <w:p>
      <w:pPr>
        <w:pStyle w:val="FirstParagraph"/>
      </w:pPr>
      <w:r>
        <w:t xml:space="preserve">Renommez l’action :</w:t>
      </w:r>
      <w:r>
        <w:t xml:space="preserve"> </w:t>
      </w:r>
      <w:r>
        <w:rPr>
          <w:bCs/>
          <w:b/>
        </w:rPr>
        <w:t xml:space="preserve">Créer HTML temporaire</w:t>
      </w:r>
      <w:r>
        <w:t xml:space="preserve">.</w:t>
      </w:r>
    </w:p>
    <w:bookmarkEnd w:id="24"/>
    <w:bookmarkStart w:id="25" w:name="X668fde6994d2332f7bf1d4354002d154939d971"/>
    <w:p>
      <w:pPr>
        <w:pStyle w:val="Heading3"/>
      </w:pPr>
      <w:r>
        <w:t xml:space="preserve">Étape 5 — OneDrive Entreprise « Convertir un fichier »</w:t>
      </w:r>
    </w:p>
    <w:p>
      <w:pPr>
        <w:numPr>
          <w:ilvl w:val="0"/>
          <w:numId w:val="1005"/>
        </w:numPr>
        <w:pStyle w:val="Compact"/>
      </w:pPr>
      <w:r>
        <w:t xml:space="preserve">Fichier : contenu dynamique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de l’étape « Créer HTML temporaire »</w:t>
      </w:r>
    </w:p>
    <w:p>
      <w:pPr>
        <w:numPr>
          <w:ilvl w:val="0"/>
          <w:numId w:val="1005"/>
        </w:numPr>
        <w:pStyle w:val="Compact"/>
      </w:pPr>
      <w:r>
        <w:t xml:space="preserve">Type cible :</w:t>
      </w:r>
      <w:r>
        <w:t xml:space="preserve"> </w:t>
      </w:r>
      <w:r>
        <w:rPr>
          <w:bCs/>
          <w:b/>
        </w:rPr>
        <w:t xml:space="preserve">PDF</w:t>
      </w:r>
    </w:p>
    <w:p>
      <w:pPr>
        <w:pStyle w:val="FirstParagraph"/>
      </w:pPr>
      <w:r>
        <w:t xml:space="preserve">Renommez l’action :</w:t>
      </w:r>
      <w:r>
        <w:t xml:space="preserve"> </w:t>
      </w:r>
      <w:r>
        <w:rPr>
          <w:bCs/>
          <w:b/>
        </w:rPr>
        <w:t xml:space="preserve">Convertir en PDF</w:t>
      </w:r>
      <w:r>
        <w:t xml:space="preserve">.</w:t>
      </w:r>
    </w:p>
    <w:bookmarkEnd w:id="25"/>
    <w:bookmarkStart w:id="26" w:name="étape-6-sharepoint-créer-un-fichier-pdf"/>
    <w:p>
      <w:pPr>
        <w:pStyle w:val="Heading3"/>
      </w:pPr>
      <w:r>
        <w:t xml:space="preserve">Étape 6 — SharePoint « Créer un fichier » (PDF)</w:t>
      </w:r>
    </w:p>
    <w:p>
      <w:pPr>
        <w:numPr>
          <w:ilvl w:val="0"/>
          <w:numId w:val="1006"/>
        </w:numPr>
        <w:pStyle w:val="Compact"/>
      </w:pPr>
      <w:r>
        <w:t xml:space="preserve">Mêmes site et dossier qu’aux étapes 2 et 3</w:t>
      </w:r>
    </w:p>
    <w:p>
      <w:pPr>
        <w:numPr>
          <w:ilvl w:val="0"/>
          <w:numId w:val="1006"/>
        </w:numPr>
        <w:pStyle w:val="Compact"/>
      </w:pPr>
      <w:r>
        <w:t xml:space="preserve">Nom du fichier :</w:t>
      </w:r>
      <w:r>
        <w:t xml:space="preserve"> </w:t>
      </w:r>
      <w:r>
        <w:rPr>
          <w:rStyle w:val="VerbatimChar"/>
        </w:rPr>
        <w:t xml:space="preserve">NomFichier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</w:p>
    <w:p>
      <w:pPr>
        <w:numPr>
          <w:ilvl w:val="0"/>
          <w:numId w:val="1006"/>
        </w:numPr>
        <w:pStyle w:val="Compact"/>
      </w:pPr>
      <w:r>
        <w:t xml:space="preserve">Contenu du fichier :</w:t>
      </w:r>
      <w:r>
        <w:t xml:space="preserve"> </w:t>
      </w:r>
      <w:r>
        <w:rPr>
          <w:bCs/>
          <w:b/>
        </w:rPr>
        <w:t xml:space="preserve">Contenu du fichier</w:t>
      </w:r>
      <w:r>
        <w:t xml:space="preserve"> </w:t>
      </w:r>
      <w:r>
        <w:t xml:space="preserve">de l’étape « Convertir en PDF »</w:t>
      </w:r>
    </w:p>
    <w:p>
      <w:pPr>
        <w:pStyle w:val="FirstParagraph"/>
      </w:pPr>
      <w:r>
        <w:t xml:space="preserve">Renommez l’action :</w:t>
      </w:r>
      <w:r>
        <w:t xml:space="preserve"> </w:t>
      </w:r>
      <w:r>
        <w:rPr>
          <w:bCs/>
          <w:b/>
        </w:rPr>
        <w:t xml:space="preserve">Créer fichier PDF</w:t>
      </w:r>
      <w:r>
        <w:t xml:space="preserve">.</w:t>
      </w:r>
    </w:p>
    <w:bookmarkEnd w:id="26"/>
    <w:bookmarkStart w:id="27" w:name="X1fcec88d58d1687df3e59e1bdc1cb6315697e8b"/>
    <w:p>
      <w:pPr>
        <w:pStyle w:val="Heading3"/>
      </w:pPr>
      <w:r>
        <w:t xml:space="preserve">Étape 7 — OneDrive Entreprise « Supprimer un fichier »</w:t>
      </w:r>
    </w:p>
    <w:p>
      <w:pPr>
        <w:numPr>
          <w:ilvl w:val="0"/>
          <w:numId w:val="1007"/>
        </w:numPr>
        <w:pStyle w:val="Compact"/>
      </w:pPr>
      <w:r>
        <w:t xml:space="preserve">Fichier :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de l’étape « Créer HTML temporaire » (nettoyage du fichier temporaire)</w:t>
      </w:r>
    </w:p>
    <w:bookmarkEnd w:id="27"/>
    <w:bookmarkStart w:id="28" w:name="X06dbbf8d2f4085540b2216c8332940a5ce86f31"/>
    <w:p>
      <w:pPr>
        <w:pStyle w:val="Heading3"/>
      </w:pPr>
      <w:r>
        <w:t xml:space="preserve">Étape 8 — Office 365 Outlook « Envoyer un e-mail (V2) »</w:t>
      </w:r>
    </w:p>
    <w:p>
      <w:pPr>
        <w:numPr>
          <w:ilvl w:val="0"/>
          <w:numId w:val="1008"/>
        </w:numPr>
        <w:pStyle w:val="Compact"/>
      </w:pPr>
      <w:r>
        <w:t xml:space="preserve">À : adresse(s) des responsables SST (séparées par « ; »)</w:t>
      </w:r>
    </w:p>
    <w:p>
      <w:pPr>
        <w:numPr>
          <w:ilvl w:val="0"/>
          <w:numId w:val="1008"/>
        </w:numPr>
        <w:pStyle w:val="Compact"/>
      </w:pPr>
      <w:r>
        <w:t xml:space="preserve">Objet :</w:t>
      </w:r>
      <w:r>
        <w:t xml:space="preserve"> </w:t>
      </w:r>
      <w:r>
        <w:rPr>
          <w:rStyle w:val="VerbatimChar"/>
        </w:rPr>
        <w:t xml:space="preserve">Nouvelle analyse de risques SST 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NomFichier</w:t>
      </w:r>
    </w:p>
    <w:p>
      <w:pPr>
        <w:numPr>
          <w:ilvl w:val="0"/>
          <w:numId w:val="1008"/>
        </w:numPr>
        <w:pStyle w:val="Compact"/>
      </w:pPr>
      <w:r>
        <w:t xml:space="preserve">Corps : par exemple</w:t>
      </w:r>
      <w:r>
        <w:t xml:space="preserve"> </w:t>
      </w:r>
      <w:r>
        <w:t xml:space="preserve">« Une nouvelle analyse de risques a été déposée dans la bibliothèque</w:t>
      </w:r>
      <w:r>
        <w:t xml:space="preserve"> </w:t>
      </w:r>
      <w:r>
        <w:rPr>
          <w:iCs/>
          <w:i/>
        </w:rPr>
        <w:t xml:space="preserve">Analyse de risque</w:t>
      </w:r>
      <w:r>
        <w:t xml:space="preserve"> </w:t>
      </w:r>
      <w:r>
        <w:t xml:space="preserve">du site RH SST Analyse de risque. Le rapport PDF est joint. »</w:t>
      </w:r>
    </w:p>
    <w:p>
      <w:pPr>
        <w:numPr>
          <w:ilvl w:val="0"/>
          <w:numId w:val="1008"/>
        </w:numPr>
        <w:pStyle w:val="Compact"/>
      </w:pPr>
      <w:r>
        <w:t xml:space="preserve">Pièces jointes (Afficher les paramètres avancés) :</w:t>
      </w:r>
    </w:p>
    <w:p>
      <w:pPr>
        <w:numPr>
          <w:ilvl w:val="1"/>
          <w:numId w:val="1009"/>
        </w:numPr>
        <w:pStyle w:val="Compact"/>
      </w:pPr>
      <w:r>
        <w:t xml:space="preserve">Nom :</w:t>
      </w:r>
      <w:r>
        <w:t xml:space="preserve"> </w:t>
      </w:r>
      <w:r>
        <w:rPr>
          <w:rStyle w:val="VerbatimChar"/>
        </w:rPr>
        <w:t xml:space="preserve">NomFichier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</w:p>
    <w:p>
      <w:pPr>
        <w:numPr>
          <w:ilvl w:val="1"/>
          <w:numId w:val="1009"/>
        </w:numPr>
        <w:pStyle w:val="Compact"/>
      </w:pPr>
      <w:r>
        <w:t xml:space="preserve">Contenu :</w:t>
      </w:r>
      <w:r>
        <w:t xml:space="preserve"> </w:t>
      </w:r>
      <w:r>
        <w:rPr>
          <w:bCs/>
          <w:b/>
        </w:rPr>
        <w:t xml:space="preserve">Contenu du fichier</w:t>
      </w:r>
      <w:r>
        <w:t xml:space="preserve"> </w:t>
      </w:r>
      <w:r>
        <w:t xml:space="preserve">de l’étape « Convertir en PDF »</w:t>
      </w:r>
    </w:p>
    <w:bookmarkEnd w:id="28"/>
    <w:bookmarkStart w:id="29" w:name="X3baa94693f36775f47a29a1b6391efe1bbf6b97"/>
    <w:p>
      <w:pPr>
        <w:pStyle w:val="Heading3"/>
      </w:pPr>
      <w:r>
        <w:t xml:space="preserve">Étape 9 — « Répondre à une application ou à un flux PowerApp »</w:t>
      </w:r>
    </w:p>
    <w:p>
      <w:pPr>
        <w:numPr>
          <w:ilvl w:val="0"/>
          <w:numId w:val="1010"/>
        </w:numPr>
        <w:pStyle w:val="Compact"/>
      </w:pPr>
      <w:r>
        <w:t xml:space="preserve">Ajoutez une sortie</w:t>
      </w:r>
      <w:r>
        <w:t xml:space="preserve"> </w:t>
      </w:r>
      <w:r>
        <w:rPr>
          <w:bCs/>
          <w:b/>
        </w:rPr>
        <w:t xml:space="preserve">Texte</w:t>
      </w:r>
      <w:r>
        <w:t xml:space="preserve"> </w:t>
      </w:r>
      <w:r>
        <w:t xml:space="preserve">nommée</w:t>
      </w:r>
      <w:r>
        <w:t xml:space="preserve"> </w:t>
      </w:r>
      <w:r>
        <w:rPr>
          <w:rStyle w:val="VerbatimChar"/>
        </w:rPr>
        <w:t xml:space="preserve">Resultat</w:t>
      </w:r>
      <w:r>
        <w:t xml:space="preserve"> </w:t>
      </w:r>
      <w:r>
        <w:t xml:space="preserve">avec la valeur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Enregistrez</w:t>
      </w:r>
      <w:r>
        <w:t xml:space="preserve"> </w:t>
      </w:r>
      <w:r>
        <w:t xml:space="preserve">le flux, puis ajoutez-le à l’application (voir le guide, étape 5).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épannage-du-flux"/>
    <w:p>
      <w:pPr>
        <w:pStyle w:val="Heading2"/>
      </w:pPr>
      <w:r>
        <w:t xml:space="preserve">Dépannage du flux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Symptôme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ARExporterAnalyse n’est pas reconnu » dans Power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flux n’a pas été ajouté à l’application (volet Power Automate → Ajouter un flux) ou il porte un autre nom.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 « Le fichier existe déjà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analyse du même service a déjà été envoyée à la même date. Dans chaque action « Créer un fichier » SharePoint, vous pouvez ajouter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utcNow('HHmmss')</w:t>
            </w:r>
            <w:r>
              <w:t xml:space="preserve"> </w:t>
            </w:r>
            <w:r>
              <w:t xml:space="preserve">au nom, ou supprimer l’ancien fichier.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Accents illisibles dans le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fichier commence par un BOM UTF-8 ; ouvrez-le par double-clic dans Excel. Sinon : Excel → Données → À partir d’un fichier texte/CSV → Origine 65001 UTF-8.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vide ou mise en page tronquée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pour les grilles très larges : le PDF est en portrait. Le fichier CSV contient toutes les données.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flux a modifié des entrées après un changement dans Power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Power Apps, volet Power Automate → « … » à côté du flux →</w:t>
            </w:r>
            <w:r>
              <w:t xml:space="preserve"> </w:t>
            </w:r>
            <w:r>
              <w:rPr>
                <w:bCs/>
                <w:b/>
              </w:rPr>
              <w:t xml:space="preserve">Actualiser</w:t>
            </w:r>
            <w:r>
              <w:t xml:space="preserve">.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ake.powerautomat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ake.powerautomat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2026-10-27T22:57:08Z</dcterms:created>
  <dcterms:modified xsi:type="dcterms:W3CDTF">2026-10-27T22:57:08Z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