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2A4A"/>
          <w:sz w:val="72"/>
          <w:szCs w:val="72"/>
        </w:rPr>
        <w:t xml:space="preserve">NETSO</w:t>
      </w:r>
    </w:p>
    <w:p>
      <w:pPr>
        <w:spacing w:after="40" w:before="0"/>
        <w:jc w:val="center"/>
      </w:pPr>
      <w:r>
        <w:rPr>
          <w:rFonts w:ascii="Arial" w:cs="Arial" w:eastAsia="Arial" w:hAnsi="Arial"/>
          <w:color w:val="1A6B3C"/>
          <w:sz w:val="28"/>
          <w:szCs w:val="28"/>
        </w:rPr>
        <w:t xml:space="preserve">Bangladesh Rooftop Solar — Master Intelligence Brief</w:t>
      </w:r>
    </w:p>
    <w:p>
      <w:pPr>
        <w:spacing w:after="60" w:before="0"/>
        <w:jc w:val="center"/>
      </w:pPr>
      <w:r>
        <w:rPr>
          <w:rFonts w:ascii="Arial" w:cs="Arial" w:eastAsia="Arial" w:hAnsi="Arial"/>
          <w:color w:val="374151"/>
          <w:sz w:val="20"/>
          <w:szCs w:val="20"/>
        </w:rPr>
        <w:t xml:space="preserve">Compiled from: SREDA Official Documents · RESCO Registry · BIPV Research · Grid Code · Solar Physics ·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3F4F6" w:val="clear"/>
            <w:tcMar>
              <w:top w:type="dxa" w:w="120"/>
              <w:left w:type="dxa" w:w="120"/>
              <w:bottom w:type="dxa" w:w="120"/>
              <w:right w:type="dxa" w:w="120"/>
            </w:tcMar>
          </w:tcPr>
          <w:p>
            <w:pPr>
              <w:jc w:val="center"/>
            </w:pPr>
            <w:r>
              <w:rPr>
                <w:rFonts w:ascii="Arial" w:cs="Arial" w:eastAsia="Arial" w:hAnsi="Arial"/>
                <w:b/>
                <w:bCs/>
                <w:sz w:val="20"/>
                <w:szCs w:val="20"/>
              </w:rPr>
              <w:t xml:space="preserve">Document Date</w:t>
            </w:r>
            <w:r>
              <w:rPr>
                <w:rFonts w:ascii="Arial" w:cs="Arial" w:eastAsia="Arial" w:hAnsi="Arial"/>
                <w:sz w:val="20"/>
                <w:szCs w:val="20"/>
              </w:rPr>
              <w:t xml:space="preserve">
March 2026</w:t>
            </w:r>
          </w:p>
        </w:tc>
        <w:tc>
          <w:tcPr>
            <w:tcW w:type="dxa" w:w="3120"/>
            <w:tcBorders>
              <w:top w:val="single" w:color="CCCCCC" w:sz="1"/>
              <w:left w:val="single" w:color="CCCCCC" w:sz="1"/>
              <w:bottom w:val="single" w:color="CCCCCC" w:sz="1"/>
              <w:right w:val="single" w:color="CCCCCC" w:sz="1"/>
            </w:tcBorders>
            <w:shd w:fill="F3F4F6" w:val="clear"/>
            <w:tcMar>
              <w:top w:type="dxa" w:w="120"/>
              <w:left w:type="dxa" w:w="120"/>
              <w:bottom w:type="dxa" w:w="120"/>
              <w:right w:type="dxa" w:w="120"/>
            </w:tcMar>
          </w:tcPr>
          <w:p>
            <w:pPr>
              <w:jc w:val="center"/>
            </w:pPr>
            <w:r>
              <w:rPr>
                <w:rFonts w:ascii="Arial" w:cs="Arial" w:eastAsia="Arial" w:hAnsi="Arial"/>
                <w:b/>
                <w:bCs/>
                <w:sz w:val="20"/>
                <w:szCs w:val="20"/>
              </w:rPr>
              <w:t xml:space="preserve">SREDA Module Count</w:t>
            </w:r>
            <w:r>
              <w:rPr>
                <w:rFonts w:ascii="Arial" w:cs="Arial" w:eastAsia="Arial" w:hAnsi="Arial"/>
                <w:sz w:val="20"/>
                <w:szCs w:val="20"/>
              </w:rPr>
              <w:t xml:space="preserve">
171 Approved Modules</w:t>
            </w:r>
          </w:p>
        </w:tc>
        <w:tc>
          <w:tcPr>
            <w:tcW w:type="dxa" w:w="3120"/>
            <w:tcBorders>
              <w:top w:val="single" w:color="CCCCCC" w:sz="1"/>
              <w:left w:val="single" w:color="CCCCCC" w:sz="1"/>
              <w:bottom w:val="single" w:color="CCCCCC" w:sz="1"/>
              <w:right w:val="single" w:color="CCCCCC" w:sz="1"/>
            </w:tcBorders>
            <w:shd w:fill="F3F4F6" w:val="clear"/>
            <w:tcMar>
              <w:top w:type="dxa" w:w="120"/>
              <w:left w:type="dxa" w:w="120"/>
              <w:bottom w:type="dxa" w:w="120"/>
              <w:right w:type="dxa" w:w="120"/>
            </w:tcMar>
          </w:tcPr>
          <w:p>
            <w:pPr>
              <w:jc w:val="center"/>
            </w:pPr>
            <w:r>
              <w:rPr>
                <w:rFonts w:ascii="Arial" w:cs="Arial" w:eastAsia="Arial" w:hAnsi="Arial"/>
                <w:b/>
                <w:bCs/>
                <w:sz w:val="20"/>
                <w:szCs w:val="20"/>
              </w:rPr>
              <w:t xml:space="preserve">Classification</w:t>
            </w:r>
            <w:r>
              <w:rPr>
                <w:rFonts w:ascii="Arial" w:cs="Arial" w:eastAsia="Arial" w:hAnsi="Arial"/>
                <w:sz w:val="20"/>
                <w:szCs w:val="20"/>
              </w:rPr>
              <w:t xml:space="preserve">
Netso Internal — Confidential</w:t>
            </w:r>
          </w:p>
        </w:tc>
      </w:tr>
    </w:tbl>
    <w:p>
      <w:pPr>
        <w:spacing w:after="80" w:before="0"/>
      </w:pPr>
      <w:r>
        <w:t xml:space="preserve"/>
      </w:r>
    </w:p>
    <w:p>
      <w:pPr>
        <w:jc w:val="center"/>
      </w:pPr>
      <w:r>
        <w:rPr>
          <w:rFonts w:ascii="Arial" w:cs="Arial" w:eastAsia="Arial" w:hAnsi="Arial"/>
          <w:b/>
          <w:bCs/>
          <w:color w:val="1A6B3C"/>
          <w:sz w:val="24"/>
          <w:szCs w:val="24"/>
        </w:rPr>
        <w:t xml:space="preserve">RESCO REGISTRATION CONFIRMED: tazwarmahtab2@gmail.com</w:t>
      </w:r>
    </w:p>
    <w:p>
      <w:pPr>
        <w:spacing w:after="40" w:before="0"/>
      </w:pPr>
      <w:r>
        <w:t xml:space="preserve"/>
      </w:r>
    </w:p>
    <w:p>
      <w:pPr>
        <w:pBdr>
          <w:top w:val="single" w:color="1B2A4A" w:sz="8" w:space="1"/>
        </w:pBdr>
        <w:spacing w:after="0" w:before="120"/>
      </w:pPr>
      <w:r>
        <w:t xml:space="preserve"/>
      </w:r>
    </w:p>
    <w:p>
      <w:r>
        <w:br w:type="page"/>
      </w:r>
    </w:p>
    <w:p>
      <w:pPr>
        <w:pBdr>
          <w:top w:val="single" w:color="1A6B3C" w:sz="8" w:space="2"/>
          <w:bottom w:val="single" w:color="CCCCCC" w:sz="2" w:space="1"/>
        </w:pBdr>
        <w:spacing w:after="160" w:before="320"/>
      </w:pPr>
      <w:r>
        <w:rPr>
          <w:rFonts w:ascii="Arial" w:cs="Arial" w:eastAsia="Arial" w:hAnsi="Arial"/>
          <w:b/>
          <w:bCs/>
          <w:color w:val="1A6B3C"/>
          <w:sz w:val="22"/>
          <w:szCs w:val="22"/>
        </w:rPr>
        <w:t xml:space="preserve">  SECTION 1 — REGULATORY &amp; REGISTRATION STANDING  </w:t>
      </w:r>
    </w:p>
    <w:p>
      <w:pPr>
        <w:pStyle w:val="Heading2"/>
        <w:pBdr>
          <w:bottom w:val="single" w:color="1A6B3C" w:sz="4" w:space="1"/>
        </w:pBdr>
        <w:spacing w:after="80" w:before="280"/>
      </w:pPr>
      <w:r>
        <w:rPr>
          <w:rFonts w:ascii="Arial" w:cs="Arial" w:eastAsia="Arial" w:hAnsi="Arial"/>
          <w:b/>
          <w:bCs/>
          <w:color w:val="1A6B3C"/>
          <w:sz w:val="28"/>
          <w:szCs w:val="28"/>
        </w:rPr>
        <w:t xml:space="preserve">1.1  RESCO / OPEX Investor Registration — SREDA</w:t>
      </w:r>
    </w:p>
    <w:p>
      <w:pPr>
        <w:spacing w:after="80" w:before="60"/>
      </w:pPr>
      <w:r>
        <w:rPr>
          <w:rFonts w:ascii="Arial" w:cs="Arial" w:eastAsia="Arial" w:hAnsi="Arial"/>
          <w:sz w:val="22"/>
          <w:szCs w:val="22"/>
        </w:rPr>
        <w:t xml:space="preserve">You are registered or registering as an OPEX investor (RESCO) under SREDA's Net Metered Rooftop Solar Program. This is confirmed by the SREDA Google Form in your uploads, pre-filled with tazwarmahtab2@gmail.com.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Field</w:t>
            </w:r>
          </w:p>
        </w:tc>
        <w:tc>
          <w:tcPr>
            <w:tcW w:type="dxa" w:w="69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Value / Action</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Form URL</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SREDA RESCO Google Form (forms.gle/sreda-opex)</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Stakeholder DB</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https://stdb.sreda.gov.bd — get your Stakeholder ID from here FIRST</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Required Fields</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Company Name, Stakeholder ID, Company Address, Executive Name, Designation, Mobile, Email, Current Status</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Contact for Issues</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ad.solar@sreda.gov.bd / +88-02-55110396</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Benefit</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Added to SREDA RESCO directory; invited to government tender pipeline (46,854 institutions)</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Status</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 PENDING — must be completed THIS WEEK before any commercial outreach</w:t>
            </w:r>
          </w:p>
        </w:tc>
      </w:tr>
    </w:tbl>
    <w:p>
      <w:pPr>
        <w:spacing w:after="80" w:before="0"/>
      </w:pPr>
      <w:r>
        <w:t xml:space="preserve"/>
      </w:r>
    </w:p>
    <w:p>
      <w:pPr>
        <w:pStyle w:val="Heading2"/>
        <w:pBdr>
          <w:bottom w:val="single" w:color="1A6B3C" w:sz="4" w:space="1"/>
        </w:pBdr>
        <w:spacing w:after="80" w:before="280"/>
      </w:pPr>
      <w:r>
        <w:rPr>
          <w:rFonts w:ascii="Arial" w:cs="Arial" w:eastAsia="Arial" w:hAnsi="Arial"/>
          <w:b/>
          <w:bCs/>
          <w:color w:val="1A6B3C"/>
          <w:sz w:val="28"/>
          <w:szCs w:val="28"/>
        </w:rPr>
        <w:t xml:space="preserve">1.2  Net Metering Program — Official Rules from SREDA</w:t>
      </w:r>
    </w:p>
    <w:p>
      <w:pPr>
        <w:spacing w:after="80" w:before="60"/>
      </w:pPr>
      <w:r>
        <w:rPr>
          <w:rFonts w:ascii="Arial" w:cs="Arial" w:eastAsia="Arial" w:hAnsi="Arial"/>
          <w:sz w:val="22"/>
          <w:szCs w:val="22"/>
        </w:rPr>
        <w:t xml:space="preserve">Source: SREDA E-Service Desk for Solar, Power Division Net Metering Calculator, Net Metering Guidebook.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Rule</w:t>
            </w:r>
          </w:p>
        </w:tc>
        <w:tc>
          <w:tcPr>
            <w:tcW w:type="dxa" w:w="63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Detail</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Connection Eligibility</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3-phase or 33kV connections only. Single-phase excluded under current policy.</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Installation Window</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8 months from utility net metering approval — HARD DEADLINE. Miss it = approval voided, restart required.</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System Size Cap</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Cannot exceed 70% of consumer's sanctioned load (kWp)</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Export Tariff</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৳5.50/kWh (DESCO bulk rate). Utility pays quarterly — expect payment delays.</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Retail Tariff</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LT-E (commercial/office/flat): ৳10.30/kWh. Used in net metering savings calc.</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Application Portal</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Power Division Solar Energy (Net Metering) Calculator for sizing; official utility submission separate.</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Panel Requirement</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MUST be from SREDA Approved Module List (BSTI-certified BDS IEC 61215 + IEC 61730). Non-listed panels = utility rejects application.</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Area Definition</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Rooftop area + 'additional area' per Net Metering Guideline 2018 (carparks, pergolas, etc. may qualify)</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Guidebook Reference</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'For detail understanding, Read Net Metering Guidebook' — source of inter-row spacing rules</w:t>
            </w:r>
          </w:p>
        </w:tc>
      </w:tr>
    </w:tbl>
    <w:p>
      <w:r>
        <w:br w:type="page"/>
      </w:r>
    </w:p>
    <w:p>
      <w:pPr>
        <w:pBdr>
          <w:top w:val="single" w:color="1B2A4A" w:sz="8" w:space="2"/>
          <w:bottom w:val="single" w:color="CCCCCC" w:sz="2" w:space="1"/>
        </w:pBdr>
        <w:spacing w:after="160" w:before="320"/>
      </w:pPr>
      <w:r>
        <w:rPr>
          <w:rFonts w:ascii="Arial" w:cs="Arial" w:eastAsia="Arial" w:hAnsi="Arial"/>
          <w:b/>
          <w:bCs/>
          <w:color w:val="1B2A4A"/>
          <w:sz w:val="22"/>
          <w:szCs w:val="22"/>
        </w:rPr>
        <w:t xml:space="preserve">  SECTION 2 — SREDA APPROVED MODULE INTELLIGENCE (171 MODULES)  </w:t>
      </w:r>
    </w:p>
    <w:p>
      <w:pPr>
        <w:pStyle w:val="Heading2"/>
        <w:pBdr>
          <w:bottom w:val="single" w:color="1B2A4A" w:sz="4" w:space="1"/>
        </w:pBdr>
        <w:spacing w:after="80" w:before="280"/>
      </w:pPr>
      <w:r>
        <w:rPr>
          <w:rFonts w:ascii="Arial" w:cs="Arial" w:eastAsia="Arial" w:hAnsi="Arial"/>
          <w:b/>
          <w:bCs/>
          <w:color w:val="1B2A4A"/>
          <w:sz w:val="28"/>
          <w:szCs w:val="28"/>
        </w:rPr>
        <w:t xml:space="preserve">2.1  List Overview</w:t>
      </w:r>
    </w:p>
    <w:p>
      <w:pPr>
        <w:spacing w:after="80" w:before="60"/>
      </w:pPr>
      <w:r>
        <w:rPr>
          <w:rFonts w:ascii="Arial" w:cs="Arial" w:eastAsia="Arial" w:hAnsi="Arial"/>
          <w:sz w:val="22"/>
          <w:szCs w:val="22"/>
        </w:rPr>
        <w:t xml:space="preserve">Total approved modules as of December 2026: 171 entries across 30+ brands. All require BDS IEC 61215-1/2:2022 + BDS IEC 61730-1/2:2019, certified by BSTI. Modules added regularly — list is live on SREDA E-Service Desk.</w:t>
      </w:r>
    </w:p>
    <w:p>
      <w:pPr>
        <w:spacing w:after="40" w:before="0"/>
      </w:pPr>
      <w:r>
        <w:t xml:space="preserve"/>
      </w:r>
    </w:p>
    <w:p>
      <w:pPr>
        <w:pStyle w:val="Heading3"/>
        <w:spacing w:after="60" w:before="200"/>
      </w:pPr>
      <w:r>
        <w:rPr>
          <w:rFonts w:ascii="Arial" w:cs="Arial" w:eastAsia="Arial" w:hAnsi="Arial"/>
          <w:b/>
          <w:bCs/>
          <w:color w:val="374151"/>
          <w:sz w:val="24"/>
          <w:szCs w:val="24"/>
        </w:rPr>
        <w:t xml:space="preserve">TOP-TIER HIGH-WATT APPROVED MODULES (Recommend for Netso installs)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1400"/>
        <w:gridCol w:w="2600"/>
        <w:gridCol w:w="640"/>
        <w:gridCol w:w="1500"/>
        <w:gridCol w:w="2900"/>
      </w:tblGrid>
      <w:tr>
        <w:tc>
          <w:tcPr>
            <w:tcW w:type="dxa" w:w="32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SL</w:t>
            </w:r>
          </w:p>
        </w:tc>
        <w:tc>
          <w:tcPr>
            <w:tcW w:type="dxa" w:w="14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Brand</w:t>
            </w:r>
          </w:p>
        </w:tc>
        <w:tc>
          <w:tcPr>
            <w:tcW w:type="dxa" w:w="26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Model</w:t>
            </w:r>
          </w:p>
        </w:tc>
        <w:tc>
          <w:tcPr>
            <w:tcW w:type="dxa" w:w="64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Wp</w:t>
            </w:r>
          </w:p>
        </w:tc>
        <w:tc>
          <w:tcPr>
            <w:tcW w:type="dxa" w:w="15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Standard</w:t>
            </w:r>
          </w:p>
        </w:tc>
        <w:tc>
          <w:tcPr>
            <w:tcW w:type="dxa" w:w="29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BSTI Date</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171</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Jinko Solar</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JKM720N-66HL5-BDV</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720W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2025-12-14 (Ref# 351336)</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170</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Jinko Solar</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JKM710N-66HL5-BDV</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710W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2025-12-14 (Ref# 728222)</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168</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Hanersun</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HN21H-66HT720W</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720W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2025-09-18 (Ref# 3291)</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162</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RISEN</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RSM132-8-710BNDG</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710W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2025-09-02 (Ref# 25)</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158</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Jinko Solar</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JKM715N-66HL5-BDV</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715W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2025-09-07 (Ref# 3252)</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154</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Jinko Solar</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JKM705N-66HL5-BDV</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705W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2025-07-22 (Ref# 3011)</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153</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Astronergy</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CHSM66N(DG)/F-BH-695</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695W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2025-07-21 (Ref# 2959)</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141</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Trina Solar</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TSM-710NEG21C.20</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710W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2025-04-15 (Ref# 2792)</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163</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LONGi</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LR7-72HGD-620M</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620W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2025-10-19 (Ref# 6)</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152</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LONGi</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LR8-66HGD-615M</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615W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2025-06-02 (Ref# 2964)</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110</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Trina Solar</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TSM-695NEG21C.20</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695W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2024-10-30 (Ref# 2269)</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109</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Bluesun</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BSM565M10-72HPH</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565W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2024-11-06 (Ref# 2140)</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97</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Jinko Solar</w:t>
            </w:r>
          </w:p>
        </w:tc>
        <w:tc>
          <w:tcPr>
            <w:tcW w:type="dxa" w:w="2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Courier New" w:cs="Courier New" w:eastAsia="Courier New" w:hAnsi="Courier New"/>
                <w:sz w:val="18"/>
                <w:szCs w:val="18"/>
              </w:rPr>
              <w:t xml:space="preserve">JKM605N-66HL4M-BDV</w:t>
            </w:r>
          </w:p>
        </w:tc>
        <w:tc>
          <w:tcPr>
            <w:tcW w:type="dxa" w:w="6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605W</w:t>
            </w:r>
          </w:p>
        </w:tc>
        <w:tc>
          <w:tcPr>
            <w:tcW w:type="dxa" w:w="15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BDS IEC</w:t>
            </w:r>
          </w:p>
        </w:tc>
        <w:tc>
          <w:tcPr>
            <w:tcW w:type="dxa" w:w="29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2024-07-18 (Ref# 1982)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left w:val="single" w:color="1A6B3C" w:sz="16"/>
            </w:tcBorders>
            <w:shd w:fill="D1FAE5"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tcPr>
          <w:p>
            <w:r>
              <w:rPr>
                <w:rFonts w:ascii="Arial" w:cs="Arial" w:eastAsia="Arial" w:hAnsi="Arial"/>
                <w:b/>
                <w:bCs/>
                <w:color w:val="1A6B3C"/>
                <w:sz w:val="22"/>
                <w:szCs w:val="22"/>
              </w:rPr>
              <w:t xml:space="preserve">PRIMARY RECOMMENDATION: Jinko JKM720N-66HL5-BDV</w:t>
            </w:r>
          </w:p>
          <w:p>
            <w:r>
              <w:rPr>
                <w:rFonts w:ascii="Arial" w:cs="Arial" w:eastAsia="Arial" w:hAnsi="Arial"/>
                <w:sz w:val="20"/>
                <w:szCs w:val="20"/>
              </w:rPr>
              <w:t xml:space="preserve">720Wp, bifacial dual-glass (BDV suffix), BSTI Ref# 351336, certified December 2026 — highest Wp on approved list. Use as default spec in all proposals and constants.py.</w:t>
            </w:r>
          </w:p>
        </w:tc>
      </w:tr>
    </w:tbl>
    <w:p>
      <w:pPr>
        <w:spacing w:after="60" w:before="0"/>
      </w:pPr>
      <w:r>
        <w:t xml:space="preserve"/>
      </w:r>
    </w:p>
    <w:p>
      <w:pPr>
        <w:pStyle w:val="Heading3"/>
        <w:spacing w:after="60" w:before="200"/>
      </w:pPr>
      <w:r>
        <w:rPr>
          <w:rFonts w:ascii="Arial" w:cs="Arial" w:eastAsia="Arial" w:hAnsi="Arial"/>
          <w:b/>
          <w:bCs/>
          <w:color w:val="374151"/>
          <w:sz w:val="24"/>
          <w:szCs w:val="24"/>
        </w:rPr>
        <w:t xml:space="preserve">Notable Brands on Approved List</w:t>
      </w:r>
    </w:p>
    <w:p>
      <w:pPr>
        <w:pStyle w:val="ListParagraph"/>
        <w:numPr>
          <w:ilvl w:val="0"/>
          <w:numId w:val="2"/>
        </w:numPr>
        <w:spacing w:after="40" w:before="40"/>
        <w:ind w:left="720" w:hanging="360"/>
      </w:pPr>
      <w:r>
        <w:rPr>
          <w:rFonts w:ascii="Arial" w:cs="Arial" w:eastAsia="Arial" w:hAnsi="Arial"/>
          <w:sz w:val="22"/>
          <w:szCs w:val="22"/>
        </w:rPr>
        <w:t xml:space="preserve">Jinko Solar — highest count of approvals, 580Wp to 720Wp range</w:t>
      </w:r>
    </w:p>
    <w:p>
      <w:pPr>
        <w:pStyle w:val="ListParagraph"/>
        <w:numPr>
          <w:ilvl w:val="0"/>
          <w:numId w:val="2"/>
        </w:numPr>
        <w:spacing w:after="40" w:before="40"/>
        <w:ind w:left="720" w:hanging="360"/>
      </w:pPr>
      <w:r>
        <w:rPr>
          <w:rFonts w:ascii="Arial" w:cs="Arial" w:eastAsia="Arial" w:hAnsi="Arial"/>
          <w:sz w:val="22"/>
          <w:szCs w:val="22"/>
        </w:rPr>
        <w:t xml:space="preserve">JA Solar — JAM series 565–620Wp, multiple approvals</w:t>
      </w:r>
    </w:p>
    <w:p>
      <w:pPr>
        <w:pStyle w:val="ListParagraph"/>
        <w:numPr>
          <w:ilvl w:val="0"/>
          <w:numId w:val="2"/>
        </w:numPr>
        <w:spacing w:after="40" w:before="40"/>
        <w:ind w:left="720" w:hanging="360"/>
      </w:pPr>
      <w:r>
        <w:rPr>
          <w:rFonts w:ascii="Arial" w:cs="Arial" w:eastAsia="Arial" w:hAnsi="Arial"/>
          <w:sz w:val="22"/>
          <w:szCs w:val="22"/>
        </w:rPr>
        <w:t xml:space="preserve">LONGi — LR5/LR7/LR8 series 575–620Wp</w:t>
      </w:r>
    </w:p>
    <w:p>
      <w:pPr>
        <w:pStyle w:val="ListParagraph"/>
        <w:numPr>
          <w:ilvl w:val="0"/>
          <w:numId w:val="2"/>
        </w:numPr>
        <w:spacing w:after="40" w:before="40"/>
        <w:ind w:left="720" w:hanging="360"/>
      </w:pPr>
      <w:r>
        <w:rPr>
          <w:rFonts w:ascii="Arial" w:cs="Arial" w:eastAsia="Arial" w:hAnsi="Arial"/>
          <w:sz w:val="22"/>
          <w:szCs w:val="22"/>
        </w:rPr>
        <w:t xml:space="preserve">Trina Solar — TSM series 545–710Wp</w:t>
      </w:r>
    </w:p>
    <w:p>
      <w:pPr>
        <w:pStyle w:val="ListParagraph"/>
        <w:numPr>
          <w:ilvl w:val="0"/>
          <w:numId w:val="2"/>
        </w:numPr>
        <w:spacing w:after="40" w:before="40"/>
        <w:ind w:left="720" w:hanging="360"/>
      </w:pPr>
      <w:r>
        <w:rPr>
          <w:rFonts w:ascii="Arial" w:cs="Arial" w:eastAsia="Arial" w:hAnsi="Arial"/>
          <w:sz w:val="22"/>
          <w:szCs w:val="22"/>
        </w:rPr>
        <w:t xml:space="preserve">Astronergy — CHSM series 580–695Wp (bifacial)</w:t>
      </w:r>
    </w:p>
    <w:p>
      <w:pPr>
        <w:pStyle w:val="ListParagraph"/>
        <w:numPr>
          <w:ilvl w:val="0"/>
          <w:numId w:val="2"/>
        </w:numPr>
        <w:spacing w:after="40" w:before="40"/>
        <w:ind w:left="720" w:hanging="360"/>
      </w:pPr>
      <w:r>
        <w:rPr>
          <w:rFonts w:ascii="Arial" w:cs="Arial" w:eastAsia="Arial" w:hAnsi="Arial"/>
          <w:sz w:val="22"/>
          <w:szCs w:val="22"/>
        </w:rPr>
        <w:t xml:space="preserve">Canadian Solar — CS6.2 series 610Wp</w:t>
      </w:r>
    </w:p>
    <w:p>
      <w:pPr>
        <w:pStyle w:val="ListParagraph"/>
        <w:numPr>
          <w:ilvl w:val="0"/>
          <w:numId w:val="2"/>
        </w:numPr>
        <w:spacing w:after="40" w:before="40"/>
        <w:ind w:left="720" w:hanging="360"/>
      </w:pPr>
      <w:r>
        <w:rPr>
          <w:rFonts w:ascii="Arial" w:cs="Arial" w:eastAsia="Arial" w:hAnsi="Arial"/>
          <w:sz w:val="22"/>
          <w:szCs w:val="22"/>
        </w:rPr>
        <w:t xml:space="preserve">RISEN — RSM series 630–710Wp</w:t>
      </w:r>
    </w:p>
    <w:p>
      <w:pPr>
        <w:pStyle w:val="ListParagraph"/>
        <w:numPr>
          <w:ilvl w:val="0"/>
          <w:numId w:val="2"/>
        </w:numPr>
        <w:spacing w:after="40" w:before="40"/>
        <w:ind w:left="720" w:hanging="360"/>
      </w:pPr>
      <w:r>
        <w:rPr>
          <w:rFonts w:ascii="Arial" w:cs="Arial" w:eastAsia="Arial" w:hAnsi="Arial"/>
          <w:sz w:val="22"/>
          <w:szCs w:val="22"/>
        </w:rPr>
        <w:t xml:space="preserve">Hanersun — HN21H 720Wp</w:t>
      </w:r>
    </w:p>
    <w:p>
      <w:pPr>
        <w:pStyle w:val="ListParagraph"/>
        <w:numPr>
          <w:ilvl w:val="0"/>
          <w:numId w:val="2"/>
        </w:numPr>
        <w:spacing w:after="40" w:before="40"/>
        <w:ind w:left="720" w:hanging="360"/>
      </w:pPr>
      <w:r>
        <w:rPr>
          <w:rFonts w:ascii="Arial" w:cs="Arial" w:eastAsia="Arial" w:hAnsi="Arial"/>
          <w:sz w:val="22"/>
          <w:szCs w:val="22"/>
        </w:rPr>
        <w:t xml:space="preserve">Bluesun — BSM565M10 565Wp (also in SREDA list — see below)</w:t>
      </w:r>
    </w:p>
    <w:p>
      <w:pPr>
        <w:pStyle w:val="ListParagraph"/>
        <w:numPr>
          <w:ilvl w:val="0"/>
          <w:numId w:val="2"/>
        </w:numPr>
        <w:spacing w:after="40" w:before="40"/>
        <w:ind w:left="720" w:hanging="360"/>
      </w:pPr>
      <w:r>
        <w:rPr>
          <w:rFonts w:ascii="Arial" w:cs="Arial" w:eastAsia="Arial" w:hAnsi="Arial"/>
          <w:sz w:val="22"/>
          <w:szCs w:val="22"/>
        </w:rPr>
        <w:t xml:space="preserve">Local: Rahimafrooz Solar (RAS-300W), Sunpro, Tech Wise Solar — important for local procurement relationships</w:t>
      </w:r>
    </w:p>
    <w:p>
      <w:pPr>
        <w:pStyle w:val="ListParagraph"/>
        <w:numPr>
          <w:ilvl w:val="0"/>
          <w:numId w:val="2"/>
        </w:numPr>
        <w:spacing w:after="40" w:before="40"/>
        <w:ind w:left="720" w:hanging="360"/>
      </w:pPr>
      <w:r>
        <w:rPr>
          <w:rFonts w:ascii="Arial" w:cs="Arial" w:eastAsia="Arial" w:hAnsi="Arial"/>
          <w:sz w:val="22"/>
          <w:szCs w:val="22"/>
        </w:rPr>
        <w:t xml:space="preserve">Ipvisola — lower wattage (250–500Wp), good for small residential installs</w:t>
      </w:r>
    </w:p>
    <w:p>
      <w:pPr>
        <w:spacing w:after="80" w:before="0"/>
      </w:pPr>
      <w:r>
        <w:t xml:space="preserve"/>
      </w:r>
    </w:p>
    <w:p>
      <w:pPr>
        <w:pStyle w:val="Heading2"/>
        <w:pBdr>
          <w:bottom w:val="single" w:color="1B2A4A" w:sz="4" w:space="1"/>
        </w:pBdr>
        <w:spacing w:after="80" w:before="280"/>
      </w:pPr>
      <w:r>
        <w:rPr>
          <w:rFonts w:ascii="Arial" w:cs="Arial" w:eastAsia="Arial" w:hAnsi="Arial"/>
          <w:b/>
          <w:bCs/>
          <w:color w:val="1B2A4A"/>
          <w:sz w:val="28"/>
          <w:szCs w:val="28"/>
        </w:rPr>
        <w:t xml:space="preserve">2.2  Bluesun Solar — Detailed Catalog Intelligence</w:t>
      </w:r>
    </w:p>
    <w:p>
      <w:pPr>
        <w:spacing w:after="80" w:before="60"/>
      </w:pPr>
      <w:r>
        <w:rPr>
          <w:rFonts w:ascii="Arial" w:cs="Arial" w:eastAsia="Arial" w:hAnsi="Arial"/>
          <w:sz w:val="22"/>
          <w:szCs w:val="22"/>
        </w:rPr>
        <w:t xml:space="preserve">Bluesun (BSM565M10-72HPH, 565Wp) IS on the SREDA approved list (SL#109, BSTI Ref# 2140, 2024-11-06). Their 2024 catalog provides exact mechanical specs useful for Netso's layout engine.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Bluesun Spec</w:t>
            </w:r>
          </w:p>
        </w:tc>
        <w:tc>
          <w:tcPr>
            <w:tcW w:type="dxa" w:w="69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Value</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Model (SREDA Approved)</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BSM565M10-72HPH — 565Wp PERC Monofacial Half-Cell</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Module Dimensions</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2278 × 1134 × 35 mm</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Cell Type</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Monocrystalline 182mm cells, 144 cells (6×24)</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Module Weight</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28.6 kg (monofacial) / 31.8 kg (bifacial)</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Module Efficiency</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Up to 22.26% (BSM575M10-72HPH variant)</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Bifacial Models Available</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BSM665–685G12-66HBD (665–685Wp bifacial PERC, NOT on SREDA list yet)</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HJT Models Available</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BSM695–720G12-66HNH (695–720Wp, temp coeff -0.26%/°C — better for Dhaka heat)</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Warranty</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12-yr product, 25-yr performance (30-yr for Topcon Bifacial)</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Temperature Coeff (Pmax)</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-0.34%/°C (PERC) / -0.26%/°C (HJT) — HJT significantly better for tropical</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Max System Voltage</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1500V DC (IEC)</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Certifications</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ISO 9001, ISO 14001, ISO 45001, IEC TS 62941, IEC 61215, IEC 61730, UL 61730</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Bifacial Rear Gain (concrete)</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5% gain = +5% Pmax; 10% = +10%; at 22% albedo (Dhaka concrete) expect ~5–8% gain</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Note</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Bluesun's 720W HJT (BSM720G12-66HNH) is NOT yet on SREDA list. Use Jinko 720W instead.</w:t>
            </w:r>
          </w:p>
        </w:tc>
      </w:tr>
    </w:tbl>
    <w:p>
      <w:r>
        <w:br w:type="page"/>
      </w:r>
    </w:p>
    <w:p>
      <w:pPr>
        <w:pBdr>
          <w:top w:val="single" w:color="0F766E" w:sz="8" w:space="2"/>
          <w:bottom w:val="single" w:color="CCCCCC" w:sz="2" w:space="1"/>
        </w:pBdr>
        <w:spacing w:after="160" w:before="320"/>
      </w:pPr>
      <w:r>
        <w:rPr>
          <w:rFonts w:ascii="Arial" w:cs="Arial" w:eastAsia="Arial" w:hAnsi="Arial"/>
          <w:b/>
          <w:bCs/>
          <w:color w:val="0F766E"/>
          <w:sz w:val="22"/>
          <w:szCs w:val="22"/>
        </w:rPr>
        <w:t xml:space="preserve">  SECTION 3 — SOLAR PHYSICS, LAYOUT ENGINE &amp; SREDA CALCULATORS  </w:t>
      </w:r>
    </w:p>
    <w:p>
      <w:pPr>
        <w:pStyle w:val="Heading2"/>
        <w:pBdr>
          <w:bottom w:val="single" w:color="0F766E" w:sz="4" w:space="1"/>
        </w:pBdr>
        <w:spacing w:after="80" w:before="280"/>
      </w:pPr>
      <w:r>
        <w:rPr>
          <w:rFonts w:ascii="Arial" w:cs="Arial" w:eastAsia="Arial" w:hAnsi="Arial"/>
          <w:b/>
          <w:bCs/>
          <w:color w:val="0F766E"/>
          <w:sz w:val="28"/>
          <w:szCs w:val="28"/>
        </w:rPr>
        <w:t xml:space="preserve">3.1  SREDA Inter-Row Spacing Calculator — Confirmed Parameters</w:t>
      </w:r>
    </w:p>
    <w:p>
      <w:pPr>
        <w:spacing w:after="80" w:before="60"/>
      </w:pPr>
      <w:r>
        <w:rPr>
          <w:rFonts w:ascii="Arial" w:cs="Arial" w:eastAsia="Arial" w:hAnsi="Arial"/>
          <w:sz w:val="22"/>
          <w:szCs w:val="22"/>
        </w:rPr>
        <w:t xml:space="preserve">Source: SREDA E-Service Desk — Solar Inter-Row-Spacing Calculator. Counter #14530, Last Use: 2025-12-22. These are the OFFICIAL SREDA defaults for Dhaka, Bangladesh.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SREDA Parameter (Dhaka Default)</w:t>
            </w:r>
          </w:p>
        </w:tc>
        <w:tc>
          <w:tcPr>
            <w:tcW w:type="dxa" w:w="61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Official Value</w:t>
            </w:r>
          </w:p>
        </w:tc>
      </w:tr>
      <w:tr>
        <w:tc>
          <w:tcPr>
            <w:tcW w:type="dxa" w:w="3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Tilt Angle of Array</w:t>
            </w:r>
          </w:p>
        </w:tc>
        <w:tc>
          <w:tcPr>
            <w:tcW w:type="dxa" w:w="61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23° (optimal annual for Dhaka latitude ~23.7°N)</w:t>
            </w:r>
          </w:p>
        </w:tc>
      </w:tr>
      <w:tr>
        <w:tc>
          <w:tcPr>
            <w:tcW w:type="dxa" w:w="3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Minimum Sun Elevation Angle</w:t>
            </w:r>
          </w:p>
        </w:tc>
        <w:tc>
          <w:tcPr>
            <w:tcW w:type="dxa" w:w="61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25.39° (worst-case, winter solstice, 9AM–3PM window)</w:t>
            </w:r>
          </w:p>
        </w:tc>
      </w:tr>
      <w:tr>
        <w:tc>
          <w:tcPr>
            <w:tcW w:type="dxa" w:w="3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Azimuth at Min Elevation</w:t>
            </w:r>
          </w:p>
        </w:tc>
        <w:tc>
          <w:tcPr>
            <w:tcW w:type="dxa" w:w="61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133.59° (NE–SE azimuth at that moment)</w:t>
            </w:r>
          </w:p>
        </w:tc>
      </w:tr>
      <w:tr>
        <w:tc>
          <w:tcPr>
            <w:tcW w:type="dxa" w:w="3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Shade-Free Window</w:t>
            </w:r>
          </w:p>
        </w:tc>
        <w:tc>
          <w:tcPr>
            <w:tcW w:type="dxa" w:w="61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9:00 AM to 3:00 PM, whole year (6-hour generation window)</w:t>
            </w:r>
          </w:p>
        </w:tc>
      </w:tr>
      <w:tr>
        <w:tc>
          <w:tcPr>
            <w:tcW w:type="dxa" w:w="3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Example Panel in Calculator</w:t>
            </w:r>
          </w:p>
        </w:tc>
        <w:tc>
          <w:tcPr>
            <w:tcW w:type="dxa" w:w="61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1740 × 1030 × 32mm, 360Wp (default example — NOT our spec)</w:t>
            </w:r>
          </w:p>
        </w:tc>
      </w:tr>
      <w:tr>
        <w:tc>
          <w:tcPr>
            <w:tcW w:type="dxa" w:w="3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Calculator URL</w:t>
            </w:r>
          </w:p>
        </w:tc>
        <w:tc>
          <w:tcPr>
            <w:tcW w:type="dxa" w:w="61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SREDA E-Service Desk (prajukti.com.bd/sreda/inter-row)</w:t>
            </w:r>
          </w:p>
        </w:tc>
      </w:tr>
    </w:tbl>
    <w:p>
      <w:pPr>
        <w:spacing w:after="80" w:before="0"/>
      </w:pPr>
      <w:r>
        <w:t xml:space="preserve"/>
      </w:r>
    </w:p>
    <w:p>
      <w:pPr>
        <w:pStyle w:val="Heading3"/>
        <w:spacing w:after="60" w:before="200"/>
      </w:pPr>
      <w:r>
        <w:rPr>
          <w:rFonts w:ascii="Arial" w:cs="Arial" w:eastAsia="Arial" w:hAnsi="Arial"/>
          <w:b/>
          <w:bCs/>
          <w:color w:val="374151"/>
          <w:sz w:val="24"/>
          <w:szCs w:val="24"/>
        </w:rPr>
        <w:t xml:space="preserve">Inter-Row Spacing Formula (from SREDA methodology)</w:t>
      </w:r>
    </w:p>
    <w:p>
      <w:pPr>
        <w:spacing w:after="80" w:before="60"/>
      </w:pPr>
      <w:r>
        <w:rPr>
          <w:rFonts w:ascii="Arial" w:cs="Arial" w:eastAsia="Arial" w:hAnsi="Arial"/>
          <w:sz w:val="22"/>
          <w:szCs w:val="22"/>
        </w:rPr>
        <w:t xml:space="preserve">For Jinko JKM720N-66HL5-BDV (2278mm × 1134mm panel at 23° tilt):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Formula Step</w:t>
            </w:r>
          </w:p>
        </w:tc>
        <w:tc>
          <w:tcPr>
            <w:tcW w:type="dxa" w:w="63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Calculation (Jinko 720W, 2.278m length)</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Shadow height (h)</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h = 0.032 + 2.278 × sin(23°) = 0.032 + 0.889 = 0.921 m</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Min row spacing</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spacing = h / tan(25.39°) = 0.921 / 0.4739 = 1.944 m</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Panel footprint</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footprint = 2.278 × cos(23°) = 2.278 × 0.9205 = 2.097 m</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Row pitch</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pitch = footprint + spacing = 2.097 + 1.944 = 4.041 m</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Usable area ratio</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ratio = footprint / pitch = 2.097 / 4.041 = 0.519 ≈ 52%</w:t>
            </w:r>
          </w:p>
        </w:tc>
      </w:tr>
      <w:tr>
        <w:tc>
          <w:tcPr>
            <w:tcW w:type="dxa" w:w="3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Engine update needed</w:t>
            </w:r>
          </w:p>
        </w:tc>
        <w:tc>
          <w:tcPr>
            <w:tcW w:type="dxa" w:w="6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Replace flat 60% assumption in constants.py with dynamic calc ≈ 52%</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left w:val="single" w:color="991B1B" w:sz="16"/>
            </w:tcBorders>
            <w:shd w:fill="FEE2E2" w:val="clear"/>
            <w:tcMar>
              <w:top w:type="dxa" w:w="80"/>
              <w:left w:type="dxa" w:w="80"/>
              <w:bottom w:type="dxa" w:w="80"/>
              <w:right w:type="dxa" w:w="80"/>
            </w:tcMar>
          </w:tcPr>
          <w:p>
            <w:r>
              <w:t xml:space="preserve"/>
            </w:r>
          </w:p>
        </w:tc>
        <w:tc>
          <w:tcPr>
            <w:tcW w:type="dxa" w:w="9160"/>
            <w:tcBorders>
              <w:top w:val="none" w:color="FFFFFF" w:sz="0"/>
              <w:left w:val="none" w:color="FFFFFF" w:sz="0"/>
              <w:bottom w:val="none" w:color="FFFFFF" w:sz="0"/>
              <w:right w:val="none" w:color="FFFFFF" w:sz="0"/>
            </w:tcBorders>
            <w:shd w:fill="FEE2E2" w:val="clear"/>
            <w:tcMar>
              <w:top w:type="dxa" w:w="80"/>
              <w:left w:type="dxa" w:w="120"/>
              <w:bottom w:type="dxa" w:w="80"/>
              <w:right w:type="dxa" w:w="120"/>
            </w:tcMar>
          </w:tcPr>
          <w:p>
            <w:r>
              <w:rPr>
                <w:rFonts w:ascii="Arial" w:cs="Arial" w:eastAsia="Arial" w:hAnsi="Arial"/>
                <w:b/>
                <w:bCs/>
                <w:color w:val="991B1B"/>
                <w:sz w:val="22"/>
                <w:szCs w:val="22"/>
              </w:rPr>
              <w:t xml:space="preserve">⚠ CRITICAL CODE CORRECTION PENDING</w:t>
            </w:r>
          </w:p>
          <w:p>
            <w:r>
              <w:rPr>
                <w:rFonts w:ascii="Arial" w:cs="Arial" w:eastAsia="Arial" w:hAnsi="Arial"/>
                <w:sz w:val="20"/>
                <w:szCs w:val="20"/>
              </w:rPr>
              <w:t xml:space="preserve">constants.py still uses 60% usable ratio and 400Wp panel. Must be updated to 52% ratio and 720Wp Jinko panel before any live prospect analysis is run.</w:t>
            </w:r>
          </w:p>
        </w:tc>
      </w:tr>
    </w:tbl>
    <w:p>
      <w:pPr>
        <w:spacing w:after="80" w:before="0"/>
      </w:pPr>
      <w:r>
        <w:t xml:space="preserve"/>
      </w:r>
    </w:p>
    <w:p>
      <w:pPr>
        <w:pStyle w:val="Heading2"/>
        <w:pBdr>
          <w:bottom w:val="single" w:color="0F766E" w:sz="4" w:space="1"/>
        </w:pBdr>
        <w:spacing w:after="80" w:before="280"/>
      </w:pPr>
      <w:r>
        <w:rPr>
          <w:rFonts w:ascii="Arial" w:cs="Arial" w:eastAsia="Arial" w:hAnsi="Arial"/>
          <w:b/>
          <w:bCs/>
          <w:color w:val="0F766E"/>
          <w:sz w:val="28"/>
          <w:szCs w:val="28"/>
        </w:rPr>
        <w:t xml:space="preserve">3.2  Solar Radiation &amp; Dhaka-Specific Data</w:t>
      </w:r>
    </w:p>
    <w:p>
      <w:pPr>
        <w:pStyle w:val="ListParagraph"/>
        <w:numPr>
          <w:ilvl w:val="0"/>
          <w:numId w:val="2"/>
        </w:numPr>
        <w:spacing w:after="40" w:before="40"/>
        <w:ind w:left="720" w:hanging="360"/>
      </w:pPr>
      <w:r>
        <w:rPr>
          <w:rFonts w:ascii="Arial" w:cs="Arial" w:eastAsia="Arial" w:hAnsi="Arial"/>
          <w:sz w:val="22"/>
          <w:szCs w:val="22"/>
        </w:rPr>
        <w:t xml:space="preserve">Solar constant: 1367 W/m²  (Extraterrestrial Solar Radiation formula: Ion = Isc × {1 + 0.033 × cos(360×d/365)})</w:t>
      </w:r>
    </w:p>
    <w:p>
      <w:pPr>
        <w:pStyle w:val="ListParagraph"/>
        <w:numPr>
          <w:ilvl w:val="0"/>
          <w:numId w:val="2"/>
        </w:numPr>
        <w:spacing w:after="40" w:before="40"/>
        <w:ind w:left="720" w:hanging="360"/>
      </w:pPr>
      <w:r>
        <w:rPr>
          <w:rFonts w:ascii="Arial" w:cs="Arial" w:eastAsia="Arial" w:hAnsi="Arial"/>
          <w:sz w:val="22"/>
          <w:szCs w:val="22"/>
        </w:rPr>
        <w:t xml:space="preserve">Annual variation: ±3.3% — negligible for production modelling</w:t>
      </w:r>
    </w:p>
    <w:p>
      <w:pPr>
        <w:pStyle w:val="ListParagraph"/>
        <w:numPr>
          <w:ilvl w:val="0"/>
          <w:numId w:val="2"/>
        </w:numPr>
        <w:spacing w:after="40" w:before="40"/>
        <w:ind w:left="720" w:hanging="360"/>
      </w:pPr>
      <w:r>
        <w:rPr>
          <w:rFonts w:ascii="Arial" w:cs="Arial" w:eastAsia="Arial" w:hAnsi="Arial"/>
          <w:sz w:val="22"/>
          <w:szCs w:val="22"/>
        </w:rPr>
        <w:t xml:space="preserve">Dhaka PVOUT: 4.5 kWh/kWp/day (peak sun hours) — used in engine. SREDA SHS calc references Barguna at 3.808 kWh/kWp/day for reference.</w:t>
      </w:r>
    </w:p>
    <w:p>
      <w:pPr>
        <w:pStyle w:val="ListParagraph"/>
        <w:numPr>
          <w:ilvl w:val="0"/>
          <w:numId w:val="2"/>
        </w:numPr>
        <w:spacing w:after="40" w:before="40"/>
        <w:ind w:left="720" w:hanging="360"/>
      </w:pPr>
      <w:r>
        <w:rPr>
          <w:rFonts w:ascii="Arial" w:cs="Arial" w:eastAsia="Arial" w:hAnsi="Arial"/>
          <w:sz w:val="22"/>
          <w:szCs w:val="22"/>
        </w:rPr>
        <w:t xml:space="preserve">Optimal tilt does NOT uniquely depend on latitude — also influenced by GHI, DHI, DNI, microclimate, mounting azimuth, and horizon profile per pvPlanner.</w:t>
      </w:r>
    </w:p>
    <w:p>
      <w:pPr>
        <w:pStyle w:val="ListParagraph"/>
        <w:numPr>
          <w:ilvl w:val="0"/>
          <w:numId w:val="2"/>
        </w:numPr>
        <w:spacing w:after="40" w:before="40"/>
        <w:ind w:left="720" w:hanging="360"/>
      </w:pPr>
      <w:r>
        <w:rPr>
          <w:rFonts w:ascii="Arial" w:cs="Arial" w:eastAsia="Arial" w:hAnsi="Arial"/>
          <w:sz w:val="22"/>
          <w:szCs w:val="22"/>
        </w:rPr>
        <w:t xml:space="preserve">At 23° tilt south-facing, Dhaka captures near-maximum annual yield.</w:t>
      </w:r>
    </w:p>
    <w:p>
      <w:pPr>
        <w:spacing w:after="80" w:before="0"/>
      </w:pPr>
      <w:r>
        <w:t xml:space="preserve"/>
      </w:r>
    </w:p>
    <w:p>
      <w:pPr>
        <w:pStyle w:val="Heading2"/>
        <w:pBdr>
          <w:bottom w:val="single" w:color="0F766E" w:sz="4" w:space="1"/>
        </w:pBdr>
        <w:spacing w:after="80" w:before="280"/>
      </w:pPr>
      <w:r>
        <w:rPr>
          <w:rFonts w:ascii="Arial" w:cs="Arial" w:eastAsia="Arial" w:hAnsi="Arial"/>
          <w:b/>
          <w:bCs/>
          <w:color w:val="0F766E"/>
          <w:sz w:val="28"/>
          <w:szCs w:val="28"/>
        </w:rPr>
        <w:t xml:space="preserve">3.3  Albedo Intelligence for Bifacial Panels (Dhaka Rooftop Context)</w:t>
      </w:r>
    </w:p>
    <w:p>
      <w:pPr>
        <w:spacing w:after="80" w:before="60"/>
      </w:pPr>
      <w:r>
        <w:rPr>
          <w:rFonts w:ascii="Arial" w:cs="Arial" w:eastAsia="Arial" w:hAnsi="Arial"/>
          <w:sz w:val="22"/>
          <w:szCs w:val="22"/>
        </w:rPr>
        <w:t xml:space="preserve">Source: RatedPower Albedo Research (Sept 2025). Critical for bifacial rear-side gain calculations.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Surface Type</w:t>
            </w:r>
          </w:p>
        </w:tc>
        <w:tc>
          <w:tcPr>
            <w:tcW w:type="dxa" w:w="16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Albedo</w:t>
            </w:r>
          </w:p>
        </w:tc>
        <w:tc>
          <w:tcPr>
            <w:tcW w:type="dxa" w:w="49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Relevance for Netso</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Bare concrete (typical Dhaka rooftop)</w:t>
            </w:r>
          </w:p>
        </w:tc>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~20–22%</w:t>
            </w:r>
          </w:p>
        </w:tc>
        <w:tc>
          <w:tcPr>
            <w:tcW w:type="dxa" w:w="4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PRIMARY: Most Netso prospects. Conservative 5% bifacial gain applies.</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Bare ground</w:t>
            </w:r>
          </w:p>
        </w:tc>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20%</w:t>
            </w:r>
          </w:p>
        </w:tc>
        <w:tc>
          <w:tcPr>
            <w:tcW w:type="dxa" w:w="4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Ground-mounted reference</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Bare soil</w:t>
            </w:r>
          </w:p>
        </w:tc>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17%</w:t>
            </w:r>
          </w:p>
        </w:tc>
        <w:tc>
          <w:tcPr>
            <w:tcW w:type="dxa" w:w="4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Below concrete — don't use for rooftop</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Grass</w:t>
            </w:r>
          </w:p>
        </w:tc>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25%</w:t>
            </w:r>
          </w:p>
        </w:tc>
        <w:tc>
          <w:tcPr>
            <w:tcW w:type="dxa" w:w="4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Green rooftops — small uplift</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Dry grass</w:t>
            </w:r>
          </w:p>
        </w:tc>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30%</w:t>
            </w:r>
          </w:p>
        </w:tc>
        <w:tc>
          <w:tcPr>
            <w:tcW w:type="dxa" w:w="4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Seasonal variation in some contexts</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Sand</w:t>
            </w:r>
          </w:p>
        </w:tc>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36%</w:t>
            </w:r>
          </w:p>
        </w:tc>
        <w:tc>
          <w:tcPr>
            <w:tcW w:type="dxa" w:w="4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N/A for Dhaka urban</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White-painted rooftop</w:t>
            </w:r>
          </w:p>
        </w:tc>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55–65%</w:t>
            </w:r>
          </w:p>
        </w:tc>
        <w:tc>
          <w:tcPr>
            <w:tcW w:type="dxa" w:w="4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Opportunity: clients who paint rooftops white get ~17–21% bifacial gain vs 5% — upsell this.</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White pebbles</w:t>
            </w:r>
          </w:p>
        </w:tc>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58%</w:t>
            </w:r>
          </w:p>
        </w:tc>
        <w:tc>
          <w:tcPr>
            <w:tcW w:type="dxa" w:w="4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Could be specified for premium installs</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Snow</w:t>
            </w:r>
          </w:p>
        </w:tc>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65%</w:t>
            </w:r>
          </w:p>
        </w:tc>
        <w:tc>
          <w:tcPr>
            <w:tcW w:type="dxa" w:w="4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N/A Bangladesh</w:t>
            </w:r>
          </w:p>
        </w:tc>
      </w:tr>
    </w:tbl>
    <w:p>
      <w:pPr>
        <w:spacing w:after="40" w:before="0"/>
      </w:pPr>
      <w:r>
        <w:t xml:space="preserve"/>
      </w:r>
    </w:p>
    <w:p>
      <w:pPr>
        <w:spacing w:after="80" w:before="60"/>
      </w:pPr>
      <w:r>
        <w:rPr>
          <w:rFonts w:ascii="Arial" w:cs="Arial" w:eastAsia="Arial" w:hAnsi="Arial"/>
          <w:color w:val="374151"/>
          <w:sz w:val="22"/>
          <w:szCs w:val="22"/>
        </w:rPr>
        <w:t xml:space="preserve">Bifacial gain formula: Pmax_bifacial = Pmax_front × (1 + albedo × bifacial_factor × row_factor). For Dhaka concrete (22% albedo), conservative bifacial_gain = 1.05 (5%). For white-painted rooftops, model at 1.12–1.15 (12–15% gain). This is an UPSELL opportunity — recommend white rooftop coating to clients who are motivated.</w:t>
      </w:r>
    </w:p>
    <w:p>
      <w:r>
        <w:br w:type="page"/>
      </w:r>
    </w:p>
    <w:p>
      <w:pPr>
        <w:pBdr>
          <w:top w:val="single" w:color="5B21B6" w:sz="8" w:space="2"/>
          <w:bottom w:val="single" w:color="CCCCCC" w:sz="2" w:space="1"/>
        </w:pBdr>
        <w:spacing w:after="160" w:before="320"/>
      </w:pPr>
      <w:r>
        <w:rPr>
          <w:rFonts w:ascii="Arial" w:cs="Arial" w:eastAsia="Arial" w:hAnsi="Arial"/>
          <w:b/>
          <w:bCs/>
          <w:color w:val="5B21B6"/>
          <w:sz w:val="22"/>
          <w:szCs w:val="22"/>
        </w:rPr>
        <w:t xml:space="preserve">  SECTION 4 — BIPV, THIN-FILM &amp; PHOTOVOLTAIC GLASS INTELLIGENCE  </w:t>
      </w:r>
    </w:p>
    <w:p>
      <w:pPr>
        <w:pStyle w:val="Heading2"/>
        <w:pBdr>
          <w:bottom w:val="single" w:color="5B21B6" w:sz="4" w:space="1"/>
        </w:pBdr>
        <w:spacing w:after="80" w:before="280"/>
      </w:pPr>
      <w:r>
        <w:rPr>
          <w:rFonts w:ascii="Arial" w:cs="Arial" w:eastAsia="Arial" w:hAnsi="Arial"/>
          <w:b/>
          <w:bCs/>
          <w:color w:val="5B21B6"/>
          <w:sz w:val="28"/>
          <w:szCs w:val="28"/>
        </w:rPr>
        <w:t xml:space="preserve">4.1  Why These Documents Were Researched</w:t>
      </w:r>
    </w:p>
    <w:p>
      <w:pPr>
        <w:spacing w:after="80" w:before="60"/>
      </w:pPr>
      <w:r>
        <w:rPr>
          <w:rFonts w:ascii="Arial" w:cs="Arial" w:eastAsia="Arial" w:hAnsi="Arial"/>
          <w:sz w:val="22"/>
          <w:szCs w:val="22"/>
        </w:rPr>
        <w:t xml:space="preserve">The images you uploaded (solar canopy pergola, rooftop nightlife lounge with partial PV shade structure, people relaxing under glowing BIPV panels) reveal an intent beyond standard flat-roof rack installs. You are exploring dual-use rooftop solar: energy generation + lifestyle/usable space. This is a major product differentiation opportunity for Netso.</w:t>
      </w:r>
    </w:p>
    <w:p>
      <w:pPr>
        <w:spacing w:after="40" w:before="0"/>
      </w:pPr>
      <w:r>
        <w:t xml:space="preserve"/>
      </w:r>
    </w:p>
    <w:p>
      <w:pPr>
        <w:pStyle w:val="Heading2"/>
        <w:pBdr>
          <w:bottom w:val="single" w:color="5B21B6" w:sz="4" w:space="1"/>
        </w:pBdr>
        <w:spacing w:after="80" w:before="280"/>
      </w:pPr>
      <w:r>
        <w:rPr>
          <w:rFonts w:ascii="Arial" w:cs="Arial" w:eastAsia="Arial" w:hAnsi="Arial"/>
          <w:b/>
          <w:bCs/>
          <w:color w:val="5B21B6"/>
          <w:sz w:val="28"/>
          <w:szCs w:val="28"/>
        </w:rPr>
        <w:t xml:space="preserve">4.2  Thin-Film Solar — What It Is &amp; Why It Matters</w:t>
      </w:r>
    </w:p>
    <w:p>
      <w:pPr>
        <w:spacing w:after="80" w:before="60"/>
      </w:pPr>
      <w:r>
        <w:rPr>
          <w:rFonts w:ascii="Arial" w:cs="Arial" w:eastAsia="Arial" w:hAnsi="Arial"/>
          <w:sz w:val="22"/>
          <w:szCs w:val="22"/>
        </w:rPr>
        <w:t xml:space="preserve">Source: PowerFilm Solar, EnergySage, Korvus Technology, ScienceDirect amorphous silicon review.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Technology</w:t>
            </w:r>
          </w:p>
        </w:tc>
        <w:tc>
          <w:tcPr>
            <w:tcW w:type="dxa" w:w="73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Key Facts</w:t>
            </w:r>
          </w:p>
        </w:tc>
      </w:tr>
      <w:tr>
        <w:tc>
          <w:tcPr>
            <w:tcW w:type="dxa" w:w="2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Amorphous Silicon (a-Si)</w:t>
            </w:r>
          </w:p>
        </w:tc>
        <w:tc>
          <w:tcPr>
            <w:tcW w:type="dxa" w:w="7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Efficiency 5.9–12.2% (lab) / 4–8% real-world. Staebler-Wronski degradation effect: 15–35% power loss on first light exposure, then stabilizes. 40× higher light absorption vs mono-Si. Used for small IoT, flexible panels, BIPV.</w:t>
            </w:r>
          </w:p>
        </w:tc>
      </w:tr>
      <w:tr>
        <w:tc>
          <w:tcPr>
            <w:tcW w:type="dxa" w:w="2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CdTe (Cadmium Telluride)</w:t>
            </w:r>
          </w:p>
        </w:tc>
        <w:tc>
          <w:tcPr>
            <w:tcW w:type="dxa" w:w="7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Largest thin-film market share. Efficiency up to 17.3%. Lower cost, easier install. Contains toxic cadmium — import/disposal compliance required.</w:t>
            </w:r>
          </w:p>
        </w:tc>
      </w:tr>
      <w:tr>
        <w:tc>
          <w:tcPr>
            <w:tcW w:type="dxa" w:w="2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CIGS</w:t>
            </w:r>
          </w:p>
        </w:tc>
        <w:tc>
          <w:tcPr>
            <w:tcW w:type="dxa" w:w="7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Near c-Si efficiency. Expensive. Contains toxic materials.</w:t>
            </w:r>
          </w:p>
        </w:tc>
      </w:tr>
      <w:tr>
        <w:tc>
          <w:tcPr>
            <w:tcW w:type="dxa" w:w="2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Perovskite + Silicon Tandem</w:t>
            </w:r>
          </w:p>
        </w:tc>
        <w:tc>
          <w:tcPr>
            <w:tcW w:type="dxa" w:w="7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Lab record &gt;29% efficiency. Not commercially viable yet.</w:t>
            </w:r>
          </w:p>
        </w:tc>
      </w:tr>
      <w:tr>
        <w:tc>
          <w:tcPr>
            <w:tcW w:type="dxa" w:w="2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OPV (Organic PV)</w:t>
            </w:r>
          </w:p>
        </w:tc>
        <w:tc>
          <w:tcPr>
            <w:tcW w:type="dxa" w:w="7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Popular in BIPV market. Affordable. &lt;11% efficiency. Short lifespan.</w:t>
            </w:r>
          </w:p>
        </w:tc>
      </w:tr>
      <w:tr>
        <w:tc>
          <w:tcPr>
            <w:tcW w:type="dxa" w:w="20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PowerFilm a-Si (flexible)</w:t>
            </w:r>
          </w:p>
        </w:tc>
        <w:tc>
          <w:tcPr>
            <w:tcW w:type="dxa" w:w="73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0.2mm thick, 1-inch fixed bend radius, 3-inch repetitive bend. Rated at 200 lux. Indoor/low-light performance. IoT, military, camping. NOT applicable for Netso rooftop net metering.</w:t>
            </w:r>
          </w:p>
        </w:tc>
      </w:tr>
    </w:tbl>
    <w:p>
      <w:pPr>
        <w:spacing w:after="60" w:before="0"/>
      </w:pPr>
      <w:r>
        <w:t xml:space="preserve"/>
      </w:r>
    </w:p>
    <w:p>
      <w:pPr>
        <w:spacing w:after="80" w:before="60"/>
      </w:pPr>
      <w:r>
        <w:rPr>
          <w:rFonts w:ascii="Arial" w:cs="Arial" w:eastAsia="Arial" w:hAnsi="Arial"/>
          <w:b/>
          <w:bCs/>
          <w:color w:val="991B1B"/>
          <w:sz w:val="22"/>
          <w:szCs w:val="22"/>
        </w:rPr>
        <w:t xml:space="preserve">⚠ Critical Finding: Thin-film / a-Si panels are NOT on the SREDA Approved Module List.</w:t>
      </w:r>
    </w:p>
    <w:p>
      <w:pPr>
        <w:spacing w:after="80" w:before="60"/>
      </w:pPr>
      <w:r>
        <w:rPr>
          <w:rFonts w:ascii="Arial" w:cs="Arial" w:eastAsia="Arial" w:hAnsi="Arial"/>
          <w:sz w:val="22"/>
          <w:szCs w:val="22"/>
        </w:rPr>
        <w:t xml:space="preserve">All 171 SREDA-approved modules are crystalline silicon (mono-PERC, TOPCon, bifacial HJT). If you pursue thin-film for net metering installs, BSTI certification under BDS IEC 61215 would be required — currently no thin-film brand has achieved this in Bangladesh. Thin-film is relevant ONLY for non-net-metered applications (off-grid, BIPV aesthetics, canopies with battery storage).</w:t>
      </w:r>
    </w:p>
    <w:p>
      <w:pPr>
        <w:spacing w:after="80" w:before="0"/>
      </w:pPr>
      <w:r>
        <w:t xml:space="preserve"/>
      </w:r>
    </w:p>
    <w:p>
      <w:pPr>
        <w:pStyle w:val="Heading2"/>
        <w:pBdr>
          <w:bottom w:val="single" w:color="5B21B6" w:sz="4" w:space="1"/>
        </w:pBdr>
        <w:spacing w:after="80" w:before="280"/>
      </w:pPr>
      <w:r>
        <w:rPr>
          <w:rFonts w:ascii="Arial" w:cs="Arial" w:eastAsia="Arial" w:hAnsi="Arial"/>
          <w:b/>
          <w:bCs/>
          <w:color w:val="5B21B6"/>
          <w:sz w:val="28"/>
          <w:szCs w:val="28"/>
        </w:rPr>
        <w:t xml:space="preserve">4.3  Onyx Solar BIPV Photovoltaic Glass — Strategic Intelligence</w:t>
      </w:r>
    </w:p>
    <w:p>
      <w:pPr>
        <w:spacing w:after="80" w:before="60"/>
      </w:pPr>
      <w:r>
        <w:rPr>
          <w:rFonts w:ascii="Arial" w:cs="Arial" w:eastAsia="Arial" w:hAnsi="Arial"/>
          <w:sz w:val="22"/>
          <w:szCs w:val="22"/>
        </w:rPr>
        <w:t xml:space="preserve">Source: Onyx Solar — Canopies/Pergolas, Balustrades/Railings, PV Glass Technical Properties, Compare PV Glass Types. Onyx is a Spanish BIPV manufacturer serving airports, offices, residences globally (Nairobi airport, Microsoft Newark Airport, Shanghai eco-building).</w:t>
      </w:r>
    </w:p>
    <w:p>
      <w:pPr>
        <w:spacing w:after="40" w:before="0"/>
      </w:pPr>
      <w:r>
        <w:t xml:space="preserve"/>
      </w:r>
    </w:p>
    <w:p>
      <w:pPr>
        <w:pStyle w:val="Heading3"/>
        <w:spacing w:after="60" w:before="200"/>
      </w:pPr>
      <w:r>
        <w:rPr>
          <w:rFonts w:ascii="Arial" w:cs="Arial" w:eastAsia="Arial" w:hAnsi="Arial"/>
          <w:b/>
          <w:bCs/>
          <w:color w:val="374151"/>
          <w:sz w:val="24"/>
          <w:szCs w:val="24"/>
        </w:rPr>
        <w:t xml:space="preserve">BIPV Product Lines Relevant to Netso</w:t>
      </w:r>
    </w:p>
    <w:p>
      <w:pPr>
        <w:pStyle w:val="ListParagraph"/>
        <w:numPr>
          <w:ilvl w:val="0"/>
          <w:numId w:val="2"/>
        </w:numPr>
        <w:spacing w:after="40" w:before="40"/>
        <w:ind w:left="720" w:hanging="360"/>
      </w:pPr>
      <w:r>
        <w:rPr>
          <w:rFonts w:ascii="Arial" w:cs="Arial" w:eastAsia="Arial" w:hAnsi="Arial"/>
          <w:sz w:val="22"/>
          <w:szCs w:val="22"/>
        </w:rPr>
        <w:t xml:space="preserve">Solar Canopies / Pergolas — overhead PV shade structures. Generate power AND provide covered usable rooftop space. This is what your concept images show.</w:t>
      </w:r>
    </w:p>
    <w:p>
      <w:pPr>
        <w:pStyle w:val="ListParagraph"/>
        <w:numPr>
          <w:ilvl w:val="0"/>
          <w:numId w:val="2"/>
        </w:numPr>
        <w:spacing w:after="40" w:before="40"/>
        <w:ind w:left="720" w:hanging="360"/>
      </w:pPr>
      <w:r>
        <w:rPr>
          <w:rFonts w:ascii="Arial" w:cs="Arial" w:eastAsia="Arial" w:hAnsi="Arial"/>
          <w:sz w:val="22"/>
          <w:szCs w:val="22"/>
        </w:rPr>
        <w:t xml:space="preserve">Balustrades / Railings — PV glass integrated into rooftop railing. Additional generation on vertical surfaces.</w:t>
      </w:r>
    </w:p>
    <w:p>
      <w:pPr>
        <w:pStyle w:val="ListParagraph"/>
        <w:numPr>
          <w:ilvl w:val="0"/>
          <w:numId w:val="2"/>
        </w:numPr>
        <w:spacing w:after="40" w:before="40"/>
        <w:ind w:left="720" w:hanging="360"/>
      </w:pPr>
      <w:r>
        <w:rPr>
          <w:rFonts w:ascii="Arial" w:cs="Arial" w:eastAsia="Arial" w:hAnsi="Arial"/>
          <w:sz w:val="22"/>
          <w:szCs w:val="22"/>
        </w:rPr>
        <w:t xml:space="preserve">Skylights &amp; Facades — curtain walls, spandrels with PV glass built in. For luxury commercial buildings.</w:t>
      </w:r>
    </w:p>
    <w:p>
      <w:pPr>
        <w:pStyle w:val="ListParagraph"/>
        <w:numPr>
          <w:ilvl w:val="0"/>
          <w:numId w:val="2"/>
        </w:numPr>
        <w:spacing w:after="40" w:before="40"/>
        <w:ind w:left="720" w:hanging="360"/>
      </w:pPr>
      <w:r>
        <w:rPr>
          <w:rFonts w:ascii="Arial" w:cs="Arial" w:eastAsia="Arial" w:hAnsi="Arial"/>
          <w:sz w:val="22"/>
          <w:szCs w:val="22"/>
        </w:rPr>
        <w:t xml:space="preserve">Walkable PV Floors — mechanical-grade PV glass panels. Not relevant for standard Dhaka rooftops.</w:t>
      </w:r>
    </w:p>
    <w:p>
      <w:pPr>
        <w:spacing w:after="60" w:before="0"/>
      </w:pPr>
      <w:r>
        <w:t xml:space="preserve"/>
      </w:r>
    </w:p>
    <w:p>
      <w:pPr>
        <w:pStyle w:val="Heading3"/>
        <w:spacing w:after="60" w:before="200"/>
      </w:pPr>
      <w:r>
        <w:rPr>
          <w:rFonts w:ascii="Arial" w:cs="Arial" w:eastAsia="Arial" w:hAnsi="Arial"/>
          <w:b/>
          <w:bCs/>
          <w:color w:val="374151"/>
          <w:sz w:val="24"/>
          <w:szCs w:val="24"/>
        </w:rPr>
        <w:t xml:space="preserve">Onyx Solar PV Glass Technical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Property</w:t>
            </w:r>
          </w:p>
        </w:tc>
        <w:tc>
          <w:tcPr>
            <w:tcW w:type="dxa" w:w="65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Specification</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Technology</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Crystalline Silicon (c-Si) or Amorphous Silicon (a-Si) encapsulated in safety glass</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Solar Factor (g-value / SHGC)</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ThinFilm glass: 6%–41%. Controls heat entering building through glass.</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UV/IR Filtering</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Filters up to 99% UV and IR — protects occupants under canopy</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VLT (Visible Light Transmission)</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Adjustable from 0–40%+. High VLT = more light through, less power. Low VLT = more power, less light.</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Glazing Options</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Single laminated, double, triple glazing; Air and Argon chambers; Low-E coatings</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Max Size</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Up to 4m × 2m per panel</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Fire Safety</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Non-combustible glass vs polymer EVA in standard panels — major building code advantage</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Certifications</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Contributes to LEED, BREEAM, WELL green building points</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Cell Density</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Fully adjustable — high density (more power, less light) vs low density (more light, less power)</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Hidden vs Visible Cells</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Hidden cell technology available for uniform aesthetic finish</w:t>
            </w:r>
          </w:p>
        </w:tc>
      </w:tr>
      <w:tr>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Customization</w:t>
            </w:r>
          </w:p>
        </w:tc>
        <w:tc>
          <w:tcPr>
            <w:tcW w:type="dxa" w:w="6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Any color, silk-screening, ceramic frits. Point-supported or U-channel mounting.</w:t>
            </w:r>
          </w:p>
        </w:tc>
      </w:tr>
    </w:tbl>
    <w:p>
      <w:pPr>
        <w:spacing w:after="80" w:before="0"/>
      </w:pPr>
      <w:r>
        <w:t xml:space="preserve"/>
      </w:r>
    </w:p>
    <w:p>
      <w:pPr>
        <w:pStyle w:val="Heading2"/>
        <w:pBdr>
          <w:bottom w:val="single" w:color="5B21B6" w:sz="4" w:space="1"/>
        </w:pBdr>
        <w:spacing w:after="80" w:before="280"/>
      </w:pPr>
      <w:r>
        <w:rPr>
          <w:rFonts w:ascii="Arial" w:cs="Arial" w:eastAsia="Arial" w:hAnsi="Arial"/>
          <w:b/>
          <w:bCs/>
          <w:color w:val="5B21B6"/>
          <w:sz w:val="28"/>
          <w:szCs w:val="28"/>
        </w:rPr>
        <w:t xml:space="preserve">4.4  Strategic Application — Netso Canopy Product Line</w:t>
      </w:r>
    </w:p>
    <w:p>
      <w:pPr>
        <w:spacing w:after="80" w:before="60"/>
      </w:pPr>
      <w:r>
        <w:rPr>
          <w:rFonts w:ascii="Arial" w:cs="Arial" w:eastAsia="Arial" w:hAnsi="Arial"/>
          <w:sz w:val="22"/>
          <w:szCs w:val="22"/>
        </w:rPr>
        <w:t xml:space="preserve">The images you uploaded are directly aligned with a Netso premium offering: solar canopies on residential high-rises and commercial buildings that serve BOTH as power generation AND livable rooftop amenity. This unlocks a differentiated market segment beyond commodity EPC installation.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C" w:sz="1"/>
              <w:left w:val="single" w:color="1A6B3C" w:sz="1"/>
              <w:bottom w:val="single" w:color="1A6B3C" w:sz="1"/>
              <w:right w:val="single" w:color="1A6B3C" w:sz="1"/>
            </w:tcBorders>
            <w:shd w:fill="D1FAE5" w:val="clear"/>
            <w:tcMar>
              <w:top w:type="dxa" w:w="100"/>
              <w:left w:type="dxa" w:w="150"/>
              <w:bottom w:type="dxa" w:w="100"/>
              <w:right w:type="dxa" w:w="150"/>
            </w:tcMar>
          </w:tcPr>
          <w:p>
            <w:r>
              <w:rPr>
                <w:rFonts w:ascii="Arial" w:cs="Arial" w:eastAsia="Arial" w:hAnsi="Arial"/>
                <w:b/>
                <w:bCs/>
                <w:color w:val="1A6B3C"/>
                <w:sz w:val="22"/>
                <w:szCs w:val="22"/>
              </w:rPr>
              <w:t xml:space="preserve">Canopy Product — Revenue Case</w:t>
            </w:r>
          </w:p>
          <w:p>
            <w:r>
              <w:rPr>
                <w:rFonts w:ascii="Arial" w:cs="Arial" w:eastAsia="Arial" w:hAnsi="Arial"/>
                <w:sz w:val="19"/>
                <w:szCs w:val="19"/>
              </w:rPr>
              <w:t xml:space="preserve">Standard 50m² canopy install:
• 25 × Jinko 720Wp = 18 kWp
• Est. generation: 81 kWh/day
• Net metering savings: ৳608/day
• Annual savings: ৳221,920
• Rooftop usable space recovered: full 50m²
• Premium uplift vs rack: +20–40%
• Client willingness to pay: HIGH (lifestyle + savings)</w:t>
            </w:r>
          </w:p>
        </w:tc>
        <w:tc>
          <w:tcPr>
            <w:tcW w:type="dxa" w:w="4680"/>
            <w:tcBorders>
              <w:top w:val="single" w:color="991B1B" w:sz="1"/>
              <w:left w:val="single" w:color="991B1B" w:sz="1"/>
              <w:bottom w:val="single" w:color="991B1B" w:sz="1"/>
              <w:right w:val="single" w:color="991B1B" w:sz="1"/>
            </w:tcBorders>
            <w:shd w:fill="FEE2E2" w:val="clear"/>
            <w:tcMar>
              <w:top w:type="dxa" w:w="100"/>
              <w:left w:type="dxa" w:w="150"/>
              <w:bottom w:type="dxa" w:w="100"/>
              <w:right w:type="dxa" w:w="150"/>
            </w:tcMar>
          </w:tcPr>
          <w:p>
            <w:r>
              <w:rPr>
                <w:rFonts w:ascii="Arial" w:cs="Arial" w:eastAsia="Arial" w:hAnsi="Arial"/>
                <w:b/>
                <w:bCs/>
                <w:color w:val="991B1B"/>
                <w:sz w:val="22"/>
                <w:szCs w:val="22"/>
              </w:rPr>
              <w:t xml:space="preserve">Canopy Product — Risks</w:t>
            </w:r>
          </w:p>
          <w:p>
            <w:r>
              <w:rPr>
                <w:rFonts w:ascii="Arial" w:cs="Arial" w:eastAsia="Arial" w:hAnsi="Arial"/>
                <w:sz w:val="19"/>
                <w:szCs w:val="19"/>
              </w:rPr>
              <w:t xml:space="preserve">• BIPV glass NOT on SREDA approved list — cannot use for net metering. Must use Jinko 720W on top of canopy structure.
• Structural engineering required (Dhaka wind loads, cyclone risk).
• Canopy PV systems more expensive to install and maintain.
• BIPV glass import cost is significantly higher than panel cost.
• Onyx Solar requires partnership/distribution agreement.</w:t>
            </w:r>
          </w:p>
        </w:tc>
      </w:tr>
    </w:tbl>
    <w:p>
      <w:pPr>
        <w:spacing w:after="40" w:before="0"/>
      </w:pPr>
      <w:r>
        <w:t xml:space="preserve"/>
      </w:r>
    </w:p>
    <w:p>
      <w:pPr>
        <w:spacing w:after="80" w:before="60"/>
      </w:pPr>
      <w:r>
        <w:rPr>
          <w:rFonts w:ascii="Arial" w:cs="Arial" w:eastAsia="Arial" w:hAnsi="Arial"/>
          <w:b/>
          <w:bCs/>
          <w:color w:val="1B2A4A"/>
          <w:sz w:val="22"/>
          <w:szCs w:val="22"/>
        </w:rPr>
        <w:t xml:space="preserve">Recommended approach: Use SREDA-approved crystalline panels (Jinko 720W) mounted on an attractive canopy structure — not BIPV glass. This gives the lifestyle aesthetic from your concept images while maintaining net metering eligibility.</w:t>
      </w:r>
    </w:p>
    <w:p>
      <w:r>
        <w:br w:type="page"/>
      </w:r>
    </w:p>
    <w:p>
      <w:pPr>
        <w:pBdr>
          <w:top w:val="single" w:color="B45309" w:sz="8" w:space="2"/>
          <w:bottom w:val="single" w:color="CCCCCC" w:sz="2" w:space="1"/>
        </w:pBdr>
        <w:spacing w:after="160" w:before="320"/>
      </w:pPr>
      <w:r>
        <w:rPr>
          <w:rFonts w:ascii="Arial" w:cs="Arial" w:eastAsia="Arial" w:hAnsi="Arial"/>
          <w:b/>
          <w:bCs/>
          <w:color w:val="B45309"/>
          <w:sz w:val="22"/>
          <w:szCs w:val="22"/>
        </w:rPr>
        <w:t xml:space="preserve">  SECTION 5 — SREDA ACCEPTED LABORATORIES &amp; INVERTER COMPLIANCE  </w:t>
      </w:r>
    </w:p>
    <w:p>
      <w:pPr>
        <w:pStyle w:val="Heading2"/>
        <w:pBdr>
          <w:bottom w:val="single" w:color="B45309" w:sz="4" w:space="1"/>
        </w:pBdr>
        <w:spacing w:after="80" w:before="280"/>
      </w:pPr>
      <w:r>
        <w:rPr>
          <w:rFonts w:ascii="Arial" w:cs="Arial" w:eastAsia="Arial" w:hAnsi="Arial"/>
          <w:b/>
          <w:bCs/>
          <w:color w:val="B45309"/>
          <w:sz w:val="28"/>
          <w:szCs w:val="28"/>
        </w:rPr>
        <w:t xml:space="preserve">5.1  Accepted International Laboratories (24 Total)</w:t>
      </w:r>
    </w:p>
    <w:p>
      <w:pPr>
        <w:spacing w:after="80" w:before="60"/>
      </w:pPr>
      <w:r>
        <w:rPr>
          <w:rFonts w:ascii="Arial" w:cs="Arial" w:eastAsia="Arial" w:hAnsi="Arial"/>
          <w:sz w:val="22"/>
          <w:szCs w:val="22"/>
        </w:rPr>
        <w:t xml:space="preserve">Source: SREDA E-Service Desk — Accepted International Laboratories/CB. All inverters must be tested by one of these 24 labs under IEC 62109-1/2, IEC 61727, IEC 62116. Inverter brand ≠ compliance — verify PER MODEL.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800"/>
        <w:gridCol w:w="2200"/>
        <w:gridCol w:w="4040"/>
      </w:tblGrid>
      <w:tr>
        <w:tc>
          <w:tcPr>
            <w:tcW w:type="dxa" w:w="32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SL</w:t>
            </w:r>
          </w:p>
        </w:tc>
        <w:tc>
          <w:tcPr>
            <w:tcW w:type="dxa" w:w="28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Lab / CB</w:t>
            </w:r>
          </w:p>
        </w:tc>
        <w:tc>
          <w:tcPr>
            <w:tcW w:type="dxa" w:w="22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Location</w:t>
            </w:r>
          </w:p>
        </w:tc>
        <w:tc>
          <w:tcPr>
            <w:tcW w:type="dxa" w:w="404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Standards Covered</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SGS Tecnos</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Madrid, Spain</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IEC 62109-1/2, IEC 61727:2004, IEC 62116:2014</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2</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TUV Rheinland (India)</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Bangalore, India</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IEC 61215, 61730, 62109-1/2, 61727, 62116</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3</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TUV SUD (Guangzhou)</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Guangzhou, China</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IEC 62109-1/2, IEC 61727, IEC 62116</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4</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TUV SUD Product Service GmbH</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Munich, Germany</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IEC 61215, 61730, 62109-1/2, 61727, 62116</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5</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AIT Austrian Institute of Technology</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Vienna, Austria</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IEC 61215, IEC 61730</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6</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Yangzhou Opto-Electrical Products Testing Institute</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Yangzhou, China</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IEC 61215, IEC 61730</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7</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TUV Rheinland Italia</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Pogliano Milanese, Italy</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IEC 62109-1/2, IEC 61727, IEC 62116</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8</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TUV Rheinland Energy GmbH (SEACC)</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Koln, Germany</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IEC 61215, 61730, 61727, 61683, 62108, 61707</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9</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TUV Rheinland (Shanghai)</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Shanghai, China</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IEC 61215, 61730, 61853, 61727, 62109, 62116</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10</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TUV Rheinland LGA Products</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Koln, Germany</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IEC 62109, 61727, 62116, 61683, 60086-4</w:t>
            </w:r>
          </w:p>
        </w:tc>
      </w:tr>
      <w:tr>
        <w:tc>
          <w:tcPr>
            <w:tcW w:type="dxa" w:w="32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1–24</w:t>
            </w:r>
          </w:p>
        </w:tc>
        <w:tc>
          <w:tcPr>
            <w:tcW w:type="dxa" w:w="28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+ 14 more labs (CNAS China, NABL India, DAKKS Germany, ACCREDIA Italy, ENAC Spain)</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Various</w:t>
            </w:r>
          </w:p>
        </w:tc>
        <w:tc>
          <w:tcPr>
            <w:tcW w:type="dxa" w:w="404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Contact SREDA for full list if needed for non-TUV inverter certification</w:t>
            </w:r>
          </w:p>
        </w:tc>
      </w:tr>
    </w:tbl>
    <w:p>
      <w:pPr>
        <w:spacing w:after="60" w:before="0"/>
      </w:pPr>
      <w:r>
        <w:t xml:space="preserve"/>
      </w:r>
    </w:p>
    <w:p>
      <w:pPr>
        <w:pStyle w:val="Heading3"/>
        <w:spacing w:after="60" w:before="200"/>
      </w:pPr>
      <w:r>
        <w:rPr>
          <w:rFonts w:ascii="Arial" w:cs="Arial" w:eastAsia="Arial" w:hAnsi="Arial"/>
          <w:b/>
          <w:bCs/>
          <w:color w:val="374151"/>
          <w:sz w:val="24"/>
          <w:szCs w:val="24"/>
        </w:rPr>
        <w:t xml:space="preserve">Inverter Compliance Checklist (per model, not per brand)</w:t>
      </w:r>
    </w:p>
    <w:p>
      <w:pPr>
        <w:pStyle w:val="ListParagraph"/>
        <w:numPr>
          <w:ilvl w:val="0"/>
          <w:numId w:val="2"/>
        </w:numPr>
        <w:spacing w:after="40" w:before="40"/>
        <w:ind w:left="720" w:hanging="360"/>
      </w:pPr>
      <w:r>
        <w:rPr>
          <w:rFonts w:ascii="Arial" w:cs="Arial" w:eastAsia="Arial" w:hAnsi="Arial"/>
          <w:sz w:val="22"/>
          <w:szCs w:val="22"/>
        </w:rPr>
        <w:t xml:space="preserve">IEC 62109-1: Safety for power converters for use in PV power systems — Part 1: General requirements</w:t>
      </w:r>
    </w:p>
    <w:p>
      <w:pPr>
        <w:pStyle w:val="ListParagraph"/>
        <w:numPr>
          <w:ilvl w:val="0"/>
          <w:numId w:val="2"/>
        </w:numPr>
        <w:spacing w:after="40" w:before="40"/>
        <w:ind w:left="720" w:hanging="360"/>
      </w:pPr>
      <w:r>
        <w:rPr>
          <w:rFonts w:ascii="Arial" w:cs="Arial" w:eastAsia="Arial" w:hAnsi="Arial"/>
          <w:sz w:val="22"/>
          <w:szCs w:val="22"/>
        </w:rPr>
        <w:t xml:space="preserve">IEC 62109-2: Safety for power converters — Part 2: Particular requirements for inverters</w:t>
      </w:r>
    </w:p>
    <w:p>
      <w:pPr>
        <w:pStyle w:val="ListParagraph"/>
        <w:numPr>
          <w:ilvl w:val="0"/>
          <w:numId w:val="2"/>
        </w:numPr>
        <w:spacing w:after="40" w:before="40"/>
        <w:ind w:left="720" w:hanging="360"/>
      </w:pPr>
      <w:r>
        <w:rPr>
          <w:rFonts w:ascii="Arial" w:cs="Arial" w:eastAsia="Arial" w:hAnsi="Arial"/>
          <w:sz w:val="22"/>
          <w:szCs w:val="22"/>
        </w:rPr>
        <w:t xml:space="preserve">IEC 61727: Characteristics of the utility interface — grid connection standard</w:t>
      </w:r>
    </w:p>
    <w:p>
      <w:pPr>
        <w:pStyle w:val="ListParagraph"/>
        <w:numPr>
          <w:ilvl w:val="0"/>
          <w:numId w:val="2"/>
        </w:numPr>
        <w:spacing w:after="40" w:before="40"/>
        <w:ind w:left="720" w:hanging="360"/>
      </w:pPr>
      <w:r>
        <w:rPr>
          <w:rFonts w:ascii="Arial" w:cs="Arial" w:eastAsia="Arial" w:hAnsi="Arial"/>
          <w:sz w:val="22"/>
          <w:szCs w:val="22"/>
        </w:rPr>
        <w:t xml:space="preserve">IEC 62116: Islanding prevention measures — anti-islanding test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Inverter Brand</w:t>
            </w:r>
          </w:p>
        </w:tc>
        <w:tc>
          <w:tcPr>
            <w:tcW w:type="dxa" w:w="22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SREDA Lab Certified?</w:t>
            </w:r>
          </w:p>
        </w:tc>
        <w:tc>
          <w:tcPr>
            <w:tcW w:type="dxa" w:w="55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Action Required</w:t>
            </w:r>
          </w:p>
        </w:tc>
      </w:tr>
      <w:tr>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Sungrow</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Yes (TUV Rheinland certified)</w:t>
            </w:r>
          </w:p>
        </w:tc>
        <w:tc>
          <w:tcPr>
            <w:tcW w:type="dxa" w:w="5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Verify SPECIFIC MODEL number has IEC 62109-1/2, 61727, 62116. Do not assume brand = compliance.</w:t>
            </w:r>
          </w:p>
        </w:tc>
      </w:tr>
      <w:tr>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Huawei SUN2000</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Yes (multiple TUV labs)</w:t>
            </w:r>
          </w:p>
        </w:tc>
        <w:tc>
          <w:tcPr>
            <w:tcW w:type="dxa" w:w="5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Same — verify per model. Huawei is SREDA common in BD.</w:t>
            </w:r>
          </w:p>
        </w:tc>
      </w:tr>
      <w:tr>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Fronius</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Likely (TUV certified)</w:t>
            </w:r>
          </w:p>
        </w:tc>
        <w:tc>
          <w:tcPr>
            <w:tcW w:type="dxa" w:w="5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Verify per model before spec'ing.</w:t>
            </w:r>
          </w:p>
        </w:tc>
      </w:tr>
      <w:tr>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SMA</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Likely (TUV certified)</w:t>
            </w:r>
          </w:p>
        </w:tc>
        <w:tc>
          <w:tcPr>
            <w:tcW w:type="dxa" w:w="5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Verify per model.</w:t>
            </w:r>
          </w:p>
        </w:tc>
      </w:tr>
      <w:tr>
        <w:tc>
          <w:tcPr>
            <w:tcW w:type="dxa" w:w="16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Local/Unknown Brand</w:t>
            </w:r>
          </w:p>
        </w:tc>
        <w:tc>
          <w:tcPr>
            <w:tcW w:type="dxa" w:w="22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Unknown — HIGH RISK</w:t>
            </w:r>
          </w:p>
        </w:tc>
        <w:tc>
          <w:tcPr>
            <w:tcW w:type="dxa" w:w="55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Do NOT spec without SREDA lab certification. Utility will reject net metering application.</w:t>
            </w:r>
          </w:p>
        </w:tc>
      </w:tr>
    </w:tbl>
    <w:p>
      <w:r>
        <w:br w:type="page"/>
      </w:r>
    </w:p>
    <w:p>
      <w:pPr>
        <w:pBdr>
          <w:top w:val="single" w:color="991B1B" w:sz="8" w:space="2"/>
          <w:bottom w:val="single" w:color="CCCCCC" w:sz="2" w:space="1"/>
        </w:pBdr>
        <w:spacing w:after="160" w:before="320"/>
      </w:pPr>
      <w:r>
        <w:rPr>
          <w:rFonts w:ascii="Arial" w:cs="Arial" w:eastAsia="Arial" w:hAnsi="Arial"/>
          <w:b/>
          <w:bCs/>
          <w:color w:val="991B1B"/>
          <w:sz w:val="22"/>
          <w:szCs w:val="22"/>
        </w:rPr>
        <w:t xml:space="preserve">  SECTION 6 — BANGLADESH ELECTRICITY GRID CODE 2019 (BERC)  </w:t>
      </w:r>
    </w:p>
    <w:p>
      <w:pPr>
        <w:pStyle w:val="Heading2"/>
        <w:pBdr>
          <w:bottom w:val="single" w:color="991B1B" w:sz="4" w:space="1"/>
        </w:pBdr>
        <w:spacing w:after="80" w:before="280"/>
      </w:pPr>
      <w:r>
        <w:rPr>
          <w:rFonts w:ascii="Arial" w:cs="Arial" w:eastAsia="Arial" w:hAnsi="Arial"/>
          <w:b/>
          <w:bCs/>
          <w:color w:val="991B1B"/>
          <w:sz w:val="28"/>
          <w:szCs w:val="28"/>
        </w:rPr>
        <w:t xml:space="preserve">6.1  Grid Code Overview — What It Means for Netso</w:t>
      </w:r>
    </w:p>
    <w:p>
      <w:pPr>
        <w:spacing w:after="80" w:before="60"/>
      </w:pPr>
      <w:r>
        <w:rPr>
          <w:rFonts w:ascii="Arial" w:cs="Arial" w:eastAsia="Arial" w:hAnsi="Arial"/>
          <w:sz w:val="22"/>
          <w:szCs w:val="22"/>
        </w:rPr>
        <w:t xml:space="preserve">Source: Bangladesh Energy Regulatory Commission (BERC) Electricity Grid Code Regulations 2019 (S.R.O. No. 410-Law/2019, gazetted January 9, 2020). This is the technical bible for grid-connected solar in Bangladesh.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Grid Code Area</w:t>
            </w:r>
          </w:p>
        </w:tc>
        <w:tc>
          <w:tcPr>
            <w:tcW w:type="dxa" w:w="696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Netso Implication</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Planning Standards</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Your system design must be compatible with transmission system criteria — relevant for 33kV bulk tariff customers.</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Connection Conditions</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Technical standards your inverters and interconnect must meet before utility approval of net metering application.</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Frequency &amp; Voltage Mgmt</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Inverter must comply with grid frequency (50Hz) and voltage tolerance. IEC 61727 + 62116 inverter certs cover this.</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Protection Requirements</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Anti-islanding mandatory (IEC 62116). Must disconnect on grid fault within specified time.</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Metering</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Bidirectional metering required — net metering meter installation is utility's responsibility but Netso must coordinate.</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Outage Planning</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You cannot work on grid-connected equipment during scheduled outages without utility clearance.</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Communication &amp; Data</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For large systems (&gt;100kWp), SCADA/telemetry may be required by the distribution licensee.</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Performance Standards</w:t>
            </w:r>
          </w:p>
        </w:tc>
        <w:tc>
          <w:tcPr>
            <w:tcW w:type="dxa" w:w="696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Financial standards apply to licensees — Netso as EPC is not a licensee but subcontractors on licensed connections have obligations.</w:t>
            </w:r>
          </w:p>
        </w:tc>
      </w:tr>
    </w:tbl>
    <w:p>
      <w:pPr>
        <w:spacing w:after="60" w:before="0"/>
      </w:pPr>
      <w:r>
        <w:t xml:space="preserve"/>
      </w:r>
    </w:p>
    <w:p>
      <w:pPr>
        <w:spacing w:after="80" w:before="60"/>
      </w:pPr>
      <w:r>
        <w:rPr>
          <w:rFonts w:ascii="Arial" w:cs="Arial" w:eastAsia="Arial" w:hAnsi="Arial"/>
          <w:b/>
          <w:bCs/>
          <w:color w:val="991B1B"/>
          <w:sz w:val="22"/>
          <w:szCs w:val="22"/>
        </w:rPr>
        <w:t xml:space="preserve">Grid Code + Electricity Act 2018 Combined: Your Legal Exposure Map</w:t>
      </w:r>
    </w:p>
    <w:p>
      <w:pPr>
        <w:pStyle w:val="ListParagraph"/>
        <w:numPr>
          <w:ilvl w:val="0"/>
          <w:numId w:val="2"/>
        </w:numPr>
        <w:spacing w:after="40" w:before="40"/>
        <w:ind w:left="720" w:hanging="360"/>
      </w:pPr>
      <w:r>
        <w:rPr>
          <w:rFonts w:ascii="Arial" w:cs="Arial" w:eastAsia="Arial" w:hAnsi="Arial"/>
          <w:sz w:val="22"/>
          <w:szCs w:val="22"/>
        </w:rPr>
        <w:t xml:space="preserve">Section 7 (Electricity Act 2018): No modification to licensee lines/plant without written consent. → Written utility approval MUST be in hand before any grid connection work begins. Make this a milestone payment condition in your EPC contract.</w:t>
      </w:r>
    </w:p>
    <w:p>
      <w:pPr>
        <w:pStyle w:val="ListParagraph"/>
        <w:numPr>
          <w:ilvl w:val="0"/>
          <w:numId w:val="2"/>
        </w:numPr>
        <w:spacing w:after="40" w:before="40"/>
        <w:ind w:left="720" w:hanging="360"/>
      </w:pPr>
      <w:r>
        <w:rPr>
          <w:rFonts w:ascii="Arial" w:cs="Arial" w:eastAsia="Arial" w:hAnsi="Arial"/>
          <w:sz w:val="22"/>
          <w:szCs w:val="22"/>
        </w:rPr>
        <w:t xml:space="preserve">Section 52: Personal liability — company offences flow to owner/director unless due diligence proven. → Build installation milestone checklists as your paper trail.</w:t>
      </w:r>
    </w:p>
    <w:p>
      <w:pPr>
        <w:pStyle w:val="ListParagraph"/>
        <w:numPr>
          <w:ilvl w:val="0"/>
          <w:numId w:val="2"/>
        </w:numPr>
        <w:spacing w:after="40" w:before="40"/>
        <w:ind w:left="720" w:hanging="360"/>
      </w:pPr>
      <w:r>
        <w:rPr>
          <w:rFonts w:ascii="Arial" w:cs="Arial" w:eastAsia="Arial" w:hAnsi="Arial"/>
          <w:sz w:val="22"/>
          <w:szCs w:val="22"/>
        </w:rPr>
        <w:t xml:space="preserve">Section 43 (Abetment): Subcontractors doing unsafe work on your job site = you are liable as abettor. → Subcontractor agreements MUST include safety compliance milestone sign-offs.</w:t>
      </w:r>
    </w:p>
    <w:p>
      <w:pPr>
        <w:pStyle w:val="ListParagraph"/>
        <w:numPr>
          <w:ilvl w:val="0"/>
          <w:numId w:val="2"/>
        </w:numPr>
        <w:spacing w:after="40" w:before="40"/>
        <w:ind w:left="720" w:hanging="360"/>
      </w:pPr>
      <w:r>
        <w:rPr>
          <w:rFonts w:ascii="Arial" w:cs="Arial" w:eastAsia="Arial" w:hAnsi="Arial"/>
          <w:sz w:val="22"/>
          <w:szCs w:val="22"/>
        </w:rPr>
        <w:t xml:space="preserve">Grid Code + BERC jurisdiction: BERC can investigate, penalise, and suspend operations for grid code violations. → Non-compliant inverter or unauthorized grid connection = BERC enforcement risk.</w:t>
      </w:r>
    </w:p>
    <w:p>
      <w:r>
        <w:br w:type="page"/>
      </w:r>
    </w:p>
    <w:p>
      <w:pPr>
        <w:pBdr>
          <w:top w:val="single" w:color="1A6B3C" w:sz="8" w:space="2"/>
          <w:bottom w:val="single" w:color="CCCCCC" w:sz="2" w:space="1"/>
        </w:pBdr>
        <w:spacing w:after="160" w:before="320"/>
      </w:pPr>
      <w:r>
        <w:rPr>
          <w:rFonts w:ascii="Arial" w:cs="Arial" w:eastAsia="Arial" w:hAnsi="Arial"/>
          <w:b/>
          <w:bCs/>
          <w:color w:val="1A6B3C"/>
          <w:sz w:val="22"/>
          <w:szCs w:val="22"/>
        </w:rPr>
        <w:t xml:space="preserve">  SECTION 7 — RESCO / OPEX BUSINESS MODEL INTELLIGENCE  </w:t>
      </w:r>
    </w:p>
    <w:p>
      <w:pPr>
        <w:pStyle w:val="Heading2"/>
        <w:pBdr>
          <w:bottom w:val="single" w:color="1A6B3C" w:sz="4" w:space="1"/>
        </w:pBdr>
        <w:spacing w:after="80" w:before="280"/>
      </w:pPr>
      <w:r>
        <w:rPr>
          <w:rFonts w:ascii="Arial" w:cs="Arial" w:eastAsia="Arial" w:hAnsi="Arial"/>
          <w:b/>
          <w:bCs/>
          <w:color w:val="1A6B3C"/>
          <w:sz w:val="28"/>
          <w:szCs w:val="28"/>
        </w:rPr>
        <w:t xml:space="preserve">7.1  What RESCO/OPEX Model Means for Netso</w:t>
      </w:r>
    </w:p>
    <w:p>
      <w:pPr>
        <w:spacing w:after="80" w:before="60"/>
      </w:pPr>
      <w:r>
        <w:rPr>
          <w:rFonts w:ascii="Arial" w:cs="Arial" w:eastAsia="Arial" w:hAnsi="Arial"/>
          <w:sz w:val="22"/>
          <w:szCs w:val="22"/>
        </w:rPr>
        <w:t xml:space="preserve">SREDA's RESCO registry is specifically for OPEX investors — companies that OWN the solar system and sell electricity to the customer (rather than selling the system outright). This is distinct from Netso's current EPC (capex) model.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Dimension</w:t>
            </w:r>
          </w:p>
        </w:tc>
        <w:tc>
          <w:tcPr>
            <w:tcW w:type="dxa" w:w="348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EPC / CAPEX Model (Current)</w:t>
            </w:r>
          </w:p>
        </w:tc>
        <w:tc>
          <w:tcPr>
            <w:tcW w:type="dxa" w:w="348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RESCO / OPEX Model (Future)</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Revenue model</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One-time installation fee</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Monthly electricity sales to customer</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Who owns the system</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Customer owns after install</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Netso owns for 10–25 years</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Customer payment</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৳80K–115K/kWp upfront</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৳/kWh at discount to grid rate</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Netso working capital</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Recovered within 60 days of install</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7–10 year payback on capex</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Risk to customer</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High (full system cost)</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Zero (no upfront)</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Risk to Netso</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Low (paid before/during install)</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High (must finance system cost, recover over years)</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SREDA registration</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EPC license (not in RESCO form)</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RESCO form + SREDA directory (this form)</w:t>
            </w:r>
          </w:p>
        </w:tc>
      </w:tr>
      <w:tr>
        <w:tc>
          <w:tcPr>
            <w:tcW w:type="dxa" w:w="240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Recommended for Netso now</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YES — primary model</w:t>
            </w:r>
          </w:p>
        </w:tc>
        <w:tc>
          <w:tcPr>
            <w:tcW w:type="dxa" w:w="3480"/>
            <w:tcBorders>
              <w:top w:val="single" w:color="DDDDDD" w:sz="1"/>
              <w:left w:val="single" w:color="DDDDDD" w:sz="1"/>
              <w:bottom w:val="single" w:color="DDDDDD" w:sz="1"/>
              <w:right w:val="single" w:color="DDDDDD" w:sz="1"/>
            </w:tcBorders>
            <w:tcMar>
              <w:top w:type="dxa" w:w="60"/>
              <w:left w:type="dxa" w:w="80"/>
              <w:bottom w:type="dxa" w:w="60"/>
              <w:right w:type="dxa" w:w="80"/>
            </w:tcMar>
          </w:tcPr>
          <w:p>
            <w:r>
              <w:rPr>
                <w:rFonts w:ascii="Arial" w:cs="Arial" w:eastAsia="Arial" w:hAnsi="Arial"/>
                <w:sz w:val="18"/>
                <w:szCs w:val="18"/>
              </w:rPr>
              <w:t xml:space="preserve">Future Phase 2 once IDCOL/BIFFL financing secured</w:t>
            </w:r>
          </w:p>
        </w:tc>
      </w:tr>
    </w:tbl>
    <w:p>
      <w:pPr>
        <w:spacing w:after="60" w:before="0"/>
      </w:pPr>
      <w:r>
        <w:t xml:space="preserve"/>
      </w:r>
    </w:p>
    <w:p>
      <w:pPr>
        <w:spacing w:after="80" w:before="60"/>
      </w:pPr>
      <w:r>
        <w:rPr>
          <w:rFonts w:ascii="Arial" w:cs="Arial" w:eastAsia="Arial" w:hAnsi="Arial"/>
          <w:b/>
          <w:bCs/>
          <w:color w:val="1A6B3C"/>
          <w:sz w:val="22"/>
          <w:szCs w:val="22"/>
        </w:rPr>
        <w:t xml:space="preserve">Strategic recommendation: Register as RESCO now (the form is there, it's free, it gets you in SREDA's directory and tender pipeline). But operate as EPC first. Convert select clients to OPEX when IDCOL financing is secured.</w:t>
      </w:r>
    </w:p>
    <w:p>
      <w:r>
        <w:br w:type="page"/>
      </w:r>
    </w:p>
    <w:p>
      <w:pPr>
        <w:pBdr>
          <w:top w:val="single" w:color="1B2A4A" w:sz="8" w:space="2"/>
          <w:bottom w:val="single" w:color="CCCCCC" w:sz="2" w:space="1"/>
        </w:pBdr>
        <w:spacing w:after="160" w:before="320"/>
      </w:pPr>
      <w:r>
        <w:rPr>
          <w:rFonts w:ascii="Arial" w:cs="Arial" w:eastAsia="Arial" w:hAnsi="Arial"/>
          <w:b/>
          <w:bCs/>
          <w:color w:val="1B2A4A"/>
          <w:sz w:val="22"/>
          <w:szCs w:val="22"/>
        </w:rPr>
        <w:t xml:space="preserve">  SECTION 8 — MASTER ACTION LIST (SYNTHESISED FROM ALL SOURCES)  </w:t>
      </w:r>
    </w:p>
    <w:p>
      <w:pPr>
        <w:pStyle w:val="Heading2"/>
        <w:pBdr>
          <w:bottom w:val="single" w:color="991B1B" w:sz="4" w:space="1"/>
        </w:pBdr>
        <w:spacing w:after="80" w:before="280"/>
      </w:pPr>
      <w:r>
        <w:rPr>
          <w:rFonts w:ascii="Arial" w:cs="Arial" w:eastAsia="Arial" w:hAnsi="Arial"/>
          <w:b/>
          <w:bCs/>
          <w:color w:val="991B1B"/>
          <w:sz w:val="28"/>
          <w:szCs w:val="28"/>
        </w:rPr>
        <w:t xml:space="preserve">8.1  This Week — Non-Negotiable</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991B1B" w:sz="1"/>
              <w:left w:val="single" w:color="991B1B" w:sz="1"/>
              <w:bottom w:val="single" w:color="991B1B" w:sz="1"/>
              <w:right w:val="single" w:color="991B1B" w:sz="1"/>
            </w:tcBorders>
            <w:shd w:fill="FEE2E2" w:val="clear"/>
            <w:tcMar>
              <w:top w:type="dxa" w:w="80"/>
              <w:left w:type="dxa" w:w="120"/>
              <w:bottom w:type="dxa" w:w="80"/>
              <w:right w:type="dxa" w:w="120"/>
            </w:tcMar>
          </w:tcPr>
          <w:p>
            <w:pPr>
              <w:jc w:val="center"/>
            </w:pPr>
            <w:r>
              <w:rPr>
                <w:rFonts w:ascii="Arial" w:cs="Arial" w:eastAsia="Arial" w:hAnsi="Arial"/>
                <w:b/>
                <w:bCs/>
                <w:color w:val="991B1B"/>
                <w:sz w:val="28"/>
                <w:szCs w:val="28"/>
              </w:rPr>
              <w:t xml:space="preserve">1</w:t>
            </w:r>
          </w:p>
        </w:tc>
        <w:tc>
          <w:tcPr>
            <w:tcW w:type="dxa" w:w="8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SREDA RESCO Registration</w:t>
            </w:r>
          </w:p>
          <w:p>
            <w:r>
              <w:rPr>
                <w:rFonts w:ascii="Arial" w:cs="Arial" w:eastAsia="Arial" w:hAnsi="Arial"/>
                <w:sz w:val="20"/>
                <w:szCs w:val="20"/>
              </w:rPr>
              <w:t xml:space="preserve">Get Stakeholder ID from stdb.sreda.gov.bd first. Then complete SREDA Google Form. Email: ad.solar@sreda.gov.bd. Takes 1 day.</w:t>
            </w:r>
          </w:p>
        </w:tc>
      </w:tr>
      <w:tr>
        <w:tc>
          <w:tcPr>
            <w:tcW w:type="dxa" w:w="440"/>
            <w:tcBorders>
              <w:top w:val="single" w:color="991B1B" w:sz="1"/>
              <w:left w:val="single" w:color="991B1B" w:sz="1"/>
              <w:bottom w:val="single" w:color="991B1B" w:sz="1"/>
              <w:right w:val="single" w:color="991B1B" w:sz="1"/>
            </w:tcBorders>
            <w:shd w:fill="FEE2E2" w:val="clear"/>
            <w:tcMar>
              <w:top w:type="dxa" w:w="80"/>
              <w:left w:type="dxa" w:w="120"/>
              <w:bottom w:type="dxa" w:w="80"/>
              <w:right w:type="dxa" w:w="120"/>
            </w:tcMar>
          </w:tcPr>
          <w:p>
            <w:pPr>
              <w:jc w:val="center"/>
            </w:pPr>
            <w:r>
              <w:rPr>
                <w:rFonts w:ascii="Arial" w:cs="Arial" w:eastAsia="Arial" w:hAnsi="Arial"/>
                <w:b/>
                <w:bCs/>
                <w:color w:val="991B1B"/>
                <w:sz w:val="28"/>
                <w:szCs w:val="28"/>
              </w:rPr>
              <w:t xml:space="preserve">2</w:t>
            </w:r>
          </w:p>
        </w:tc>
        <w:tc>
          <w:tcPr>
            <w:tcW w:type="dxa" w:w="8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Update constants.py — SREDA Compliant Values</w:t>
            </w:r>
          </w:p>
          <w:p>
            <w:r>
              <w:rPr>
                <w:rFonts w:ascii="Courier New" w:cs="Courier New" w:eastAsia="Courier New" w:hAnsi="Courier New"/>
                <w:sz w:val="20"/>
                <w:szCs w:val="20"/>
              </w:rPr>
              <w:t xml:space="preserve">PANEL_WP=720, PANEL_LENGTH=2.278m, PANEL_WIDTH=1.134m, USABLE_RATIO=0.52 (dynamic formula), BIFACIAL_GAIN=1.05, PERFORMANCE_RATIO=0.78</w:t>
            </w:r>
          </w:p>
        </w:tc>
      </w:tr>
      <w:tr>
        <w:tc>
          <w:tcPr>
            <w:tcW w:type="dxa" w:w="440"/>
            <w:tcBorders>
              <w:top w:val="single" w:color="991B1B" w:sz="1"/>
              <w:left w:val="single" w:color="991B1B" w:sz="1"/>
              <w:bottom w:val="single" w:color="991B1B" w:sz="1"/>
              <w:right w:val="single" w:color="991B1B" w:sz="1"/>
            </w:tcBorders>
            <w:shd w:fill="FEE2E2" w:val="clear"/>
            <w:tcMar>
              <w:top w:type="dxa" w:w="80"/>
              <w:left w:type="dxa" w:w="120"/>
              <w:bottom w:type="dxa" w:w="80"/>
              <w:right w:type="dxa" w:w="120"/>
            </w:tcMar>
          </w:tcPr>
          <w:p>
            <w:pPr>
              <w:jc w:val="center"/>
            </w:pPr>
            <w:r>
              <w:rPr>
                <w:rFonts w:ascii="Arial" w:cs="Arial" w:eastAsia="Arial" w:hAnsi="Arial"/>
                <w:b/>
                <w:bCs/>
                <w:color w:val="991B1B"/>
                <w:sz w:val="28"/>
                <w:szCs w:val="28"/>
              </w:rPr>
              <w:t xml:space="preserve">3</w:t>
            </w:r>
          </w:p>
        </w:tc>
        <w:tc>
          <w:tcPr>
            <w:tcW w:type="dxa" w:w="8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Trademark Filing — DPDT Class 37 + 40</w:t>
            </w:r>
          </w:p>
          <w:p>
            <w:r>
              <w:rPr>
                <w:rFonts w:ascii="Arial" w:cs="Arial" w:eastAsia="Arial" w:hAnsi="Arial"/>
                <w:sz w:val="20"/>
                <w:szCs w:val="20"/>
              </w:rPr>
              <w:t xml:space="preserve">~৳5,000. Department of Patents, Designs and Trademarks, Bangladesh. 2 hours to file.</w:t>
            </w:r>
          </w:p>
        </w:tc>
      </w:tr>
      <w:tr>
        <w:tc>
          <w:tcPr>
            <w:tcW w:type="dxa" w:w="440"/>
            <w:tcBorders>
              <w:top w:val="single" w:color="991B1B" w:sz="1"/>
              <w:left w:val="single" w:color="991B1B" w:sz="1"/>
              <w:bottom w:val="single" w:color="991B1B" w:sz="1"/>
              <w:right w:val="single" w:color="991B1B" w:sz="1"/>
            </w:tcBorders>
            <w:shd w:fill="FEE2E2" w:val="clear"/>
            <w:tcMar>
              <w:top w:type="dxa" w:w="80"/>
              <w:left w:type="dxa" w:w="120"/>
              <w:bottom w:type="dxa" w:w="80"/>
              <w:right w:type="dxa" w:w="120"/>
            </w:tcMar>
          </w:tcPr>
          <w:p>
            <w:pPr>
              <w:jc w:val="center"/>
            </w:pPr>
            <w:r>
              <w:rPr>
                <w:rFonts w:ascii="Arial" w:cs="Arial" w:eastAsia="Arial" w:hAnsi="Arial"/>
                <w:b/>
                <w:bCs/>
                <w:color w:val="991B1B"/>
                <w:sz w:val="28"/>
                <w:szCs w:val="28"/>
              </w:rPr>
              <w:t xml:space="preserve">4</w:t>
            </w:r>
          </w:p>
        </w:tc>
        <w:tc>
          <w:tcPr>
            <w:tcW w:type="dxa" w:w="8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Populate Google Drive Folders</w:t>
            </w:r>
          </w:p>
          <w:p>
            <w:r>
              <w:rPr>
                <w:rFonts w:ascii="Arial" w:cs="Arial" w:eastAsia="Arial" w:hAnsi="Arial"/>
                <w:sz w:val="20"/>
                <w:szCs w:val="20"/>
              </w:rPr>
              <w:t xml:space="preserve">All documents built in these sessions must be uploaded. Drive is currently empty.</w:t>
            </w:r>
          </w:p>
        </w:tc>
      </w:tr>
    </w:tbl>
    <w:p>
      <w:pPr>
        <w:spacing w:after="80" w:before="0"/>
      </w:pPr>
      <w:r>
        <w:t xml:space="preserve"/>
      </w:r>
    </w:p>
    <w:p>
      <w:pPr>
        <w:pStyle w:val="Heading2"/>
        <w:pBdr>
          <w:bottom w:val="single" w:color="B45309" w:sz="4" w:space="1"/>
        </w:pBdr>
        <w:spacing w:after="80" w:before="280"/>
      </w:pPr>
      <w:r>
        <w:rPr>
          <w:rFonts w:ascii="Arial" w:cs="Arial" w:eastAsia="Arial" w:hAnsi="Arial"/>
          <w:b/>
          <w:bCs/>
          <w:color w:val="B45309"/>
          <w:sz w:val="28"/>
          <w:szCs w:val="28"/>
        </w:rPr>
        <w:t xml:space="preserve">8.2  Before First Install</w:t>
      </w:r>
    </w:p>
    <w:p>
      <w:pPr>
        <w:pStyle w:val="ListParagraph"/>
        <w:numPr>
          <w:ilvl w:val="0"/>
          <w:numId w:val="2"/>
        </w:numPr>
        <w:spacing w:after="40" w:before="40"/>
        <w:ind w:left="720" w:hanging="360"/>
      </w:pPr>
      <w:r>
        <w:rPr>
          <w:rFonts w:ascii="Arial" w:cs="Arial" w:eastAsia="Arial" w:hAnsi="Arial"/>
          <w:sz w:val="22"/>
          <w:szCs w:val="22"/>
        </w:rPr>
        <w:t xml:space="preserve">Customer EPC contract — Bangladeshi energy lawyer (৳20,000–50,000). Must include: utility approval as condition precedent to grid connection (Section 7), installation milestone sign-offs (Section 52 due diligence), liability cap at contract value.</w:t>
      </w:r>
    </w:p>
    <w:p>
      <w:pPr>
        <w:pStyle w:val="ListParagraph"/>
        <w:numPr>
          <w:ilvl w:val="0"/>
          <w:numId w:val="2"/>
        </w:numPr>
        <w:spacing w:after="40" w:before="40"/>
        <w:ind w:left="720" w:hanging="360"/>
      </w:pPr>
      <w:r>
        <w:rPr>
          <w:rFonts w:ascii="Arial" w:cs="Arial" w:eastAsia="Arial" w:hAnsi="Arial"/>
          <w:sz w:val="22"/>
          <w:szCs w:val="22"/>
        </w:rPr>
        <w:t xml:space="preserve">Subcontractor agreement — Section 43 abetment liability mitigation. Include safety checklist sign-offs at each installation milestone.</w:t>
      </w:r>
    </w:p>
    <w:p>
      <w:pPr>
        <w:pStyle w:val="ListParagraph"/>
        <w:numPr>
          <w:ilvl w:val="0"/>
          <w:numId w:val="2"/>
        </w:numPr>
        <w:spacing w:after="40" w:before="40"/>
        <w:ind w:left="720" w:hanging="360"/>
      </w:pPr>
      <w:r>
        <w:rPr>
          <w:rFonts w:ascii="Arial" w:cs="Arial" w:eastAsia="Arial" w:hAnsi="Arial"/>
          <w:sz w:val="22"/>
          <w:szCs w:val="22"/>
        </w:rPr>
        <w:t xml:space="preserve">15-point rooftop structural inspection checklist — standardise this before any site visit.</w:t>
      </w:r>
    </w:p>
    <w:p>
      <w:pPr>
        <w:pStyle w:val="ListParagraph"/>
        <w:numPr>
          <w:ilvl w:val="0"/>
          <w:numId w:val="2"/>
        </w:numPr>
        <w:spacing w:after="40" w:before="40"/>
        <w:ind w:left="720" w:hanging="360"/>
      </w:pPr>
      <w:r>
        <w:rPr>
          <w:rFonts w:ascii="Arial" w:cs="Arial" w:eastAsia="Arial" w:hAnsi="Arial"/>
          <w:sz w:val="22"/>
          <w:szCs w:val="22"/>
        </w:rPr>
        <w:t xml:space="preserve">Verify inverter per model: Sungrow and Huawei models must have individual SREDA lab certification (IEC 62109-1/2, 61727, 62116). Brand alone is not sufficient.</w:t>
      </w:r>
    </w:p>
    <w:p>
      <w:pPr>
        <w:spacing w:after="80" w:before="0"/>
      </w:pPr>
      <w:r>
        <w:t xml:space="preserve"/>
      </w:r>
    </w:p>
    <w:p>
      <w:pPr>
        <w:pStyle w:val="Heading2"/>
        <w:pBdr>
          <w:bottom w:val="single" w:color="B45309" w:sz="4" w:space="1"/>
        </w:pBdr>
        <w:spacing w:after="80" w:before="280"/>
      </w:pPr>
      <w:r>
        <w:rPr>
          <w:rFonts w:ascii="Arial" w:cs="Arial" w:eastAsia="Arial" w:hAnsi="Arial"/>
          <w:b/>
          <w:bCs/>
          <w:color w:val="B45309"/>
          <w:sz w:val="28"/>
          <w:szCs w:val="28"/>
        </w:rPr>
        <w:t xml:space="preserve">8.3  Before Proposal Stage</w:t>
      </w:r>
    </w:p>
    <w:p>
      <w:pPr>
        <w:pStyle w:val="ListParagraph"/>
        <w:numPr>
          <w:ilvl w:val="0"/>
          <w:numId w:val="2"/>
        </w:numPr>
        <w:spacing w:after="40" w:before="40"/>
        <w:ind w:left="720" w:hanging="360"/>
      </w:pPr>
      <w:r>
        <w:rPr>
          <w:rFonts w:ascii="Arial" w:cs="Arial" w:eastAsia="Arial" w:hAnsi="Arial"/>
          <w:sz w:val="22"/>
          <w:szCs w:val="22"/>
        </w:rPr>
        <w:t xml:space="preserve">O&amp;M contract template — ৳5,000/yr revenue only materialises with signed contract. Include: 2 visits/yr, 48-hr emergency SLA, auto-renewal, CPI escalation.</w:t>
      </w:r>
    </w:p>
    <w:p>
      <w:pPr>
        <w:pStyle w:val="ListParagraph"/>
        <w:numPr>
          <w:ilvl w:val="0"/>
          <w:numId w:val="2"/>
        </w:numPr>
        <w:spacing w:after="40" w:before="40"/>
        <w:ind w:left="720" w:hanging="360"/>
      </w:pPr>
      <w:r>
        <w:rPr>
          <w:rFonts w:ascii="Arial" w:cs="Arial" w:eastAsia="Arial" w:hAnsi="Arial"/>
          <w:sz w:val="22"/>
          <w:szCs w:val="22"/>
        </w:rPr>
        <w:t xml:space="preserve">Supplier framework agreements — panels from SREDA approved list ONLY (Jinko JKM720N-66HL5-BDV as primary). Lock pricing 60–90 days from quote.</w:t>
      </w:r>
    </w:p>
    <w:p>
      <w:pPr>
        <w:pStyle w:val="ListParagraph"/>
        <w:numPr>
          <w:ilvl w:val="0"/>
          <w:numId w:val="2"/>
        </w:numPr>
        <w:spacing w:after="40" w:before="40"/>
        <w:ind w:left="720" w:hanging="360"/>
      </w:pPr>
      <w:r>
        <w:rPr>
          <w:rFonts w:ascii="Arial" w:cs="Arial" w:eastAsia="Arial" w:hAnsi="Arial"/>
          <w:sz w:val="22"/>
          <w:szCs w:val="22"/>
        </w:rPr>
        <w:t xml:space="preserve">Bluesun procurement option — BSM565M10-72HPH is SREDA approved (SL#109). Good for smaller systems where 720W panels are oversized.</w:t>
      </w:r>
    </w:p>
    <w:p>
      <w:pPr>
        <w:spacing w:after="80" w:before="0"/>
      </w:pPr>
      <w:r>
        <w:t xml:space="preserve"/>
      </w:r>
    </w:p>
    <w:p>
      <w:pPr>
        <w:pStyle w:val="Heading2"/>
        <w:pBdr>
          <w:bottom w:val="single" w:color="B45309" w:sz="4" w:space="1"/>
        </w:pBdr>
        <w:spacing w:after="80" w:before="280"/>
      </w:pPr>
      <w:r>
        <w:rPr>
          <w:rFonts w:ascii="Arial" w:cs="Arial" w:eastAsia="Arial" w:hAnsi="Arial"/>
          <w:b/>
          <w:bCs/>
          <w:color w:val="B45309"/>
          <w:sz w:val="28"/>
          <w:szCs w:val="28"/>
        </w:rPr>
        <w:t xml:space="preserve">8.4  Before Month 2</w:t>
      </w:r>
    </w:p>
    <w:p>
      <w:pPr>
        <w:pStyle w:val="ListParagraph"/>
        <w:numPr>
          <w:ilvl w:val="0"/>
          <w:numId w:val="2"/>
        </w:numPr>
        <w:spacing w:after="40" w:before="40"/>
        <w:ind w:left="720" w:hanging="360"/>
      </w:pPr>
      <w:r>
        <w:rPr>
          <w:rFonts w:ascii="Arial" w:cs="Arial" w:eastAsia="Arial" w:hAnsi="Arial"/>
          <w:sz w:val="22"/>
          <w:szCs w:val="22"/>
        </w:rPr>
        <w:t xml:space="preserve">Confirm NBR tax holiday eligibility with Bangladesh CA — applies to BOO power plants, not automatically to EPC service companies.</w:t>
      </w:r>
    </w:p>
    <w:p>
      <w:pPr>
        <w:pStyle w:val="ListParagraph"/>
        <w:numPr>
          <w:ilvl w:val="0"/>
          <w:numId w:val="2"/>
        </w:numPr>
        <w:spacing w:after="40" w:before="40"/>
        <w:ind w:left="720" w:hanging="360"/>
      </w:pPr>
      <w:r>
        <w:rPr>
          <w:rFonts w:ascii="Arial" w:cs="Arial" w:eastAsia="Arial" w:hAnsi="Arial"/>
          <w:sz w:val="22"/>
          <w:szCs w:val="22"/>
        </w:rPr>
        <w:t xml:space="preserve">Confirm AIT (Advance Income Tax) on panel imports is included in ৳80K–115K/kWp cost model — if not, your margins are overstated.</w:t>
      </w:r>
    </w:p>
    <w:p>
      <w:pPr>
        <w:pStyle w:val="ListParagraph"/>
        <w:numPr>
          <w:ilvl w:val="0"/>
          <w:numId w:val="2"/>
        </w:numPr>
        <w:spacing w:after="40" w:before="40"/>
        <w:ind w:left="720" w:hanging="360"/>
      </w:pPr>
      <w:r>
        <w:rPr>
          <w:rFonts w:ascii="Arial" w:cs="Arial" w:eastAsia="Arial" w:hAnsi="Arial"/>
          <w:sz w:val="22"/>
          <w:szCs w:val="22"/>
        </w:rPr>
        <w:t xml:space="preserve">Build 13-week rolling cash flow model — 3 concurrent 50kWp installs require ৳8–12M working capital at 30% advance milestone.</w:t>
      </w:r>
    </w:p>
    <w:p>
      <w:pPr>
        <w:pStyle w:val="ListParagraph"/>
        <w:numPr>
          <w:ilvl w:val="0"/>
          <w:numId w:val="2"/>
        </w:numPr>
        <w:spacing w:after="40" w:before="40"/>
        <w:ind w:left="720" w:hanging="360"/>
      </w:pPr>
      <w:r>
        <w:rPr>
          <w:rFonts w:ascii="Arial" w:cs="Arial" w:eastAsia="Arial" w:hAnsi="Arial"/>
          <w:sz w:val="22"/>
          <w:szCs w:val="22"/>
        </w:rPr>
        <w:t xml:space="preserve">Wire 8-month net metering installation deadline tracking into ClickUp — auto-alert at 6 months, hard stop at 7.5 months.</w:t>
      </w:r>
    </w:p>
    <w:p>
      <w:pPr>
        <w:spacing w:after="80" w:before="0"/>
      </w:pPr>
      <w:r>
        <w:t xml:space="preserve"/>
      </w:r>
    </w:p>
    <w:p>
      <w:pPr>
        <w:pStyle w:val="Heading2"/>
        <w:pBdr>
          <w:bottom w:val="single" w:color="5B21B6" w:sz="4" w:space="1"/>
        </w:pBdr>
        <w:spacing w:after="80" w:before="280"/>
      </w:pPr>
      <w:r>
        <w:rPr>
          <w:rFonts w:ascii="Arial" w:cs="Arial" w:eastAsia="Arial" w:hAnsi="Arial"/>
          <w:b/>
          <w:bCs/>
          <w:color w:val="5B21B6"/>
          <w:sz w:val="28"/>
          <w:szCs w:val="28"/>
        </w:rPr>
        <w:t xml:space="preserve">8.5  Strategic Intelligence — Canopy Product Decision</w:t>
      </w:r>
    </w:p>
    <w:p>
      <w:pPr>
        <w:pStyle w:val="ListParagraph"/>
        <w:numPr>
          <w:ilvl w:val="0"/>
          <w:numId w:val="2"/>
        </w:numPr>
        <w:spacing w:after="40" w:before="40"/>
        <w:ind w:left="720" w:hanging="360"/>
      </w:pPr>
      <w:r>
        <w:rPr>
          <w:rFonts w:ascii="Arial" w:cs="Arial" w:eastAsia="Arial" w:hAnsi="Arial"/>
          <w:sz w:val="22"/>
          <w:szCs w:val="22"/>
        </w:rPr>
        <w:t xml:space="preserve">Your concept images (solar canopy/pergola over rooftop lounge) represent a viable premium product line. Estimated +20–40% revenue premium over rack installs.</w:t>
      </w:r>
    </w:p>
    <w:p>
      <w:pPr>
        <w:pStyle w:val="ListParagraph"/>
        <w:numPr>
          <w:ilvl w:val="0"/>
          <w:numId w:val="2"/>
        </w:numPr>
        <w:spacing w:after="40" w:before="40"/>
        <w:ind w:left="720" w:hanging="360"/>
      </w:pPr>
      <w:r>
        <w:rPr>
          <w:rFonts w:ascii="Arial" w:cs="Arial" w:eastAsia="Arial" w:hAnsi="Arial"/>
          <w:sz w:val="22"/>
          <w:szCs w:val="22"/>
        </w:rPr>
        <w:t xml:space="preserve">Use SREDA-approved crystalline panels (Jinko 720W) on canopy structure — NOT BIPV glass (not SREDA approved, not net-metering eligible).</w:t>
      </w:r>
    </w:p>
    <w:p>
      <w:pPr>
        <w:pStyle w:val="ListParagraph"/>
        <w:numPr>
          <w:ilvl w:val="0"/>
          <w:numId w:val="2"/>
        </w:numPr>
        <w:spacing w:after="40" w:before="40"/>
        <w:ind w:left="720" w:hanging="360"/>
      </w:pPr>
      <w:r>
        <w:rPr>
          <w:rFonts w:ascii="Arial" w:cs="Arial" w:eastAsia="Arial" w:hAnsi="Arial"/>
          <w:sz w:val="22"/>
          <w:szCs w:val="22"/>
        </w:rPr>
        <w:t xml:space="preserve">White-painted rooftop coating is an upsell for bifacial installs — increases rear-side gain from 5% to 12–15%. Cost: ~৳50–100/sqft. Present as ROI-positive add-on.</w:t>
      </w:r>
    </w:p>
    <w:p>
      <w:pPr>
        <w:pStyle w:val="ListParagraph"/>
        <w:numPr>
          <w:ilvl w:val="0"/>
          <w:numId w:val="2"/>
        </w:numPr>
        <w:spacing w:after="40" w:before="40"/>
        <w:ind w:left="720" w:hanging="360"/>
      </w:pPr>
      <w:r>
        <w:rPr>
          <w:rFonts w:ascii="Arial" w:cs="Arial" w:eastAsia="Arial" w:hAnsi="Arial"/>
          <w:sz w:val="22"/>
          <w:szCs w:val="22"/>
        </w:rPr>
        <w:t xml:space="preserve">BIPV glass (Onyx Solar) is a Phase 3 conversation — only after SREDA gets a BIPV-specific approval pathway. Not actionable for net metering now.</w:t>
      </w:r>
    </w:p>
    <w:p>
      <w:pPr>
        <w:pStyle w:val="ListParagraph"/>
        <w:numPr>
          <w:ilvl w:val="0"/>
          <w:numId w:val="2"/>
        </w:numPr>
        <w:spacing w:after="40" w:before="40"/>
        <w:ind w:left="720" w:hanging="360"/>
      </w:pPr>
      <w:r>
        <w:rPr>
          <w:rFonts w:ascii="Arial" w:cs="Arial" w:eastAsia="Arial" w:hAnsi="Arial"/>
          <w:sz w:val="22"/>
          <w:szCs w:val="22"/>
        </w:rPr>
        <w:t xml:space="preserve">Thin-film panels: NOT relevant for Netso's net metering business. Zero SREDA-approved thin-film modules exist. Relevant only for off-grid/decor applications.</w:t>
      </w:r>
    </w:p>
    <w:p>
      <w:pPr>
        <w:spacing w:after="120" w:before="0"/>
      </w:pPr>
      <w:r>
        <w:t xml:space="preserve"/>
      </w:r>
    </w:p>
    <w:p>
      <w:pPr>
        <w:pBdr>
          <w:top w:val="single" w:color="1B2A4A" w:sz="4" w:space="1"/>
        </w:pBdr>
        <w:spacing w:after="60" w:before="120"/>
        <w:jc w:val="center"/>
      </w:pPr>
      <w:r>
        <w:rPr>
          <w:rFonts w:ascii="Arial" w:cs="Arial" w:eastAsia="Arial" w:hAnsi="Arial"/>
          <w:color w:val="374151"/>
          <w:sz w:val="18"/>
          <w:szCs w:val="18"/>
        </w:rPr>
        <w:t xml:space="preserve">NETSO — Master Intelligence Brief — March 2026 — Confidential</w:t>
      </w:r>
    </w:p>
    <w:p>
      <w:pPr>
        <w:jc w:val="center"/>
      </w:pPr>
      <w:r>
        <w:rPr>
          <w:rFonts w:ascii="Arial" w:cs="Arial" w:eastAsia="Arial" w:hAnsi="Arial"/>
          <w:color w:val="888888"/>
          <w:sz w:val="17"/>
          <w:szCs w:val="17"/>
        </w:rPr>
        <w:t xml:space="preserve">Sources: SREDA E-Service Desk (171 modules, inter-row calculator, accepted labs) · BERC Electricity Grid Code 2019 · Power Division Net Metering Calculator · Onyx Solar BIPV · Bluesun 2024 Catalog · RatedPower Albedo Research · EnergySage / Korvus / ScienceDirect thin-film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2026-03-12T11:32:17.250Z</dcterms:created>
  <dcterms:modified xsi:type="dcterms:W3CDTF">2026-03-12T11:32:17.251Z</dcterms:modified>
</cp:coreProperties>
</file>

<file path=docProps/custom.xml><?xml version="1.0" encoding="utf-8"?>
<Properties xmlns="http://schemas.openxmlformats.org/officeDocument/2006/custom-properties" xmlns:vt="http://schemas.openxmlformats.org/officeDocument/2006/docPropsVTypes"/>
</file>