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6B3A"/>
          <w:sz w:val="64"/>
          <w:szCs w:val="64"/>
        </w:rPr>
        <w:t xml:space="preserve">NETSO ENERGY</w:t>
      </w:r>
    </w:p>
    <w:p>
      <w:pPr>
        <w:pBdr>
          <w:bottom w:val="single" w:color="1B6B3A" w:sz="6" w:space="6"/>
        </w:pBdr>
        <w:spacing w:before="100" w:after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A4A6A"/>
          <w:sz w:val="26"/>
          <w:szCs w:val="26"/>
        </w:rPr>
        <w:t xml:space="preserve">Rooftop Solar RESCO / OPEX Platform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30"/>
          <w:szCs w:val="30"/>
        </w:rPr>
        <w:t xml:space="preserve">RESIDENTIAL BUILDING — COMPLETE FINANCIAL MODEL</w:t>
      </w:r>
    </w:p>
    <w:p>
      <w:pPr>
        <w:spacing w:before="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6A"/>
          <w:sz w:val="22"/>
          <w:szCs w:val="22"/>
        </w:rPr>
        <w:t xml:space="preserve">6-Storey Building  |  Chittagong  |  BDT 40,000–60,000/month Bill</w:t>
      </w:r>
    </w:p>
    <w:p>
      <w:pPr>
        <w:spacing w:before="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7377"/>
          <w:sz w:val="22"/>
          <w:szCs w:val="22"/>
        </w:rPr>
        <w:t xml:space="preserve">Scenario A: Solar Only  vs  Scenario B: Solar + HiTHIUM Battery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1B6B3A" w:sz="8" w:space="1"/>
              <w:left w:val="single" w:color="1B6B3A" w:sz="8" w:space="1"/>
              <w:bottom w:val="single" w:color="1B6B3A" w:sz="8" w:space="1"/>
              <w:right w:val="single" w:color="1B6B3A" w:sz="8" w:space="1"/>
            </w:tcBorders>
            <w:shd w:fill="E8F5E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6A"/>
                <w:sz w:val="18"/>
                <w:szCs w:val="18"/>
              </w:rPr>
              <w:t xml:space="preserve">Prepared by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B3A"/>
                <w:sz w:val="24"/>
                <w:szCs w:val="24"/>
              </w:rPr>
              <w:t xml:space="preserve">Tazwar Mahtab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6A"/>
                <w:sz w:val="20"/>
                <w:szCs w:val="20"/>
              </w:rPr>
              <w:t xml:space="preserve">Founder &amp; CEO, Netso Energy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4A6A"/>
                <w:sz w:val="18"/>
                <w:szCs w:val="18"/>
              </w:rPr>
              <w:t xml:space="preserve">March 2025  |  CONFIDENTIAL</w:t>
            </w:r>
          </w:p>
        </w:tc>
      </w:tr>
    </w:tbl>
    <w:p>
      <w:r>
        <w:br/>
      </w:r>
    </w:p>
    <w:p>
      <w:pPr>
        <w:pStyle w:val="Heading1"/>
        <w:shd w:fill="1B6B3A" w:val="clear"/>
        <w:spacing w:before="360" w:after="18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EXECUTIVE SUMMARY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Netso Energy is a Rooftop Solar RESCO (Renewable Energy Service Company) operating on an OPEX model. Netso finances, owns, and operates rooftop solar systems on customer buildings. Customers pay a below-grid per-unit tariff with zero upfront cost. Netso generates recurring monthly revenue over a 10–15 year contract term.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What This Report Covers</w:t>
      </w:r>
    </w:p>
    <w:p>
      <w:pPr>
        <w:spacing w:before="0"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This model analyses a single deployment on a 6-storey, 12-apartment residential building in Chittagong with a monthly electricity bill of BDT 40,000–60,000. Two scenarios are stress-tested: solar only (Scenario A) and solar plus HiTHIUM MaxPower 16 battery storage (Scenario B).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0"/>
        <w:gridCol w:w="240"/>
        <w:gridCol w:w="4440"/>
      </w:tblGrid>
      <w:tr>
        <w:tc>
          <w:tcPr>
            <w:tcW w:type="dxa" w:w="4440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6A"/>
                <w:sz w:val="18"/>
                <w:szCs w:val="18"/>
              </w:rPr>
              <w:t xml:space="preserve">Recommended System Size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B3A"/>
                <w:sz w:val="26"/>
                <w:szCs w:val="26"/>
              </w:rPr>
              <w:t xml:space="preserve">22 kW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/>
            </w:r>
          </w:p>
        </w:tc>
        <w:tc>
          <w:tcPr>
            <w:tcW w:type="dxa" w:w="4440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6A"/>
                <w:sz w:val="18"/>
                <w:szCs w:val="18"/>
              </w:rPr>
              <w:t xml:space="preserve">Netso Monthly Profit (Loan)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B3A"/>
                <w:sz w:val="26"/>
                <w:szCs w:val="26"/>
              </w:rPr>
              <w:t xml:space="preserve">BDT 9,502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440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6A"/>
                <w:sz w:val="18"/>
                <w:szCs w:val="18"/>
              </w:rPr>
              <w:t xml:space="preserve">Monthly Revenue to Netso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B3A"/>
                <w:sz w:val="26"/>
                <w:szCs w:val="26"/>
              </w:rPr>
              <w:t xml:space="preserve">BDT 22,638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/>
            </w:r>
          </w:p>
        </w:tc>
        <w:tc>
          <w:tcPr>
            <w:tcW w:type="dxa" w:w="4440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DF6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6A"/>
                <w:sz w:val="18"/>
                <w:szCs w:val="18"/>
              </w:rPr>
              <w:t xml:space="preserve">Netso Monthly Profit (Yr 11+)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6"/>
                <w:szCs w:val="26"/>
              </w:rPr>
              <w:t xml:space="preserve">BDT 21,721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440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E0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6A"/>
                <w:sz w:val="18"/>
                <w:szCs w:val="18"/>
              </w:rPr>
              <w:t xml:space="preserve">Customer Monthly Saving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26"/>
                <w:szCs w:val="26"/>
              </w:rPr>
              <w:t xml:space="preserve">BDT 7,350+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/>
            </w:r>
          </w:p>
        </w:tc>
        <w:tc>
          <w:tcPr>
            <w:tcW w:type="dxa" w:w="4440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E0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6A"/>
                <w:sz w:val="18"/>
                <w:szCs w:val="18"/>
              </w:rPr>
              <w:t xml:space="preserve">Your Equity Required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26"/>
                <w:szCs w:val="26"/>
              </w:rPr>
              <w:t xml:space="preserve">BDT 275,132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3A" w:sz="6"/>
              <w:left w:val="thick" w:color="1B6B3A" w:sz="18"/>
              <w:bottom w:val="single" w:color="1B6B3A" w:sz="1"/>
              <w:right w:val="single" w:color="1B6B3A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6B3A"/>
                <w:sz w:val="22"/>
                <w:szCs w:val="22"/>
              </w:rPr>
              <w:t xml:space="preserve">Bottom Line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model works. Customer saves BDT 7,350/month from day one with zero upfront cost. Netso earns BDT 9,502/month net profit per building during the IDCOL loan period. After loan repayment in year 10, monthly profit jumps to BDT 21,721 — nearly 2.3x — creating the primary wealth-building event.</w:t>
            </w:r>
          </w:p>
        </w:tc>
      </w:tr>
    </w:tbl>
    <w:p>
      <w:r>
        <w:br/>
      </w:r>
    </w:p>
    <w:p>
      <w:pPr>
        <w:pStyle w:val="Heading1"/>
        <w:shd w:fill="1B6B3A" w:val="clear"/>
        <w:spacing w:before="360" w:after="18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BUILDING BASELINE &amp; CONSUMPTION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Before sizing the system, we establish the building's consumption profile by reverse-engineering from the monthly bill.</w:t>
      </w:r>
    </w:p>
    <w:p>
      <w:pPr>
        <w:pStyle w:val="Heading2"/>
        <w:pBdr>
          <w:bottom w:val="single" w:color="1B6B3A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1.1 Building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576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6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Building Type</w:t>
            </w:r>
          </w:p>
        </w:tc>
        <w:tc>
          <w:tcPr>
            <w:tcW w:type="dxa" w:w="576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6-storey residential</w:t>
            </w:r>
          </w:p>
        </w:tc>
      </w:tr>
      <w:tr>
        <w:tc>
          <w:tcPr>
            <w:tcW w:type="dxa" w:w="36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Number of Apartments</w:t>
            </w:r>
          </w:p>
        </w:tc>
        <w:tc>
          <w:tcPr>
            <w:tcW w:type="dxa" w:w="576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~12 units</w:t>
            </w:r>
          </w:p>
        </w:tc>
      </w:tr>
      <w:tr>
        <w:tc>
          <w:tcPr>
            <w:tcW w:type="dxa" w:w="36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Location</w:t>
            </w:r>
          </w:p>
        </w:tc>
        <w:tc>
          <w:tcPr>
            <w:tcW w:type="dxa" w:w="576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Chittagong, Bangladesh</w:t>
            </w:r>
          </w:p>
        </w:tc>
      </w:tr>
      <w:tr>
        <w:tc>
          <w:tcPr>
            <w:tcW w:type="dxa" w:w="36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Monthly Electricity Bill</w:t>
            </w:r>
          </w:p>
        </w:tc>
        <w:tc>
          <w:tcPr>
            <w:tcW w:type="dxa" w:w="576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BDT 40,000 – 60,000 (modelled at BDT 50,000)</w:t>
            </w:r>
          </w:p>
        </w:tc>
      </w:tr>
      <w:tr>
        <w:tc>
          <w:tcPr>
            <w:tcW w:type="dxa" w:w="36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BPDB Tariff Category</w:t>
            </w:r>
          </w:p>
        </w:tc>
        <w:tc>
          <w:tcPr>
            <w:tcW w:type="dxa" w:w="576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LT-A Residential</w:t>
            </w:r>
          </w:p>
        </w:tc>
      </w:tr>
      <w:tr>
        <w:tc>
          <w:tcPr>
            <w:tcW w:type="dxa" w:w="36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Estimated Total Consumption</w:t>
            </w:r>
          </w:p>
        </w:tc>
        <w:tc>
          <w:tcPr>
            <w:tcW w:type="dxa" w:w="576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5,000 kWh/month</w:t>
            </w:r>
          </w:p>
        </w:tc>
      </w:tr>
      <w:tr>
        <w:tc>
          <w:tcPr>
            <w:tcW w:type="dxa" w:w="36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Avg. Effective Rate (incl. VAT)</w:t>
            </w:r>
          </w:p>
        </w:tc>
        <w:tc>
          <w:tcPr>
            <w:tcW w:type="dxa" w:w="576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~BDT 10.00/kWh blended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1B6B3A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1.2 BERC Official Tariff Slabs (LT-A Residential)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following are the official BERC-approved residential tariff slabs. A 12-apartment building with high consumption regularly falls into the upper slabs, making the solar savings case very compelling.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Consumption Slab</w:t>
            </w:r>
          </w:p>
        </w:tc>
        <w:tc>
          <w:tcPr>
            <w:tcW w:type="dxa" w:w="312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Rate (BDT/kWh)</w:t>
            </w:r>
          </w:p>
        </w:tc>
        <w:tc>
          <w:tcPr>
            <w:tcW w:type="dxa" w:w="312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Relevance to This Building</w:t>
            </w:r>
          </w:p>
        </w:tc>
      </w:tr>
      <w:tr>
        <w:tc>
          <w:tcPr>
            <w:tcW w:type="dxa" w:w="312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 – 75 units</w:t>
            </w:r>
          </w:p>
        </w:tc>
        <w:tc>
          <w:tcPr>
            <w:tcW w:type="dxa" w:w="312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5.26</w:t>
            </w:r>
          </w:p>
        </w:tc>
        <w:tc>
          <w:tcPr>
            <w:tcW w:type="dxa" w:w="312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Minimal — covered in first hours of day</w:t>
            </w:r>
          </w:p>
        </w:tc>
      </w:tr>
      <w:tr>
        <w:tc>
          <w:tcPr>
            <w:tcW w:type="dxa" w:w="312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76 – 200 units</w:t>
            </w:r>
          </w:p>
        </w:tc>
        <w:tc>
          <w:tcPr>
            <w:tcW w:type="dxa" w:w="312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7.20</w:t>
            </w:r>
          </w:p>
        </w:tc>
        <w:tc>
          <w:tcPr>
            <w:tcW w:type="dxa" w:w="312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Partial</w:t>
            </w:r>
          </w:p>
        </w:tc>
      </w:tr>
      <w:tr>
        <w:tc>
          <w:tcPr>
            <w:tcW w:type="dxa" w:w="312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201 – 300 units</w:t>
            </w:r>
          </w:p>
        </w:tc>
        <w:tc>
          <w:tcPr>
            <w:tcW w:type="dxa" w:w="312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7.59</w:t>
            </w:r>
          </w:p>
        </w:tc>
        <w:tc>
          <w:tcPr>
            <w:tcW w:type="dxa" w:w="312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Partial</w:t>
            </w:r>
          </w:p>
        </w:tc>
      </w:tr>
      <w:tr>
        <w:tc>
          <w:tcPr>
            <w:tcW w:type="dxa" w:w="312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301 – 400 units</w:t>
            </w:r>
          </w:p>
        </w:tc>
        <w:tc>
          <w:tcPr>
            <w:tcW w:type="dxa" w:w="312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8.02</w:t>
            </w:r>
          </w:p>
        </w:tc>
        <w:tc>
          <w:tcPr>
            <w:tcW w:type="dxa" w:w="312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312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401 – 600 units</w:t>
            </w:r>
          </w:p>
        </w:tc>
        <w:tc>
          <w:tcPr>
            <w:tcW w:type="dxa" w:w="312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12.67</w:t>
            </w:r>
          </w:p>
        </w:tc>
        <w:tc>
          <w:tcPr>
            <w:tcW w:type="dxa" w:w="312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★ High — building is here most months</w:t>
            </w:r>
          </w:p>
        </w:tc>
      </w:tr>
      <w:tr>
        <w:tc>
          <w:tcPr>
            <w:tcW w:type="dxa" w:w="312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601+ units</w:t>
            </w:r>
          </w:p>
        </w:tc>
        <w:tc>
          <w:tcPr>
            <w:tcW w:type="dxa" w:w="312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14.61</w:t>
            </w:r>
          </w:p>
        </w:tc>
        <w:tc>
          <w:tcPr>
            <w:tcW w:type="dxa" w:w="312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★★ Peak — this is your pricing headroom</w:t>
            </w:r>
          </w:p>
        </w:tc>
      </w:tr>
      <w:tr>
        <w:tc>
          <w:tcPr>
            <w:tcW w:type="dxa" w:w="312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Demand Charge</w:t>
            </w:r>
          </w:p>
        </w:tc>
        <w:tc>
          <w:tcPr>
            <w:tcW w:type="dxa" w:w="312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BDT 42/kVA</w:t>
            </w:r>
          </w:p>
        </w:tc>
        <w:tc>
          <w:tcPr>
            <w:tcW w:type="dxa" w:w="312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Fixed component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6"/>
              <w:left w:val="thick" w:color="B8860B" w:sz="18"/>
              <w:bottom w:val="single" w:color="B8860B" w:sz="1"/>
              <w:right w:val="single" w:color="B8860B" w:sz="1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Key Insight: Pricing Headroom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building's marginal grid rate is BDT 12.67–14.61/kWh. Netso charges BDT 7.00/kWh — a 45–52% discount. This is your sales pitch. The savings case is immediate and undeniable.</w:t>
            </w:r>
          </w:p>
        </w:tc>
      </w:tr>
    </w:tbl>
    <w:p>
      <w:r>
        <w:br/>
      </w:r>
    </w:p>
    <w:p>
      <w:pPr>
        <w:pStyle w:val="Heading1"/>
        <w:shd w:fill="1B6B3A" w:val="clear"/>
        <w:spacing w:before="360" w:after="18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SOLAR RESOURCE — CHITTAGONG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Season</w:t>
            </w:r>
          </w:p>
        </w:tc>
        <w:tc>
          <w:tcPr>
            <w:tcW w:type="dxa" w:w="312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Peak Sun Hours/Day</w:t>
            </w:r>
          </w:p>
        </w:tc>
        <w:tc>
          <w:tcPr>
            <w:tcW w:type="dxa" w:w="312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kWh per kWp</w:t>
            </w:r>
          </w:p>
        </w:tc>
      </w:tr>
      <w:tr>
        <w:tc>
          <w:tcPr>
            <w:tcW w:type="dxa" w:w="312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Nov – Feb (Winter)</w:t>
            </w:r>
          </w:p>
        </w:tc>
        <w:tc>
          <w:tcPr>
            <w:tcW w:type="dxa" w:w="312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5.8 – 6.2 hrs</w:t>
            </w:r>
          </w:p>
        </w:tc>
        <w:tc>
          <w:tcPr>
            <w:tcW w:type="dxa" w:w="312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174 – 186 kWh/kWp</w:t>
            </w:r>
          </w:p>
        </w:tc>
      </w:tr>
      <w:tr>
        <w:tc>
          <w:tcPr>
            <w:tcW w:type="dxa" w:w="312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Mar – May (Pre-monsoon)</w:t>
            </w:r>
          </w:p>
        </w:tc>
        <w:tc>
          <w:tcPr>
            <w:tcW w:type="dxa" w:w="312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5.0 – 5.5 hrs</w:t>
            </w:r>
          </w:p>
        </w:tc>
        <w:tc>
          <w:tcPr>
            <w:tcW w:type="dxa" w:w="312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150 – 165 kWh/kWp</w:t>
            </w:r>
          </w:p>
        </w:tc>
      </w:tr>
      <w:tr>
        <w:tc>
          <w:tcPr>
            <w:tcW w:type="dxa" w:w="312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Jun – Sep (Monsoon)</w:t>
            </w:r>
          </w:p>
        </w:tc>
        <w:tc>
          <w:tcPr>
            <w:tcW w:type="dxa" w:w="312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3.2 – 3.8 hrs</w:t>
            </w:r>
          </w:p>
        </w:tc>
        <w:tc>
          <w:tcPr>
            <w:tcW w:type="dxa" w:w="312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96 – 114 kWh/kWp</w:t>
            </w:r>
          </w:p>
        </w:tc>
      </w:tr>
      <w:tr>
        <w:tc>
          <w:tcPr>
            <w:tcW w:type="dxa" w:w="312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Oct (Post-monsoon)</w:t>
            </w:r>
          </w:p>
        </w:tc>
        <w:tc>
          <w:tcPr>
            <w:tcW w:type="dxa" w:w="312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4.5 – 5.0 hrs</w:t>
            </w:r>
          </w:p>
        </w:tc>
        <w:tc>
          <w:tcPr>
            <w:tcW w:type="dxa" w:w="312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135 – 150 kWh/kWp</w:t>
            </w:r>
          </w:p>
        </w:tc>
      </w:tr>
      <w:tr>
        <w:tc>
          <w:tcPr>
            <w:tcW w:type="dxa" w:w="312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Annual Average</w:t>
            </w:r>
          </w:p>
        </w:tc>
        <w:tc>
          <w:tcPr>
            <w:tcW w:type="dxa" w:w="312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4.9 hrs/day</w:t>
            </w:r>
          </w:p>
        </w:tc>
        <w:tc>
          <w:tcPr>
            <w:tcW w:type="dxa" w:w="312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~147 kWh/kWp/month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6"/>
              <w:left w:val="thick" w:color="0D7377" w:sz="18"/>
              <w:bottom w:val="single" w:color="0D7377" w:sz="1"/>
              <w:right w:val="single" w:color="0D7377" w:sz="1"/>
            </w:tcBorders>
            <w:shd w:fill="E0F4F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System Sizing Logic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 size to maximise self-consumption, not total generation. Oversizing causes excessive export at low BPDB export rates (BDT 3.50–5.00/kWh), reducing ROI. Target: 75–85% of generation consumed directly. For 5,000 kWh/month consumption with ~50–60% occurring in daytime hours, the optimal system is 22 kW.</w:t>
            </w:r>
          </w:p>
        </w:tc>
      </w:tr>
    </w:tbl>
    <w:p>
      <w:r>
        <w:br/>
      </w:r>
    </w:p>
    <w:p>
      <w:pPr>
        <w:pStyle w:val="Heading1"/>
        <w:shd w:fill="1B6B3A" w:val="clear"/>
        <w:spacing w:before="360" w:after="18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SYSTEM DESIGN &amp; CAPITAL COST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1B6B3A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3.1 Recommended System: 22 kW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Sizing Scenario</w:t>
            </w:r>
          </w:p>
        </w:tc>
        <w:tc>
          <w:tcPr>
            <w:tcW w:type="dxa" w:w="28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Generation</w:t>
            </w:r>
          </w:p>
        </w:tc>
        <w:tc>
          <w:tcPr>
            <w:tcW w:type="dxa" w:w="28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Self-Consumed</w:t>
            </w:r>
          </w:p>
        </w:tc>
      </w:tr>
      <w:tr>
        <w:tc>
          <w:tcPr>
            <w:tcW w:type="dxa" w:w="36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Conservative — 15 kW (30% offset)</w:t>
            </w:r>
          </w:p>
        </w:tc>
        <w:tc>
          <w:tcPr>
            <w:tcW w:type="dxa" w:w="28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2,205 kWh</w:t>
            </w:r>
          </w:p>
        </w:tc>
        <w:tc>
          <w:tcPr>
            <w:tcW w:type="dxa" w:w="28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1,985 kWh (90%)</w:t>
            </w:r>
          </w:p>
        </w:tc>
      </w:tr>
      <w:tr>
        <w:tc>
          <w:tcPr>
            <w:tcW w:type="dxa" w:w="36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★ OPTIMAL — 22 kW (45% offset)</w:t>
            </w:r>
          </w:p>
        </w:tc>
        <w:tc>
          <w:tcPr>
            <w:tcW w:type="dxa" w:w="28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3,234 kWh</w:t>
            </w:r>
          </w:p>
        </w:tc>
        <w:tc>
          <w:tcPr>
            <w:tcW w:type="dxa" w:w="28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2,587 kWh (80%)</w:t>
            </w:r>
          </w:p>
        </w:tc>
      </w:tr>
      <w:tr>
        <w:tc>
          <w:tcPr>
            <w:tcW w:type="dxa" w:w="36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Aggressive — 30 kW (60% offset)</w:t>
            </w:r>
          </w:p>
        </w:tc>
        <w:tc>
          <w:tcPr>
            <w:tcW w:type="dxa" w:w="28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4,410 kWh</w:t>
            </w:r>
          </w:p>
        </w:tc>
        <w:tc>
          <w:tcPr>
            <w:tcW w:type="dxa" w:w="28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3,087 kWh (70%)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1B6B3A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3.2 Capital Expenditure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80"/>
        <w:gridCol w:w="2080"/>
      </w:tblGrid>
      <w:tr>
        <w:trPr>
          <w:tblHeader/>
        </w:trPr>
        <w:tc>
          <w:tcPr>
            <w:tcW w:type="dxa" w:w="52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0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 A (Solar Only)</w:t>
            </w:r>
          </w:p>
        </w:tc>
        <w:tc>
          <w:tcPr>
            <w:tcW w:type="dxa" w:w="20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 B (+ Battery)</w:t>
            </w:r>
          </w:p>
        </w:tc>
      </w:tr>
      <w:tr>
        <w:tc>
          <w:tcPr>
            <w:tcW w:type="dxa" w:w="52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Solar Panels (22 kW @ BDT 43.5/W)</w:t>
            </w:r>
          </w:p>
        </w:tc>
        <w:tc>
          <w:tcPr>
            <w:tcW w:type="dxa" w:w="20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BDT 957,000</w:t>
            </w:r>
          </w:p>
        </w:tc>
        <w:tc>
          <w:tcPr>
            <w:tcW w:type="dxa" w:w="20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BDT 957,000</w:t>
            </w:r>
          </w:p>
        </w:tc>
      </w:tr>
      <w:tr>
        <w:tc>
          <w:tcPr>
            <w:tcW w:type="dxa" w:w="52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Inverter + Balance of System (20%)</w:t>
            </w:r>
          </w:p>
        </w:tc>
        <w:tc>
          <w:tcPr>
            <w:tcW w:type="dxa" w:w="20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BDT 191,400</w:t>
            </w:r>
          </w:p>
        </w:tc>
        <w:tc>
          <w:tcPr>
            <w:tcW w:type="dxa" w:w="20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BDT 191,400</w:t>
            </w:r>
          </w:p>
        </w:tc>
      </w:tr>
      <w:tr>
        <w:tc>
          <w:tcPr>
            <w:tcW w:type="dxa" w:w="52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Aluminium Racking + Mounting (10%)</w:t>
            </w:r>
          </w:p>
        </w:tc>
        <w:tc>
          <w:tcPr>
            <w:tcW w:type="dxa" w:w="20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BDT 95,700</w:t>
            </w:r>
          </w:p>
        </w:tc>
        <w:tc>
          <w:tcPr>
            <w:tcW w:type="dxa" w:w="20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BDT 95,700</w:t>
            </w:r>
          </w:p>
        </w:tc>
      </w:tr>
      <w:tr>
        <w:tc>
          <w:tcPr>
            <w:tcW w:type="dxa" w:w="52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Wiring + Installation Labour (8%)</w:t>
            </w:r>
          </w:p>
        </w:tc>
        <w:tc>
          <w:tcPr>
            <w:tcW w:type="dxa" w:w="20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BDT 76,560</w:t>
            </w:r>
          </w:p>
        </w:tc>
        <w:tc>
          <w:tcPr>
            <w:tcW w:type="dxa" w:w="20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BDT 76,560</w:t>
            </w:r>
          </w:p>
        </w:tc>
      </w:tr>
      <w:tr>
        <w:tc>
          <w:tcPr>
            <w:tcW w:type="dxa" w:w="52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Generation Meter + Net Meter</w:t>
            </w:r>
          </w:p>
        </w:tc>
        <w:tc>
          <w:tcPr>
            <w:tcW w:type="dxa" w:w="20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BDT 25,000</w:t>
            </w:r>
          </w:p>
        </w:tc>
        <w:tc>
          <w:tcPr>
            <w:tcW w:type="dxa" w:w="20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BDT 25,000</w:t>
            </w:r>
          </w:p>
        </w:tc>
      </w:tr>
      <w:tr>
        <w:tc>
          <w:tcPr>
            <w:tcW w:type="dxa" w:w="52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Commissioning + Miscellaneous</w:t>
            </w:r>
          </w:p>
        </w:tc>
        <w:tc>
          <w:tcPr>
            <w:tcW w:type="dxa" w:w="20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BDT 30,000</w:t>
            </w:r>
          </w:p>
        </w:tc>
        <w:tc>
          <w:tcPr>
            <w:tcW w:type="dxa" w:w="20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BDT 30,000</w:t>
            </w:r>
          </w:p>
        </w:tc>
      </w:tr>
      <w:tr>
        <w:tc>
          <w:tcPr>
            <w:tcW w:type="dxa" w:w="52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HiTHIUM MaxPower 16 (16 kWh, landed)</w:t>
            </w:r>
          </w:p>
        </w:tc>
        <w:tc>
          <w:tcPr>
            <w:tcW w:type="dxa" w:w="20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20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BDT 260,000</w:t>
            </w:r>
          </w:p>
        </w:tc>
      </w:tr>
      <w:tr>
        <w:tc>
          <w:tcPr>
            <w:tcW w:type="dxa" w:w="52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TOTAL CAPEX</w:t>
            </w:r>
          </w:p>
        </w:tc>
        <w:tc>
          <w:tcPr>
            <w:tcW w:type="dxa" w:w="20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BDT 1,375,660</w:t>
            </w:r>
          </w:p>
        </w:tc>
        <w:tc>
          <w:tcPr>
            <w:tcW w:type="dxa" w:w="20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BDT 1,635,660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1B6B3A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3.3 IDCOL Financing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Financing Item</w:t>
            </w:r>
          </w:p>
        </w:tc>
        <w:tc>
          <w:tcPr>
            <w:tcW w:type="dxa" w:w="28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 A</w:t>
            </w:r>
          </w:p>
        </w:tc>
        <w:tc>
          <w:tcPr>
            <w:tcW w:type="dxa" w:w="28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 B</w:t>
            </w:r>
          </w:p>
        </w:tc>
      </w:tr>
      <w:tr>
        <w:tc>
          <w:tcPr>
            <w:tcW w:type="dxa" w:w="36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CAPEX</w:t>
            </w:r>
          </w:p>
        </w:tc>
        <w:tc>
          <w:tcPr>
            <w:tcW w:type="dxa" w:w="28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BDT 1,375,660</w:t>
            </w:r>
          </w:p>
        </w:tc>
        <w:tc>
          <w:tcPr>
            <w:tcW w:type="dxa" w:w="28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BDT 1,635,660</w:t>
            </w:r>
          </w:p>
        </w:tc>
      </w:tr>
      <w:tr>
        <w:tc>
          <w:tcPr>
            <w:tcW w:type="dxa" w:w="36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IDCOL Loan (80%)</w:t>
            </w:r>
          </w:p>
        </w:tc>
        <w:tc>
          <w:tcPr>
            <w:tcW w:type="dxa" w:w="28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BDT 1,100,528</w:t>
            </w:r>
          </w:p>
        </w:tc>
        <w:tc>
          <w:tcPr>
            <w:tcW w:type="dxa" w:w="28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BDT 1,308,528</w:t>
            </w:r>
          </w:p>
        </w:tc>
      </w:tr>
      <w:tr>
        <w:tc>
          <w:tcPr>
            <w:tcW w:type="dxa" w:w="36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Your Equity Required (20%)</w:t>
            </w:r>
          </w:p>
        </w:tc>
        <w:tc>
          <w:tcPr>
            <w:tcW w:type="dxa" w:w="28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BDT 275,132</w:t>
            </w:r>
          </w:p>
        </w:tc>
        <w:tc>
          <w:tcPr>
            <w:tcW w:type="dxa" w:w="28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BDT 327,132</w:t>
            </w:r>
          </w:p>
        </w:tc>
      </w:tr>
      <w:tr>
        <w:tc>
          <w:tcPr>
            <w:tcW w:type="dxa" w:w="36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Interest Rate</w:t>
            </w:r>
          </w:p>
        </w:tc>
        <w:tc>
          <w:tcPr>
            <w:tcW w:type="dxa" w:w="28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6% per annum</w:t>
            </w:r>
          </w:p>
        </w:tc>
        <w:tc>
          <w:tcPr>
            <w:tcW w:type="dxa" w:w="28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6% per annum</w:t>
            </w:r>
          </w:p>
        </w:tc>
      </w:tr>
      <w:tr>
        <w:tc>
          <w:tcPr>
            <w:tcW w:type="dxa" w:w="36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Loan Tenure</w:t>
            </w:r>
          </w:p>
        </w:tc>
        <w:tc>
          <w:tcPr>
            <w:tcW w:type="dxa" w:w="28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10 years</w:t>
            </w:r>
          </w:p>
        </w:tc>
        <w:tc>
          <w:tcPr>
            <w:tcW w:type="dxa" w:w="28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10 years</w:t>
            </w:r>
          </w:p>
        </w:tc>
      </w:tr>
      <w:tr>
        <w:tc>
          <w:tcPr>
            <w:tcW w:type="dxa" w:w="36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Monthly EMI</w:t>
            </w:r>
          </w:p>
        </w:tc>
        <w:tc>
          <w:tcPr>
            <w:tcW w:type="dxa" w:w="28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BDT 12,219</w:t>
            </w:r>
          </w:p>
        </w:tc>
        <w:tc>
          <w:tcPr>
            <w:tcW w:type="dxa" w:w="28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BDT 14,527</w:t>
            </w:r>
          </w:p>
        </w:tc>
      </w:tr>
    </w:tbl>
    <w:p>
      <w:r>
        <w:br/>
      </w:r>
    </w:p>
    <w:p>
      <w:pPr>
        <w:pStyle w:val="Heading1"/>
        <w:shd w:fill="1B6B3A" w:val="clear"/>
        <w:spacing w:before="360" w:after="18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REVENUE MODEL &amp; PRICING STRATEGY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Netso's revenue model is straightforward: charge the customer a fixed per-kWh rate on total system generation, metered at source. The customer keeps all net metering export credits from BPDB. This creates a clean, auditable, dispute-free billing relationship.</w:t>
      </w:r>
    </w:p>
    <w:p>
      <w:pPr>
        <w:pStyle w:val="Heading2"/>
        <w:pBdr>
          <w:bottom w:val="single" w:color="1B6B3A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4.1 Pricing Rationale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730"/>
        <w:gridCol w:w="2730"/>
      </w:tblGrid>
      <w:tr>
        <w:trPr>
          <w:tblHeader/>
        </w:trPr>
        <w:tc>
          <w:tcPr>
            <w:tcW w:type="dxa" w:w="39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Rate Comparison</w:t>
            </w:r>
          </w:p>
        </w:tc>
        <w:tc>
          <w:tcPr>
            <w:tcW w:type="dxa" w:w="273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 kWh (BDT)</w:t>
            </w:r>
          </w:p>
        </w:tc>
        <w:tc>
          <w:tcPr>
            <w:tcW w:type="dxa" w:w="273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Context</w:t>
            </w:r>
          </w:p>
        </w:tc>
      </w:tr>
      <w:tr>
        <w:tc>
          <w:tcPr>
            <w:tcW w:type="dxa" w:w="39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Customer's current marginal grid rate</w:t>
            </w:r>
          </w:p>
        </w:tc>
        <w:tc>
          <w:tcPr>
            <w:tcW w:type="dxa" w:w="273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12.67 – 14.61</w:t>
            </w:r>
          </w:p>
        </w:tc>
        <w:tc>
          <w:tcPr>
            <w:tcW w:type="dxa" w:w="273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Upper slabs (LT-A)</w:t>
            </w:r>
          </w:p>
        </w:tc>
      </w:tr>
      <w:tr>
        <w:tc>
          <w:tcPr>
            <w:tcW w:type="dxa" w:w="39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Netso OPEX charge to customer</w:t>
            </w:r>
          </w:p>
        </w:tc>
        <w:tc>
          <w:tcPr>
            <w:tcW w:type="dxa" w:w="273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7.00</w:t>
            </w:r>
          </w:p>
        </w:tc>
        <w:tc>
          <w:tcPr>
            <w:tcW w:type="dxa" w:w="273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Fixed for contract term</w:t>
            </w:r>
          </w:p>
        </w:tc>
      </w:tr>
      <w:tr>
        <w:tc>
          <w:tcPr>
            <w:tcW w:type="dxa" w:w="39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Customer saving per kWh (solar units)</w:t>
            </w:r>
          </w:p>
        </w:tc>
        <w:tc>
          <w:tcPr>
            <w:tcW w:type="dxa" w:w="273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5.67 – 7.61</w:t>
            </w:r>
          </w:p>
        </w:tc>
        <w:tc>
          <w:tcPr>
            <w:tcW w:type="dxa" w:w="273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45–52% discount</w:t>
            </w:r>
          </w:p>
        </w:tc>
      </w:tr>
      <w:tr>
        <w:tc>
          <w:tcPr>
            <w:tcW w:type="dxa" w:w="39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BPDB net metering export rate</w:t>
            </w:r>
          </w:p>
        </w:tc>
        <w:tc>
          <w:tcPr>
            <w:tcW w:type="dxa" w:w="273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3.50 – 5.00</w:t>
            </w:r>
          </w:p>
        </w:tc>
        <w:tc>
          <w:tcPr>
            <w:tcW w:type="dxa" w:w="273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Kept by customer (bonus)</w:t>
            </w:r>
          </w:p>
        </w:tc>
      </w:tr>
      <w:tr>
        <w:tc>
          <w:tcPr>
            <w:tcW w:type="dxa" w:w="39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Netso LCOE (validated)</w:t>
            </w:r>
          </w:p>
        </w:tc>
        <w:tc>
          <w:tcPr>
            <w:tcW w:type="dxa" w:w="273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4.91 – 5.50</w:t>
            </w:r>
          </w:p>
        </w:tc>
        <w:tc>
          <w:tcPr>
            <w:tcW w:type="dxa" w:w="273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Cost per kWh generated</w:t>
            </w:r>
          </w:p>
        </w:tc>
      </w:tr>
      <w:tr>
        <w:tc>
          <w:tcPr>
            <w:tcW w:type="dxa" w:w="39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Netso gross margin per kWh</w:t>
            </w:r>
          </w:p>
        </w:tc>
        <w:tc>
          <w:tcPr>
            <w:tcW w:type="dxa" w:w="273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1.50 – 2.09</w:t>
            </w:r>
          </w:p>
        </w:tc>
        <w:tc>
          <w:tcPr>
            <w:tcW w:type="dxa" w:w="273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Spread over LCOE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1B6B3A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4.2 Contract Protection Clause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/>
              <w:left w:val="thick" w:color="C0392B" w:sz="18"/>
              <w:bottom w:val="single" w:color="C0392B" w:sz="1"/>
              <w:right w:val="single" w:color="C0392B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Minimum Generation Payment Clause (Essential)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OPEX contract must include: Customer pays for a minimum of 85% of the system's rated monthly generation (2,749 kWh/month) regardless of actual consumption. This protects Netso's revenue floor at BDT 19,243/month minimum even if the building reduces consumption or installs energy-efficient appliances.</w:t>
            </w:r>
          </w:p>
        </w:tc>
      </w:tr>
    </w:tbl>
    <w:p>
      <w:r>
        <w:br/>
      </w:r>
    </w:p>
    <w:p>
      <w:pPr>
        <w:pStyle w:val="Heading1"/>
        <w:shd w:fill="1B6B3A" w:val="clear"/>
        <w:spacing w:before="360" w:after="18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MONTHLY P&amp;L — BOTH SCENARIOS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1B6B3A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5.1 Generation &amp; Consumption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Energy Flow Item</w:t>
            </w:r>
          </w:p>
        </w:tc>
        <w:tc>
          <w:tcPr>
            <w:tcW w:type="dxa" w:w="26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 A (Solar Only)</w:t>
            </w:r>
          </w:p>
        </w:tc>
        <w:tc>
          <w:tcPr>
            <w:tcW w:type="dxa" w:w="26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 B (+ Battery)</w:t>
            </w:r>
          </w:p>
        </w:tc>
      </w:tr>
      <w:tr>
        <w:tc>
          <w:tcPr>
            <w:tcW w:type="dxa" w:w="40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Total Solar Generation/month</w:t>
            </w:r>
          </w:p>
        </w:tc>
        <w:tc>
          <w:tcPr>
            <w:tcW w:type="dxa" w:w="26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3,234 kWh</w:t>
            </w:r>
          </w:p>
        </w:tc>
        <w:tc>
          <w:tcPr>
            <w:tcW w:type="dxa" w:w="26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3,234 kWh</w:t>
            </w:r>
          </w:p>
        </w:tc>
      </w:tr>
      <w:tr>
        <w:tc>
          <w:tcPr>
            <w:tcW w:type="dxa" w:w="40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Directly Self-Consumed (Daytime)</w:t>
            </w:r>
          </w:p>
        </w:tc>
        <w:tc>
          <w:tcPr>
            <w:tcW w:type="dxa" w:w="26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2,587 kWh (80%)</w:t>
            </w:r>
          </w:p>
        </w:tc>
        <w:tc>
          <w:tcPr>
            <w:tcW w:type="dxa" w:w="26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2,340 kWh (72%)</w:t>
            </w:r>
          </w:p>
        </w:tc>
      </w:tr>
      <w:tr>
        <w:tc>
          <w:tcPr>
            <w:tcW w:type="dxa" w:w="40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Stored in Battery</w:t>
            </w:r>
          </w:p>
        </w:tc>
        <w:tc>
          <w:tcPr>
            <w:tcW w:type="dxa" w:w="26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390 kWh</w:t>
            </w:r>
          </w:p>
        </w:tc>
      </w:tr>
      <w:tr>
        <w:tc>
          <w:tcPr>
            <w:tcW w:type="dxa" w:w="40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Battery Discharged at Night</w:t>
            </w:r>
          </w:p>
        </w:tc>
        <w:tc>
          <w:tcPr>
            <w:tcW w:type="dxa" w:w="26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370 kWh (95% efficiency)</w:t>
            </w:r>
          </w:p>
        </w:tc>
      </w:tr>
      <w:tr>
        <w:tc>
          <w:tcPr>
            <w:tcW w:type="dxa" w:w="40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Total Self-Consumed (Direct + Battery)</w:t>
            </w:r>
          </w:p>
        </w:tc>
        <w:tc>
          <w:tcPr>
            <w:tcW w:type="dxa" w:w="26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2,587 kWh</w:t>
            </w:r>
          </w:p>
        </w:tc>
        <w:tc>
          <w:tcPr>
            <w:tcW w:type="dxa" w:w="26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2,710 kWh</w:t>
            </w:r>
          </w:p>
        </w:tc>
      </w:tr>
      <w:tr>
        <w:tc>
          <w:tcPr>
            <w:tcW w:type="dxa" w:w="40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Exported to Grid (Net Metered)</w:t>
            </w:r>
          </w:p>
        </w:tc>
        <w:tc>
          <w:tcPr>
            <w:tcW w:type="dxa" w:w="26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647 kWh</w:t>
            </w:r>
          </w:p>
        </w:tc>
        <w:tc>
          <w:tcPr>
            <w:tcW w:type="dxa" w:w="26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524 kWh</w:t>
            </w:r>
          </w:p>
        </w:tc>
      </w:tr>
      <w:tr>
        <w:tc>
          <w:tcPr>
            <w:tcW w:type="dxa" w:w="40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Remaining Grid Consumption</w:t>
            </w:r>
          </w:p>
        </w:tc>
        <w:tc>
          <w:tcPr>
            <w:tcW w:type="dxa" w:w="26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2,413 kWh</w:t>
            </w:r>
          </w:p>
        </w:tc>
        <w:tc>
          <w:tcPr>
            <w:tcW w:type="dxa" w:w="26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2,290 kWh</w:t>
            </w:r>
          </w:p>
        </w:tc>
      </w:tr>
      <w:tr>
        <w:tc>
          <w:tcPr>
            <w:tcW w:type="dxa" w:w="40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Grid Independence Achieved</w:t>
            </w:r>
          </w:p>
        </w:tc>
        <w:tc>
          <w:tcPr>
            <w:tcW w:type="dxa" w:w="26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51.7%</w:t>
            </w:r>
          </w:p>
        </w:tc>
        <w:tc>
          <w:tcPr>
            <w:tcW w:type="dxa" w:w="26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54.2%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1B6B3A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5.2 Customer Bill: Before vs. After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987"/>
        <w:gridCol w:w="1987"/>
        <w:gridCol w:w="1986"/>
      </w:tblGrid>
      <w:tr>
        <w:trPr>
          <w:tblHeader/>
        </w:trPr>
        <w:tc>
          <w:tcPr>
            <w:tcW w:type="dxa" w:w="34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Bill Component</w:t>
            </w:r>
          </w:p>
        </w:tc>
        <w:tc>
          <w:tcPr>
            <w:tcW w:type="dxa" w:w="1987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Before Netso</w:t>
            </w:r>
          </w:p>
        </w:tc>
        <w:tc>
          <w:tcPr>
            <w:tcW w:type="dxa" w:w="1987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 A</w:t>
            </w:r>
          </w:p>
        </w:tc>
        <w:tc>
          <w:tcPr>
            <w:tcW w:type="dxa" w:w="1986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 B</w:t>
            </w:r>
          </w:p>
        </w:tc>
      </w:tr>
      <w:tr>
        <w:tc>
          <w:tcPr>
            <w:tcW w:type="dxa" w:w="34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Pays Netso (solar generation)</w:t>
            </w:r>
          </w:p>
        </w:tc>
        <w:tc>
          <w:tcPr>
            <w:tcW w:type="dxa" w:w="1987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987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BDT 22,638</w:t>
            </w:r>
          </w:p>
        </w:tc>
        <w:tc>
          <w:tcPr>
            <w:tcW w:type="dxa" w:w="1986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BDT 22,638</w:t>
            </w:r>
          </w:p>
        </w:tc>
      </w:tr>
      <w:tr>
        <w:tc>
          <w:tcPr>
            <w:tcW w:type="dxa" w:w="34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Pays BPDB (remaining grid units)</w:t>
            </w:r>
          </w:p>
        </w:tc>
        <w:tc>
          <w:tcPr>
            <w:tcW w:type="dxa" w:w="1987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BDT 50,000</w:t>
            </w:r>
          </w:p>
        </w:tc>
        <w:tc>
          <w:tcPr>
            <w:tcW w:type="dxa" w:w="1987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BDT 22,924</w:t>
            </w:r>
          </w:p>
        </w:tc>
        <w:tc>
          <w:tcPr>
            <w:tcW w:type="dxa" w:w="1986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BDT 21,755</w:t>
            </w:r>
          </w:p>
        </w:tc>
      </w:tr>
      <w:tr>
        <w:tc>
          <w:tcPr>
            <w:tcW w:type="dxa" w:w="34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Net Metering Credit from BPDB</w:t>
            </w:r>
          </w:p>
        </w:tc>
        <w:tc>
          <w:tcPr>
            <w:tcW w:type="dxa" w:w="1987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987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(BDT 2,912)</w:t>
            </w:r>
          </w:p>
        </w:tc>
        <w:tc>
          <w:tcPr>
            <w:tcW w:type="dxa" w:w="1986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(BDT 2,358)</w:t>
            </w:r>
          </w:p>
        </w:tc>
      </w:tr>
      <w:tr>
        <w:tc>
          <w:tcPr>
            <w:tcW w:type="dxa" w:w="34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TOTAL MONTHLY COST</w:t>
            </w:r>
          </w:p>
        </w:tc>
        <w:tc>
          <w:tcPr>
            <w:tcW w:type="dxa" w:w="1987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BDT 50,000</w:t>
            </w:r>
          </w:p>
        </w:tc>
        <w:tc>
          <w:tcPr>
            <w:tcW w:type="dxa" w:w="1987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BDT 42,650</w:t>
            </w:r>
          </w:p>
        </w:tc>
        <w:tc>
          <w:tcPr>
            <w:tcW w:type="dxa" w:w="1986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BDT 42,035</w:t>
            </w:r>
          </w:p>
        </w:tc>
      </w:tr>
      <w:tr>
        <w:tc>
          <w:tcPr>
            <w:tcW w:type="dxa" w:w="34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Monthly Saving</w:t>
            </w:r>
          </w:p>
        </w:tc>
        <w:tc>
          <w:tcPr>
            <w:tcW w:type="dxa" w:w="1987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987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BDT 7,350</w:t>
            </w:r>
          </w:p>
        </w:tc>
        <w:tc>
          <w:tcPr>
            <w:tcW w:type="dxa" w:w="1986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BDT 7,965</w:t>
            </w:r>
          </w:p>
        </w:tc>
      </w:tr>
      <w:tr>
        <w:tc>
          <w:tcPr>
            <w:tcW w:type="dxa" w:w="34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Saving %</w:t>
            </w:r>
          </w:p>
        </w:tc>
        <w:tc>
          <w:tcPr>
            <w:tcW w:type="dxa" w:w="1987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987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14.7%</w:t>
            </w:r>
          </w:p>
        </w:tc>
        <w:tc>
          <w:tcPr>
            <w:tcW w:type="dxa" w:w="1986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15.9%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1B6B3A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5.3 Netso Monthly Profit &amp; Loss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P&amp;L Item</w:t>
            </w:r>
          </w:p>
        </w:tc>
        <w:tc>
          <w:tcPr>
            <w:tcW w:type="dxa" w:w="26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 A (Solar Only)</w:t>
            </w:r>
          </w:p>
        </w:tc>
        <w:tc>
          <w:tcPr>
            <w:tcW w:type="dxa" w:w="26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 B (+ Battery)</w:t>
            </w:r>
          </w:p>
        </w:tc>
      </w:tr>
      <w:tr>
        <w:tc>
          <w:tcPr>
            <w:tcW w:type="dxa" w:w="40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Revenue from Customer</w:t>
            </w:r>
          </w:p>
        </w:tc>
        <w:tc>
          <w:tcPr>
            <w:tcW w:type="dxa" w:w="26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3A"/>
                <w:sz w:val="19"/>
                <w:szCs w:val="19"/>
              </w:rPr>
              <w:t xml:space="preserve">BDT 22,638</w:t>
            </w:r>
          </w:p>
        </w:tc>
        <w:tc>
          <w:tcPr>
            <w:tcW w:type="dxa" w:w="26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3A"/>
                <w:sz w:val="19"/>
                <w:szCs w:val="19"/>
              </w:rPr>
              <w:t xml:space="preserve">BDT 22,638</w:t>
            </w:r>
          </w:p>
        </w:tc>
      </w:tr>
      <w:tr>
        <w:tc>
          <w:tcPr>
            <w:tcW w:type="dxa" w:w="40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IDCOL EMI Repayment</w:t>
            </w:r>
          </w:p>
        </w:tc>
        <w:tc>
          <w:tcPr>
            <w:tcW w:type="dxa" w:w="26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(BDT 12,219)</w:t>
            </w:r>
          </w:p>
        </w:tc>
        <w:tc>
          <w:tcPr>
            <w:tcW w:type="dxa" w:w="26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(BDT 14,527)</w:t>
            </w:r>
          </w:p>
        </w:tc>
      </w:tr>
      <w:tr>
        <w:tc>
          <w:tcPr>
            <w:tcW w:type="dxa" w:w="40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O&amp;M Cost (0.5% CAPEX/yr ÷ 12)</w:t>
            </w:r>
          </w:p>
        </w:tc>
        <w:tc>
          <w:tcPr>
            <w:tcW w:type="dxa" w:w="26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6A"/>
                <w:sz w:val="19"/>
                <w:szCs w:val="19"/>
              </w:rPr>
              <w:t xml:space="preserve">(BDT 573)</w:t>
            </w:r>
          </w:p>
        </w:tc>
        <w:tc>
          <w:tcPr>
            <w:tcW w:type="dxa" w:w="26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6A"/>
                <w:sz w:val="19"/>
                <w:szCs w:val="19"/>
              </w:rPr>
              <w:t xml:space="preserve">(BDT 681)</w:t>
            </w:r>
          </w:p>
        </w:tc>
      </w:tr>
      <w:tr>
        <w:tc>
          <w:tcPr>
            <w:tcW w:type="dxa" w:w="40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Insurance (0.3% CAPEX/yr ÷ 12)</w:t>
            </w:r>
          </w:p>
        </w:tc>
        <w:tc>
          <w:tcPr>
            <w:tcW w:type="dxa" w:w="26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6A"/>
                <w:sz w:val="19"/>
                <w:szCs w:val="19"/>
              </w:rPr>
              <w:t xml:space="preserve">(BDT 344)</w:t>
            </w:r>
          </w:p>
        </w:tc>
        <w:tc>
          <w:tcPr>
            <w:tcW w:type="dxa" w:w="26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6A"/>
                <w:sz w:val="19"/>
                <w:szCs w:val="19"/>
              </w:rPr>
              <w:t xml:space="preserve">(BDT 409)</w:t>
            </w:r>
          </w:p>
        </w:tc>
      </w:tr>
      <w:tr>
        <w:tc>
          <w:tcPr>
            <w:tcW w:type="dxa" w:w="40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NET MONTHLY PROFIT</w:t>
            </w:r>
          </w:p>
        </w:tc>
        <w:tc>
          <w:tcPr>
            <w:tcW w:type="dxa" w:w="26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BDT 9,502</w:t>
            </w:r>
          </w:p>
        </w:tc>
        <w:tc>
          <w:tcPr>
            <w:tcW w:type="dxa" w:w="26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BDT 7,021</w:t>
            </w:r>
          </w:p>
        </w:tc>
      </w:tr>
      <w:tr>
        <w:tc>
          <w:tcPr>
            <w:tcW w:type="dxa" w:w="40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Annual Profit</w:t>
            </w:r>
          </w:p>
        </w:tc>
        <w:tc>
          <w:tcPr>
            <w:tcW w:type="dxa" w:w="26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BDT 114,024</w:t>
            </w:r>
          </w:p>
        </w:tc>
        <w:tc>
          <w:tcPr>
            <w:tcW w:type="dxa" w:w="26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BDT 84,252</w:t>
            </w:r>
          </w:p>
        </w:tc>
      </w:tr>
      <w:tr>
        <w:tc>
          <w:tcPr>
            <w:tcW w:type="dxa" w:w="40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10-Year Cumulative Profit</w:t>
            </w:r>
          </w:p>
        </w:tc>
        <w:tc>
          <w:tcPr>
            <w:tcW w:type="dxa" w:w="26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BDT 1,140,240</w:t>
            </w:r>
          </w:p>
        </w:tc>
        <w:tc>
          <w:tcPr>
            <w:tcW w:type="dxa" w:w="26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BDT 842,520</w:t>
            </w:r>
          </w:p>
        </w:tc>
      </w:tr>
    </w:tbl>
    <w:p>
      <w:r>
        <w:br/>
      </w:r>
    </w:p>
    <w:p>
      <w:pPr>
        <w:pStyle w:val="Heading1"/>
        <w:shd w:fill="1B6B3A" w:val="clear"/>
        <w:spacing w:before="360" w:after="18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POST-LOAN WINDFALL — YEAR 11 ONWARD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This is the most important section in the entire model. Once the IDCOL loan is repaid after year 10, the monthly cost structure collapses to O&amp;M and insurance only. Revenue continues unchanged. Profit nearly triples.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730"/>
        <w:gridCol w:w="2730"/>
      </w:tblGrid>
      <w:tr>
        <w:trPr>
          <w:tblHeader/>
        </w:trPr>
        <w:tc>
          <w:tcPr>
            <w:tcW w:type="dxa" w:w="39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73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 A</w:t>
            </w:r>
          </w:p>
        </w:tc>
        <w:tc>
          <w:tcPr>
            <w:tcW w:type="dxa" w:w="273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 B</w:t>
            </w:r>
          </w:p>
        </w:tc>
      </w:tr>
      <w:tr>
        <w:tc>
          <w:tcPr>
            <w:tcW w:type="dxa" w:w="39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Monthly Revenue (unchanged)</w:t>
            </w:r>
          </w:p>
        </w:tc>
        <w:tc>
          <w:tcPr>
            <w:tcW w:type="dxa" w:w="273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BDT 22,638</w:t>
            </w:r>
          </w:p>
        </w:tc>
        <w:tc>
          <w:tcPr>
            <w:tcW w:type="dxa" w:w="273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BDT 22,638</w:t>
            </w:r>
          </w:p>
        </w:tc>
      </w:tr>
      <w:tr>
        <w:tc>
          <w:tcPr>
            <w:tcW w:type="dxa" w:w="39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Monthly Costs (yr 11+: O&amp;M + Insurance only)</w:t>
            </w:r>
          </w:p>
        </w:tc>
        <w:tc>
          <w:tcPr>
            <w:tcW w:type="dxa" w:w="273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BDT 917</w:t>
            </w:r>
          </w:p>
        </w:tc>
        <w:tc>
          <w:tcPr>
            <w:tcW w:type="dxa" w:w="273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BDT 1,090</w:t>
            </w:r>
          </w:p>
        </w:tc>
      </w:tr>
      <w:tr>
        <w:tc>
          <w:tcPr>
            <w:tcW w:type="dxa" w:w="39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MONTHLY PROFIT (YR 11+)</w:t>
            </w:r>
          </w:p>
        </w:tc>
        <w:tc>
          <w:tcPr>
            <w:tcW w:type="dxa" w:w="273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BDT 21,721</w:t>
            </w:r>
          </w:p>
        </w:tc>
        <w:tc>
          <w:tcPr>
            <w:tcW w:type="dxa" w:w="273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BDT 21,548</w:t>
            </w:r>
          </w:p>
        </w:tc>
      </w:tr>
      <w:tr>
        <w:tc>
          <w:tcPr>
            <w:tcW w:type="dxa" w:w="39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ANNUAL PROFIT (YR 11+)</w:t>
            </w:r>
          </w:p>
        </w:tc>
        <w:tc>
          <w:tcPr>
            <w:tcW w:type="dxa" w:w="273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BDT 260,652</w:t>
            </w:r>
          </w:p>
        </w:tc>
        <w:tc>
          <w:tcPr>
            <w:tcW w:type="dxa" w:w="273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BDT 258,576</w:t>
            </w:r>
          </w:p>
        </w:tc>
      </w:tr>
      <w:tr>
        <w:tc>
          <w:tcPr>
            <w:tcW w:type="dxa" w:w="39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Increase vs. Loan Period</w:t>
            </w:r>
          </w:p>
        </w:tc>
        <w:tc>
          <w:tcPr>
            <w:tcW w:type="dxa" w:w="273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+128.6%</w:t>
            </w:r>
          </w:p>
        </w:tc>
        <w:tc>
          <w:tcPr>
            <w:tcW w:type="dxa" w:w="273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+207.0%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6"/>
              <w:left w:val="thick" w:color="B8860B" w:sz="18"/>
              <w:bottom w:val="single" w:color="B8860B" w:sz="1"/>
              <w:right w:val="single" w:color="B8860B" w:sz="1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The Wealth-Building Event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Year 10 is the inflection point. IDCOL is repaid. The system is fully paid off. For the remaining 5–10 years of the contract, Netso collects BDT 21,721/month per building in near-passive profit. Across 5 buildings, this is BDT 108,605/month (BDT 1.3M/year) in recurring income with minimal overhead. This is the real reason to deploy fast and build the portfolio now.</w:t>
            </w:r>
          </w:p>
        </w:tc>
      </w:tr>
    </w:tbl>
    <w:p>
      <w:r>
        <w:br/>
      </w:r>
    </w:p>
    <w:p>
      <w:pPr>
        <w:pStyle w:val="Heading1"/>
        <w:shd w:fill="1B6B3A" w:val="clear"/>
        <w:spacing w:before="360" w:after="18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HEAD-TO-HEAD SCENARIO COMPARISON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80"/>
        <w:gridCol w:w="2980"/>
      </w:tblGrid>
      <w:tr>
        <w:trPr>
          <w:tblHeader/>
        </w:trPr>
        <w:tc>
          <w:tcPr>
            <w:tcW w:type="dxa" w:w="34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Metric</w:t>
            </w:r>
          </w:p>
        </w:tc>
        <w:tc>
          <w:tcPr>
            <w:tcW w:type="dxa" w:w="29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Scenario A: Solar Only ★</w:t>
            </w:r>
          </w:p>
        </w:tc>
        <w:tc>
          <w:tcPr>
            <w:tcW w:type="dxa" w:w="29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Scenario B: + HiTHIUM Battery</w:t>
            </w:r>
          </w:p>
        </w:tc>
      </w:tr>
      <w:tr>
        <w:tc>
          <w:tcPr>
            <w:tcW w:type="dxa" w:w="34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System CAPEX</w:t>
            </w:r>
          </w:p>
        </w:tc>
        <w:tc>
          <w:tcPr>
            <w:tcW w:type="dxa" w:w="29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BDT 1,375,660</w:t>
            </w:r>
          </w:p>
        </w:tc>
        <w:tc>
          <w:tcPr>
            <w:tcW w:type="dxa" w:w="29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BDT 1,635,660</w:t>
            </w:r>
          </w:p>
        </w:tc>
      </w:tr>
      <w:tr>
        <w:tc>
          <w:tcPr>
            <w:tcW w:type="dxa" w:w="34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Your Equity Required</w:t>
            </w:r>
          </w:p>
        </w:tc>
        <w:tc>
          <w:tcPr>
            <w:tcW w:type="dxa" w:w="29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BDT 275,132</w:t>
            </w:r>
          </w:p>
        </w:tc>
        <w:tc>
          <w:tcPr>
            <w:tcW w:type="dxa" w:w="29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BDT 327,132</w:t>
            </w:r>
          </w:p>
        </w:tc>
      </w:tr>
      <w:tr>
        <w:tc>
          <w:tcPr>
            <w:tcW w:type="dxa" w:w="34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Monthly Revenue</w:t>
            </w:r>
          </w:p>
        </w:tc>
        <w:tc>
          <w:tcPr>
            <w:tcW w:type="dxa" w:w="29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BDT 22,638</w:t>
            </w:r>
          </w:p>
        </w:tc>
        <w:tc>
          <w:tcPr>
            <w:tcW w:type="dxa" w:w="29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BDT 22,638</w:t>
            </w:r>
          </w:p>
        </w:tc>
      </w:tr>
      <w:tr>
        <w:tc>
          <w:tcPr>
            <w:tcW w:type="dxa" w:w="34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Monthly Profit (Loan Period)</w:t>
            </w:r>
          </w:p>
        </w:tc>
        <w:tc>
          <w:tcPr>
            <w:tcW w:type="dxa" w:w="29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BDT 9,502 ★</w:t>
            </w:r>
          </w:p>
        </w:tc>
        <w:tc>
          <w:tcPr>
            <w:tcW w:type="dxa" w:w="29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BDT 7,021</w:t>
            </w:r>
          </w:p>
        </w:tc>
      </w:tr>
      <w:tr>
        <w:tc>
          <w:tcPr>
            <w:tcW w:type="dxa" w:w="34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Monthly Profit (Yr 11+)</w:t>
            </w:r>
          </w:p>
        </w:tc>
        <w:tc>
          <w:tcPr>
            <w:tcW w:type="dxa" w:w="29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BDT 21,721</w:t>
            </w:r>
          </w:p>
        </w:tc>
        <w:tc>
          <w:tcPr>
            <w:tcW w:type="dxa" w:w="29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BDT 21,548</w:t>
            </w:r>
          </w:p>
        </w:tc>
      </w:tr>
      <w:tr>
        <w:tc>
          <w:tcPr>
            <w:tcW w:type="dxa" w:w="34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Annual Profit (Loan Period)</w:t>
            </w:r>
          </w:p>
        </w:tc>
        <w:tc>
          <w:tcPr>
            <w:tcW w:type="dxa" w:w="29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BDT 114,024 ★</w:t>
            </w:r>
          </w:p>
        </w:tc>
        <w:tc>
          <w:tcPr>
            <w:tcW w:type="dxa" w:w="29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BDT 84,252</w:t>
            </w:r>
          </w:p>
        </w:tc>
      </w:tr>
      <w:tr>
        <w:tc>
          <w:tcPr>
            <w:tcW w:type="dxa" w:w="34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Customer Monthly Saving</w:t>
            </w:r>
          </w:p>
        </w:tc>
        <w:tc>
          <w:tcPr>
            <w:tcW w:type="dxa" w:w="29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BDT 7,350</w:t>
            </w:r>
          </w:p>
        </w:tc>
        <w:tc>
          <w:tcPr>
            <w:tcW w:type="dxa" w:w="29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BDT 7,965 ★</w:t>
            </w:r>
          </w:p>
        </w:tc>
      </w:tr>
      <w:tr>
        <w:tc>
          <w:tcPr>
            <w:tcW w:type="dxa" w:w="34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Grid Independence</w:t>
            </w:r>
          </w:p>
        </w:tc>
        <w:tc>
          <w:tcPr>
            <w:tcW w:type="dxa" w:w="29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51.7%</w:t>
            </w:r>
          </w:p>
        </w:tc>
        <w:tc>
          <w:tcPr>
            <w:tcW w:type="dxa" w:w="29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54.2% ★</w:t>
            </w:r>
          </w:p>
        </w:tc>
      </w:tr>
      <w:tr>
        <w:tc>
          <w:tcPr>
            <w:tcW w:type="dxa" w:w="34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Equity Payback Period</w:t>
            </w:r>
          </w:p>
        </w:tc>
        <w:tc>
          <w:tcPr>
            <w:tcW w:type="dxa" w:w="29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28 months ★</w:t>
            </w:r>
          </w:p>
        </w:tc>
        <w:tc>
          <w:tcPr>
            <w:tcW w:type="dxa" w:w="29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46 months</w:t>
            </w:r>
          </w:p>
        </w:tc>
      </w:tr>
      <w:tr>
        <w:tc>
          <w:tcPr>
            <w:tcW w:type="dxa" w:w="34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10-Yr Cumulative Profit</w:t>
            </w:r>
          </w:p>
        </w:tc>
        <w:tc>
          <w:tcPr>
            <w:tcW w:type="dxa" w:w="29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BDT 1,140,240 ★</w:t>
            </w:r>
          </w:p>
        </w:tc>
        <w:tc>
          <w:tcPr>
            <w:tcW w:type="dxa" w:w="29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BDT 842,520</w:t>
            </w:r>
          </w:p>
        </w:tc>
      </w:tr>
      <w:tr>
        <w:tc>
          <w:tcPr>
            <w:tcW w:type="dxa" w:w="34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Installation Complexity</w:t>
            </w:r>
          </w:p>
        </w:tc>
        <w:tc>
          <w:tcPr>
            <w:tcW w:type="dxa" w:w="29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Low ★</w:t>
            </w:r>
          </w:p>
        </w:tc>
        <w:tc>
          <w:tcPr>
            <w:tcW w:type="dxa" w:w="29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34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29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DEPLOY NOW (Deals 1–3)</w:t>
            </w:r>
          </w:p>
        </w:tc>
        <w:tc>
          <w:tcPr>
            <w:tcW w:type="dxa" w:w="29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E0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Deploy from Deal 4+</w:t>
            </w:r>
          </w:p>
        </w:tc>
      </w:tr>
    </w:tbl>
    <w:p>
      <w:r>
        <w:br/>
      </w:r>
    </w:p>
    <w:p>
      <w:pPr>
        <w:pStyle w:val="Heading1"/>
        <w:shd w:fill="1B6B3A" w:val="clear"/>
        <w:spacing w:before="360" w:after="18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PORTFOLIO SCALING — WHAT 5 BUILDINGS LOOKS LIKE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The OPEX model is designed to be replicated rapidly. Each building is an independent IDCOL-financed project. The more buildings deployed, the stronger the portfolio cash flow — even while individual loans are still being repaid.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90"/>
        <w:gridCol w:w="1490"/>
        <w:gridCol w:w="1490"/>
        <w:gridCol w:w="1490"/>
      </w:tblGrid>
      <w:tr>
        <w:trPr>
          <w:tblHeader/>
        </w:trPr>
        <w:tc>
          <w:tcPr>
            <w:tcW w:type="dxa" w:w="34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49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 Building</w:t>
            </w:r>
          </w:p>
        </w:tc>
        <w:tc>
          <w:tcPr>
            <w:tcW w:type="dxa" w:w="149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 Buildings</w:t>
            </w:r>
          </w:p>
        </w:tc>
        <w:tc>
          <w:tcPr>
            <w:tcW w:type="dxa" w:w="149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 Buildings</w:t>
            </w:r>
          </w:p>
        </w:tc>
        <w:tc>
          <w:tcPr>
            <w:tcW w:type="dxa" w:w="149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 Buildings</w:t>
            </w:r>
          </w:p>
        </w:tc>
      </w:tr>
      <w:tr>
        <w:tc>
          <w:tcPr>
            <w:tcW w:type="dxa" w:w="34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Monthly Revenue</w:t>
            </w:r>
          </w:p>
        </w:tc>
        <w:tc>
          <w:tcPr>
            <w:tcW w:type="dxa" w:w="149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22,638</w:t>
            </w:r>
          </w:p>
        </w:tc>
        <w:tc>
          <w:tcPr>
            <w:tcW w:type="dxa" w:w="149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45,276</w:t>
            </w:r>
          </w:p>
        </w:tc>
        <w:tc>
          <w:tcPr>
            <w:tcW w:type="dxa" w:w="149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67,914</w:t>
            </w:r>
          </w:p>
        </w:tc>
        <w:tc>
          <w:tcPr>
            <w:tcW w:type="dxa" w:w="149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113,190</w:t>
            </w:r>
          </w:p>
        </w:tc>
      </w:tr>
      <w:tr>
        <w:tc>
          <w:tcPr>
            <w:tcW w:type="dxa" w:w="34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Monthly Profit (Loan)</w:t>
            </w:r>
          </w:p>
        </w:tc>
        <w:tc>
          <w:tcPr>
            <w:tcW w:type="dxa" w:w="149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9,502</w:t>
            </w:r>
          </w:p>
        </w:tc>
        <w:tc>
          <w:tcPr>
            <w:tcW w:type="dxa" w:w="149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19,004</w:t>
            </w:r>
          </w:p>
        </w:tc>
        <w:tc>
          <w:tcPr>
            <w:tcW w:type="dxa" w:w="149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28,506</w:t>
            </w:r>
          </w:p>
        </w:tc>
        <w:tc>
          <w:tcPr>
            <w:tcW w:type="dxa" w:w="149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47,510</w:t>
            </w:r>
          </w:p>
        </w:tc>
      </w:tr>
      <w:tr>
        <w:tc>
          <w:tcPr>
            <w:tcW w:type="dxa" w:w="34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Monthly Profit (Yr 11+)</w:t>
            </w:r>
          </w:p>
        </w:tc>
        <w:tc>
          <w:tcPr>
            <w:tcW w:type="dxa" w:w="149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9"/>
                <w:szCs w:val="19"/>
              </w:rPr>
              <w:t xml:space="preserve">21,721</w:t>
            </w:r>
          </w:p>
        </w:tc>
        <w:tc>
          <w:tcPr>
            <w:tcW w:type="dxa" w:w="149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9"/>
                <w:szCs w:val="19"/>
              </w:rPr>
              <w:t xml:space="preserve">43,442</w:t>
            </w:r>
          </w:p>
        </w:tc>
        <w:tc>
          <w:tcPr>
            <w:tcW w:type="dxa" w:w="149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9"/>
                <w:szCs w:val="19"/>
              </w:rPr>
              <w:t xml:space="preserve">65,163</w:t>
            </w:r>
          </w:p>
        </w:tc>
        <w:tc>
          <w:tcPr>
            <w:tcW w:type="dxa" w:w="149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108,605</w:t>
            </w:r>
          </w:p>
        </w:tc>
      </w:tr>
      <w:tr>
        <w:tc>
          <w:tcPr>
            <w:tcW w:type="dxa" w:w="34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Annual Revenue</w:t>
            </w:r>
          </w:p>
        </w:tc>
        <w:tc>
          <w:tcPr>
            <w:tcW w:type="dxa" w:w="149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271,656</w:t>
            </w:r>
          </w:p>
        </w:tc>
        <w:tc>
          <w:tcPr>
            <w:tcW w:type="dxa" w:w="149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543,312</w:t>
            </w:r>
          </w:p>
        </w:tc>
        <w:tc>
          <w:tcPr>
            <w:tcW w:type="dxa" w:w="149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814,968</w:t>
            </w:r>
          </w:p>
        </w:tc>
        <w:tc>
          <w:tcPr>
            <w:tcW w:type="dxa" w:w="149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1,358,280</w:t>
            </w:r>
          </w:p>
        </w:tc>
      </w:tr>
      <w:tr>
        <w:tc>
          <w:tcPr>
            <w:tcW w:type="dxa" w:w="34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Equity Needed (Total)</w:t>
            </w:r>
          </w:p>
        </w:tc>
        <w:tc>
          <w:tcPr>
            <w:tcW w:type="dxa" w:w="149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275,132</w:t>
            </w:r>
          </w:p>
        </w:tc>
        <w:tc>
          <w:tcPr>
            <w:tcW w:type="dxa" w:w="149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550,264</w:t>
            </w:r>
          </w:p>
        </w:tc>
        <w:tc>
          <w:tcPr>
            <w:tcW w:type="dxa" w:w="149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825,396</w:t>
            </w:r>
          </w:p>
        </w:tc>
        <w:tc>
          <w:tcPr>
            <w:tcW w:type="dxa" w:w="149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1,375,660</w:t>
            </w:r>
          </w:p>
        </w:tc>
      </w:tr>
      <w:tr>
        <w:tc>
          <w:tcPr>
            <w:tcW w:type="dxa" w:w="34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Customers Benefited</w:t>
            </w:r>
          </w:p>
        </w:tc>
        <w:tc>
          <w:tcPr>
            <w:tcW w:type="dxa" w:w="149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12 apts</w:t>
            </w:r>
          </w:p>
        </w:tc>
        <w:tc>
          <w:tcPr>
            <w:tcW w:type="dxa" w:w="149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24 apts</w:t>
            </w:r>
          </w:p>
        </w:tc>
        <w:tc>
          <w:tcPr>
            <w:tcW w:type="dxa" w:w="149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36 apts</w:t>
            </w:r>
          </w:p>
        </w:tc>
        <w:tc>
          <w:tcPr>
            <w:tcW w:type="dxa" w:w="149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60 apts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3A" w:sz="6"/>
              <w:left w:val="thick" w:color="1B6B3A" w:sz="18"/>
              <w:bottom w:val="single" w:color="1B6B3A" w:sz="1"/>
              <w:right w:val="single" w:color="1B6B3A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6B3A"/>
                <w:sz w:val="22"/>
                <w:szCs w:val="22"/>
              </w:rPr>
              <w:t xml:space="preserve">Path to BDT 1M/Year Revenue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 buildings at scale = BDT 1.08M annual revenue during loan period. 5 buildings post-loan = BDT 1.3M/year near-passive. Each building requires BDT 275,132 in equity — totalling BDT 1.375M for 5 buildings. The IDCOL loan does the heavy lifting on each project.</w:t>
            </w:r>
          </w:p>
        </w:tc>
      </w:tr>
    </w:tbl>
    <w:p>
      <w:r>
        <w:br/>
      </w:r>
    </w:p>
    <w:p>
      <w:pPr>
        <w:pStyle w:val="Heading1"/>
        <w:shd w:fill="1B6B3A" w:val="clear"/>
        <w:spacing w:before="360" w:after="18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STRATEGIC RECOMMENDATIONS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1B6B3A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9.1 Immediate Actions (This Week)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Call every warm residential contact. Confirm 3 site visits.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Visit each rooftop: photograph, measure, collect 3 months of electricity bills.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Request 3 hardware quotes from Dhaka suppliers for a 22 kW system.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Prepare a 1-page proposal per building: current bill vs. Netso OPEX charge.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Target one signed LOI within 14 days.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1B6B3A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9.2 Pricing &amp; Contract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Always charge BDT 7.00/kWh — never less. You have massive headroom vs. the BDT 12.67–14.61 marginal grid rate.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Include minimum generation clause: customer pays for 85% of rated monthly generation regardless of consumption.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Give the customer all net metering credits — it costs you nothing and accelerates deal closure.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Contract term: 12 years minimum. System transfer to customer at end of term.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1B6B3A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9.3 Battery Strategy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Deals 1–3: Solar only. Higher margin (BDT 9,502/month), faster equity payback (28 months), simpler installation.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Deal 4 onward: Add HiTHIUM MaxPower 16 per building as cash flow from earlier deals funds part of the battery cost.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Request a formal quote from HiTHIUM now (Bangladesh is listed as a supported region on their website).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Sodium-ion batteries: revisit in 2027–2028 when CATL/BYD products reach Bangladesh distributors at scale.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1B6B3A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9.4 Financing Path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IDCOL primary: 80% debt at 6% over 10 years. Submit pre-qualification immediately with your SREDA registration.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Parallel: approach BRAC Bank and Dutch-Bangla Bank SME green energy products as backup.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Supplier credit: negotiate 30–50% upfront, balance on commissioning with your hardware supplier.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Your equity per building: BDT 275,132 (~$2,300 USD). Each deal is self-contained.</w:t>
      </w:r>
    </w:p>
    <w:p>
      <w:r>
        <w:br/>
      </w:r>
    </w:p>
    <w:p>
      <w:pPr>
        <w:pStyle w:val="Heading1"/>
        <w:shd w:fill="1B6B3A" w:val="clear"/>
        <w:spacing w:before="360" w:after="18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KEY RISKS &amp; MITIGATIONS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80"/>
        <w:gridCol w:w="308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34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0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8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Customer reduces consumption over time</w:t>
            </w:r>
          </w:p>
        </w:tc>
        <w:tc>
          <w:tcPr>
            <w:tcW w:type="dxa" w:w="34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Your revenue/kWh stays same but their savings shrink — deal looks worse</w:t>
            </w:r>
          </w:p>
        </w:tc>
        <w:tc>
          <w:tcPr>
            <w:tcW w:type="dxa" w:w="30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Minimum generation payment clause in contract</w:t>
            </w:r>
          </w:p>
        </w:tc>
      </w:tr>
      <w:tr>
        <w:tc>
          <w:tcPr>
            <w:tcW w:type="dxa" w:w="28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BPDB tariff decreases</w:t>
            </w:r>
          </w:p>
        </w:tc>
        <w:tc>
          <w:tcPr>
            <w:tcW w:type="dxa" w:w="34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Your BDT 7.00/kWh offer less attractive</w:t>
            </w:r>
          </w:p>
        </w:tc>
        <w:tc>
          <w:tcPr>
            <w:tcW w:type="dxa" w:w="30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Lock tariff discount % not absolute rate in contract</w:t>
            </w:r>
          </w:p>
        </w:tc>
      </w:tr>
      <w:tr>
        <w:tc>
          <w:tcPr>
            <w:tcW w:type="dxa" w:w="28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IDCOL application delayed</w:t>
            </w:r>
          </w:p>
        </w:tc>
        <w:tc>
          <w:tcPr>
            <w:tcW w:type="dxa" w:w="34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Capital stuck, deal stalls</w:t>
            </w:r>
          </w:p>
        </w:tc>
        <w:tc>
          <w:tcPr>
            <w:tcW w:type="dxa" w:w="30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Parallel bank application from day 1</w:t>
            </w:r>
          </w:p>
        </w:tc>
      </w:tr>
      <w:tr>
        <w:tc>
          <w:tcPr>
            <w:tcW w:type="dxa" w:w="28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Net metering approval delay</w:t>
            </w:r>
          </w:p>
        </w:tc>
        <w:tc>
          <w:tcPr>
            <w:tcW w:type="dxa" w:w="34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Customer can't export surplus for months</w:t>
            </w:r>
          </w:p>
        </w:tc>
        <w:tc>
          <w:tcPr>
            <w:tcW w:type="dxa" w:w="30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Start with common-area-only system to avoid NEM dependency</w:t>
            </w:r>
          </w:p>
        </w:tc>
      </w:tr>
      <w:tr>
        <w:tc>
          <w:tcPr>
            <w:tcW w:type="dxa" w:w="28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Panel degradation over 10 years</w:t>
            </w:r>
          </w:p>
        </w:tc>
        <w:tc>
          <w:tcPr>
            <w:tcW w:type="dxa" w:w="34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~0.5%/yr, reduces generation by ~5% by year 10</w:t>
            </w:r>
          </w:p>
        </w:tc>
        <w:tc>
          <w:tcPr>
            <w:tcW w:type="dxa" w:w="30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Built into yield estimates; minor impact on revenue</w:t>
            </w:r>
          </w:p>
        </w:tc>
      </w:tr>
      <w:tr>
        <w:tc>
          <w:tcPr>
            <w:tcW w:type="dxa" w:w="280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20-year contract enforcement in Bangladesh</w:t>
            </w:r>
          </w:p>
        </w:tc>
        <w:tc>
          <w:tcPr>
            <w:tcW w:type="dxa" w:w="34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High legal risk if customer defaults or disputes</w:t>
            </w:r>
          </w:p>
        </w:tc>
        <w:tc>
          <w:tcPr>
            <w:tcW w:type="dxa" w:w="3080"/>
            <w:gridSpan w:val="1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Shorter 12-year term, strong LOI, physical ownership of system as collateral</w:t>
            </w:r>
          </w:p>
        </w:tc>
      </w:tr>
    </w:tbl>
    <w:p>
      <w:r>
        <w:br/>
      </w:r>
    </w:p>
    <w:p>
      <w:pPr>
        <w:pStyle w:val="Heading1"/>
        <w:shd w:fill="1B6B3A" w:val="clear"/>
        <w:spacing w:before="360" w:after="18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FINAL VERDICT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0"/>
        <w:gridCol w:w="240"/>
        <w:gridCol w:w="4440"/>
      </w:tblGrid>
      <w:tr>
        <w:tc>
          <w:tcPr>
            <w:tcW w:type="dxa" w:w="4440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6A"/>
                <w:sz w:val="18"/>
                <w:szCs w:val="18"/>
              </w:rPr>
              <w:t xml:space="preserve">Monthly Revenue (per building)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B3A"/>
                <w:sz w:val="26"/>
                <w:szCs w:val="26"/>
              </w:rPr>
              <w:t xml:space="preserve">BDT 22,638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/>
            </w:r>
          </w:p>
        </w:tc>
        <w:tc>
          <w:tcPr>
            <w:tcW w:type="dxa" w:w="4440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E0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6A"/>
                <w:sz w:val="18"/>
                <w:szCs w:val="18"/>
              </w:rPr>
              <w:t xml:space="preserve">Customer Saves Per Month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26"/>
                <w:szCs w:val="26"/>
              </w:rPr>
              <w:t xml:space="preserve">BDT 7,350+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440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6A"/>
                <w:sz w:val="18"/>
                <w:szCs w:val="18"/>
              </w:rPr>
              <w:t xml:space="preserve">Monthly Profit During Loan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B3A"/>
                <w:sz w:val="26"/>
                <w:szCs w:val="26"/>
              </w:rPr>
              <w:t xml:space="preserve">BDT 9,502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/>
            </w:r>
          </w:p>
        </w:tc>
        <w:tc>
          <w:tcPr>
            <w:tcW w:type="dxa" w:w="4440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E0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6A"/>
                <w:sz w:val="18"/>
                <w:szCs w:val="18"/>
              </w:rPr>
              <w:t xml:space="preserve">Your Equity Per Building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26"/>
                <w:szCs w:val="26"/>
              </w:rPr>
              <w:t xml:space="preserve">BDT 275,132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440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FDF6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6A"/>
                <w:sz w:val="18"/>
                <w:szCs w:val="18"/>
              </w:rPr>
              <w:t xml:space="preserve">Monthly Profit After Loan (Yr 11)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6"/>
                <w:szCs w:val="26"/>
              </w:rPr>
              <w:t xml:space="preserve">BDT 21,721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/>
            </w:r>
          </w:p>
        </w:tc>
        <w:tc>
          <w:tcPr>
            <w:tcW w:type="dxa" w:w="4440"/>
            <w:tcBorders>
              <w:top w:val="single" w:color="D0D8E4" w:sz="1" w:space="1"/>
              <w:left w:val="single" w:color="D0D8E4" w:sz="1" w:space="1"/>
              <w:bottom w:val="single" w:color="D0D8E4" w:sz="1" w:space="1"/>
              <w:right w:val="single" w:color="D0D8E4" w:sz="1" w:space="1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6A"/>
                <w:sz w:val="18"/>
                <w:szCs w:val="18"/>
              </w:rPr>
              <w:t xml:space="preserve">Equity Payback Period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B3A"/>
                <w:sz w:val="26"/>
                <w:szCs w:val="26"/>
              </w:rPr>
              <w:t xml:space="preserve">28 months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3A" w:sz="6"/>
              <w:left w:val="thick" w:color="1B6B3A" w:sz="18"/>
              <w:bottom w:val="single" w:color="1B6B3A" w:sz="1"/>
              <w:right w:val="single" w:color="1B6B3A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6B3A"/>
                <w:sz w:val="22"/>
                <w:szCs w:val="22"/>
              </w:rPr>
              <w:t xml:space="preserve">The model is viable. The deal sells itself.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6-storey Chittagong building owner pays BDT 50,000/month today. With Netso, they pay BDT 42,650. Zero upfront. System maintained by Netso. After 12 years the system is theirs for free.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Netso earns BDT 9,502/month per building during the loan period — and BDT 21,721/month after the loan is repaid.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only remaining question is: who are you calling first?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Bdr>
          <w:top w:val="single" w:color="1B6B3A" w:sz="4" w:space="6"/>
        </w:pBdr>
        <w:spacing w:before="200" w:after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A4A6A"/>
          <w:sz w:val="18"/>
          <w:szCs w:val="18"/>
        </w:rPr>
        <w:t xml:space="preserve">NETSO ENERGY  |  netso.energy  |  Confidential — For Internal Use Only</w:t>
      </w:r>
    </w:p>
    <w:sectPr>
      <w:headerReference w:type="default" r:id="rId6"/>
      <w:footerReference w:type="default" r:id="rId7"/>
      <w:pgSz w:w="12240" w:h="15840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8E4" w:sz="3" w:space="4"/>
      </w:pBdr>
      <w:spacing w:before="80" w:after="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4A4A6A"/>
        <w:sz w:val="17"/>
        <w:szCs w:val="17"/>
      </w:rPr>
      <w:t xml:space="preserve">© 2025 Netso Energy  |  Prepared for internal use  |  Page </w:t>
    </w:r>
    <w:r>
      <w:rPr>
        <w:rFonts w:ascii="Arial" w:cs="Arial" w:eastAsia="Arial" w:hAnsi="Arial"/>
        <w:color w:val="4A4A6A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B3A" w:sz="3" w:space="4"/>
      </w:pBdr>
      <w:spacing w:before="0" w:after="10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4A4A6A"/>
        <w:sz w:val="18"/>
        <w:szCs w:val="18"/>
      </w:rPr>
      <w:t xml:space="preserve">NETSO ENERGY  |  </w:t>
    </w:r>
    <w:r>
      <w:rPr>
        <w:rFonts w:ascii="Arial" w:cs="Arial" w:eastAsia="Arial" w:hAnsi="Arial"/>
        <w:b/>
        <w:bCs/>
        <w:i w:val="false"/>
        <w:iCs w:val="false"/>
        <w:color w:val="1B6B3A"/>
        <w:sz w:val="18"/>
        <w:szCs w:val="18"/>
      </w:rPr>
      <w:t xml:space="preserve">Residential Solar OPEX — Financial Model</w:t>
    </w:r>
    <w:r>
      <w:rPr>
        <w:rFonts w:ascii="Arial" w:cs="Arial" w:eastAsia="Arial" w:hAnsi="Arial"/>
        <w:b w:val="false"/>
        <w:bCs w:val="false"/>
        <w:i w:val="false"/>
        <w:iCs w:val="false"/>
        <w:color w:val="4A4A6A"/>
        <w:sz w:val="18"/>
        <w:szCs w:val="18"/>
      </w:rPr>
      <w:t xml:space="preserve"> 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B6B3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2026-03-31T00:27:42.634Z</dcterms:created>
  <dcterms:modified xsi:type="dcterms:W3CDTF">2026-03-31T00:27:42.634Z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