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776163225e4f4b32" /></Relationships>
</file>

<file path=word/document.xml><?xml version="1.0" encoding="utf-8"?>
<w:document xmlns:r="http://schemas.openxmlformats.org/officeDocument/2006/relationships" xmlns:w="http://schemas.openxmlformats.org/wordprocessingml/2006/main">
  <w:body>
    <w:p>
      <w:pPr>
        <w:spacing w:before="2400"/>
      </w:pPr>
      <w:r/>
    </w:p>
    <w:p>
      <w:pPr>
        <w:pBdr>
          <w:bottom w:val="single" w:color="c49a3c" w:sz="24" w:space="10"/>
        </w:pBdr>
        <w:spacing w:after="400"/>
        <w:jc w:val="center"/>
      </w:pPr>
      <w:r>
        <w:rPr>
          <w:color w:val="c49a3c"/>
          <w:spacing w:val="60"/>
          <w:sz w:val="28"/>
        </w:rPr>
        <w:t>BUILD-OWN-OPERATE (BOO) AGREEMENT</w:t>
      </w:r>
    </w:p>
    <w:p>
      <w:pPr>
        <w:spacing w:after="200"/>
        <w:jc w:val="center"/>
      </w:pPr>
      <w:r>
        <w:rPr>
          <w:b/>
          <w:color w:val="1a3a5c"/>
          <w:sz w:val="56"/>
        </w:rPr>
        <w:t>POWER PURCHASE AGREEMENT</w:t>
      </w:r>
    </w:p>
    <w:p>
      <w:pPr>
        <w:spacing w:after="600"/>
        <w:jc w:val="center"/>
      </w:pPr>
      <w:r>
        <w:rPr>
          <w:color w:val="2d5a87"/>
          <w:sz w:val="28"/>
        </w:rPr>
        <w:t>Rooftop Solar Photovoltaic System</w:t>
      </w:r>
    </w:p>
    <w:p>
      <w:pPr>
        <w:spacing w:after="1200"/>
        <w:jc w:val="center"/>
      </w:pPr>
      <w:r>
        <w:rPr>
          <w:color w:val="c49a3c"/>
        </w:rPr>
        <w:t>—————  ✦  —————</w:t>
      </w:r>
    </w:p>
    <w:tbl>
      <w:tblPr>
        <w:tblW w:w="5000" w:type="pct"/>
        <w:jc w:val="center"/>
        <w:tblBorders>
          <w:top w:val="single" w:color="1a3a5c" w:sz="12"/>
          <w:left w:val="single" w:color="1a3a5c" w:sz="12"/>
          <w:bottom w:val="single" w:color="1a3a5c" w:sz="12"/>
          <w:right w:val="single" w:color="1a3a5c" w:sz="12"/>
          <w:insideH w:val="single" w:color="d0d0d0" w:sz="4"/>
          <w:insideV w:val="nil"/>
        </w:tblBorders>
        <w:tblCellMar>
          <w:top w:w="120" w:type="dxa"/>
          <w:left w:w="200" w:type="dxa"/>
          <w:bottom w:w="120" w:type="dxa"/>
          <w:right w:w="200" w:type="dxa"/>
        </w:tblCellMar>
      </w:tblPr>
      <w:tblGrid>
        <w:gridCol w:w="3500"/>
        <w:gridCol w:w="6500"/>
      </w:tblGrid>
      <w:tr>
        <w:tc>
          <w:tcPr>
            <w:tcW w:w="3500" w:type="dxa"/>
            <w:shd w:val="clear" w:fill="f5f5f5"/>
            <w:vAlign w:val="center"/>
          </w:tcPr>
          <w:p>
            <w:pPr>
              <w:spacing w:before="0" w:after="0"/>
            </w:pPr>
            <w:r>
              <w:rPr>
                <w:b/>
                <w:color w:val="1a1a1a"/>
                <w:sz w:val="22"/>
              </w:rPr>
              <w:t>Contract Term:</w:t>
            </w:r>
          </w:p>
        </w:tc>
        <w:tc>
          <w:tcPr>
            <w:tcW w:w="6500" w:type="dxa"/>
            <w:vAlign w:val="center"/>
          </w:tcPr>
          <w:p>
            <w:pPr>
              <w:spacing w:before="0" w:after="0"/>
            </w:pPr>
            <w:r>
              <w:rPr>
                <w:color w:val="1a1a1a"/>
                <w:sz w:val="22"/>
              </w:rPr>
              <w:t>20 Years</w:t>
            </w:r>
          </w:p>
        </w:tc>
      </w:tr>
      <w:tr>
        <w:tc>
          <w:tcPr>
            <w:tcW w:w="3500" w:type="dxa"/>
            <w:shd w:val="clear" w:fill="f5f5f5"/>
            <w:vAlign w:val="center"/>
          </w:tcPr>
          <w:p>
            <w:pPr>
              <w:spacing w:before="0" w:after="0"/>
            </w:pPr>
            <w:r>
              <w:rPr>
                <w:b/>
                <w:color w:val="1a1a1a"/>
                <w:sz w:val="22"/>
              </w:rPr>
              <w:t>System Capacity:</w:t>
            </w:r>
          </w:p>
        </w:tc>
        <w:tc>
          <w:tcPr>
            <w:tcW w:w="6500" w:type="dxa"/>
            <w:vAlign w:val="center"/>
          </w:tcPr>
          <w:p>
            <w:pPr>
              <w:spacing w:before="0" w:after="0"/>
            </w:pPr>
            <w:r>
              <w:rPr>
                <w:color w:val="1a1a1a"/>
                <w:sz w:val="22"/>
              </w:rPr>
              <w:t>[___] kWp (kilowatt peak)</w:t>
            </w:r>
          </w:p>
        </w:tc>
      </w:tr>
      <w:tr>
        <w:tc>
          <w:tcPr>
            <w:tcW w:w="3500" w:type="dxa"/>
            <w:shd w:val="clear" w:fill="f5f5f5"/>
            <w:vAlign w:val="center"/>
          </w:tcPr>
          <w:p>
            <w:pPr>
              <w:spacing w:before="0" w:after="0"/>
            </w:pPr>
            <w:r>
              <w:rPr>
                <w:b/>
                <w:color w:val="1a1a1a"/>
                <w:sz w:val="22"/>
              </w:rPr>
              <w:t>Installation Site:</w:t>
            </w:r>
          </w:p>
        </w:tc>
        <w:tc>
          <w:tcPr>
            <w:tcW w:w="6500" w:type="dxa"/>
            <w:vAlign w:val="center"/>
          </w:tcPr>
          <w:p>
            <w:pPr>
              <w:spacing w:before="0" w:after="0"/>
            </w:pPr>
            <w:r>
              <w:rPr>
                <w:color w:val="1a1a1a"/>
                <w:sz w:val="22"/>
              </w:rPr>
              <w:t>[Factory Address, Gazipur/Narayanganj/Dhaka]</w:t>
            </w:r>
          </w:p>
        </w:tc>
      </w:tr>
      <w:tr>
        <w:tc>
          <w:tcPr>
            <w:tcW w:w="3500" w:type="dxa"/>
            <w:shd w:val="clear" w:fill="f5f5f5"/>
            <w:vAlign w:val="center"/>
          </w:tcPr>
          <w:p>
            <w:pPr>
              <w:spacing w:before="0" w:after="0"/>
            </w:pPr>
            <w:r>
              <w:rPr>
                <w:b/>
                <w:color w:val="1a1a1a"/>
                <w:sz w:val="22"/>
              </w:rPr>
              <w:t>Solar Tariff:</w:t>
            </w:r>
          </w:p>
        </w:tc>
        <w:tc>
          <w:tcPr>
            <w:tcW w:w="6500" w:type="dxa"/>
            <w:vAlign w:val="center"/>
          </w:tcPr>
          <w:p>
            <w:pPr>
              <w:spacing w:before="0" w:after="0"/>
            </w:pPr>
            <w:r>
              <w:rPr>
                <w:color w:val="1a1a1a"/>
                <w:sz w:val="22"/>
              </w:rPr>
              <w:t>BDT [___]/kWh (X% below DESCO LT-E rate)</w:t>
            </w:r>
          </w:p>
        </w:tc>
      </w:tr>
      <w:tr>
        <w:tc>
          <w:tcPr>
            <w:tcW w:w="3500" w:type="dxa"/>
            <w:shd w:val="clear" w:fill="f5f5f5"/>
            <w:vAlign w:val="center"/>
          </w:tcPr>
          <w:p>
            <w:pPr>
              <w:spacing w:before="0" w:after="0"/>
            </w:pPr>
            <w:r>
              <w:rPr>
                <w:b/>
                <w:color w:val="1a1a1a"/>
                <w:sz w:val="22"/>
              </w:rPr>
              <w:t>Target Commissioning:</w:t>
            </w:r>
          </w:p>
        </w:tc>
        <w:tc>
          <w:tcPr>
            <w:tcW w:w="6500" w:type="dxa"/>
            <w:vAlign w:val="center"/>
          </w:tcPr>
          <w:p>
            <w:pPr>
              <w:spacing w:before="0" w:after="0"/>
            </w:pPr>
            <w:r>
              <w:rPr>
                <w:color w:val="1a1a1a"/>
                <w:sz w:val="22"/>
              </w:rPr>
              <w:t>[Date] (within 90 days of PPA signing)</w:t>
            </w:r>
          </w:p>
        </w:tc>
      </w:tr>
    </w:tbl>
    <w:p>
      <w:pPr>
        <w:spacing w:before="1600"/>
      </w:pPr>
      <w:r/>
    </w:p>
    <w:p>
      <w:pPr>
        <w:spacing w:after="400"/>
        <w:jc w:val="center"/>
      </w:pPr>
      <w:r>
        <w:rPr>
          <w:b/>
          <w:color w:val="4a4a4a"/>
          <w:sz w:val="24"/>
        </w:rPr>
        <w:t>BETWEEN</w:t>
      </w:r>
    </w:p>
    <w:p>
      <w:pPr>
        <w:spacing w:after="120"/>
        <w:jc w:val="center"/>
      </w:pPr>
      <w:r>
        <w:rPr>
          <w:b/>
          <w:color w:val="1a3a5c"/>
          <w:sz w:val="26"/>
        </w:rPr>
        <w:t>NETSO ENERGY LIMITED</w:t>
      </w:r>
    </w:p>
    <w:p>
      <w:pPr>
        <w:spacing w:after="400"/>
        <w:jc w:val="center"/>
      </w:pPr>
      <w:r>
        <w:rPr>
          <w:i/>
          <w:color w:val="4a4a4a"/>
          <w:sz w:val="22"/>
        </w:rPr>
        <w:t>(the "Developer")</w:t>
      </w:r>
    </w:p>
    <w:p>
      <w:pPr>
        <w:spacing w:after="400"/>
        <w:jc w:val="center"/>
      </w:pPr>
      <w:r>
        <w:rPr>
          <w:color w:val="7a7a7a"/>
          <w:sz w:val="22"/>
        </w:rPr>
        <w:t>AND</w:t>
      </w:r>
    </w:p>
    <w:p>
      <w:pPr>
        <w:spacing w:after="120"/>
        <w:jc w:val="center"/>
      </w:pPr>
      <w:r>
        <w:rPr>
          <w:b/>
          <w:color w:val="1a3a5c"/>
          <w:sz w:val="26"/>
        </w:rPr>
        <w:t>[FACTORY NAME]</w:t>
      </w:r>
    </w:p>
    <w:p>
      <w:pPr>
        <w:spacing w:after="800"/>
        <w:jc w:val="center"/>
      </w:pPr>
      <w:r>
        <w:rPr>
          <w:i/>
          <w:color w:val="4a4a4a"/>
          <w:sz w:val="22"/>
        </w:rPr>
        <w:t>(the "Customer")</w:t>
      </w:r>
    </w:p>
    <w:p>
      <w:pPr>
        <w:spacing w:before="1200"/>
        <w:jc w:val="center"/>
      </w:pPr>
      <w:r>
        <w:rPr>
          <w:color w:val="4a4a4a"/>
          <w:sz w:val="22"/>
        </w:rPr>
        <w:t>Date: _______________, 2025</w:t>
      </w:r>
    </w:p>
    <w:p>
      <w:pPr>
        <w:sectPr>
          <w:type w:val="nextPage"/>
          <w:pgSz w:w="11906" w:h="16838"/>
          <w:pgMar w:top="1440" w:right="1440" w:bottom="1440" w:left="1440" w:header="720" w:footer="720"/>
        </w:sectPr>
      </w:pPr>
    </w:p>
    <w:p>
      <w:pPr>
        <w:pStyle w:val="Heading1"/>
      </w:pPr>
      <w:r>
        <w:t>TABLE OF CONTENTS</w:t>
      </w:r>
    </w:p>
    <w:p>
      <w:pPr>
        <w:spacing w:after="300"/>
      </w:pPr>
      <w:r>
        <w:rPr>
          <w:color w:val="7a7a7a"/>
          <w:sz w:val="18"/>
        </w:rPr>
        <w:t>(Right-click and select "Update Field" to refresh page numbers)</w:t>
      </w:r>
    </w:p>
    <w:p>
      <w:r>
        <w:fldChar w:fldCharType="begin"/>
      </w:r>
      <w:r>
        <w:instrText xml:space="preserve"> TOC \o "1-3" \h \z \u </w:instrText>
      </w:r>
      <w:r>
        <w:fldChar w:fldCharType="separate"/>
      </w:r>
    </w:p>
    <w:p>
      <w:pPr>
        <w:pStyle w:val="TOC1"/>
      </w:pPr>
      <w:r>
        <w:t>ARTICLE 1: DEFINITIONS AND INTERPRETATION</w:t>
      </w:r>
      <w:r>
        <w:tab/>
      </w:r>
      <w:r>
        <w:t>3</w:t>
      </w:r>
    </w:p>
    <w:p>
      <w:pPr>
        <w:pStyle w:val="TOC1"/>
      </w:pPr>
      <w:r>
        <w:t>ARTICLE 2: TERM AND COMMENCEMENT</w:t>
      </w:r>
      <w:r>
        <w:tab/>
      </w:r>
      <w:r>
        <w:t>5</w:t>
      </w:r>
    </w:p>
    <w:p>
      <w:pPr>
        <w:pStyle w:val="TOC1"/>
      </w:pPr>
      <w:r>
        <w:t>ARTICLE 3: DEVELOPMENT AND INSTALLATION</w:t>
      </w:r>
      <w:r>
        <w:tab/>
      </w:r>
      <w:r>
        <w:t>6</w:t>
      </w:r>
    </w:p>
    <w:p>
      <w:pPr>
        <w:pStyle w:val="TOC1"/>
      </w:pPr>
      <w:r>
        <w:t>ARTICLE 4: SALE AND PURCHASE OF POWER</w:t>
      </w:r>
      <w:r>
        <w:tab/>
      </w:r>
      <w:r>
        <w:t>8</w:t>
      </w:r>
    </w:p>
    <w:p>
      <w:pPr>
        <w:pStyle w:val="TOC1"/>
      </w:pPr>
      <w:r>
        <w:t>ARTICLE 5: TARIFF AND PAYMENT TERMS</w:t>
      </w:r>
      <w:r>
        <w:tab/>
      </w:r>
      <w:r>
        <w:t>10</w:t>
      </w:r>
    </w:p>
    <w:p>
      <w:pPr>
        <w:pStyle w:val="TOC1"/>
      </w:pPr>
      <w:r>
        <w:t>ARTICLE 6: NET METERING (NEM)</w:t>
      </w:r>
      <w:r>
        <w:tab/>
      </w:r>
      <w:r>
        <w:t>12</w:t>
      </w:r>
    </w:p>
    <w:p>
      <w:pPr>
        <w:pStyle w:val="TOC1"/>
      </w:pPr>
      <w:r>
        <w:t>ARTICLE 7: PERFORMANCE GUARANTEE</w:t>
      </w:r>
      <w:r>
        <w:tab/>
      </w:r>
      <w:r>
        <w:t>14</w:t>
      </w:r>
    </w:p>
    <w:p>
      <w:pPr>
        <w:pStyle w:val="TOC1"/>
      </w:pPr>
      <w:r>
        <w:t>ARTICLE 8: OPERATION AND MAINTENANCE</w:t>
      </w:r>
      <w:r>
        <w:tab/>
      </w:r>
      <w:r>
        <w:t>16</w:t>
      </w:r>
    </w:p>
    <w:p>
      <w:pPr>
        <w:pStyle w:val="TOC1"/>
      </w:pPr>
      <w:r>
        <w:t>ARTICLE 9: ROOF ACCESS LICENSE</w:t>
      </w:r>
      <w:r>
        <w:tab/>
      </w:r>
      <w:r>
        <w:t>18</w:t>
      </w:r>
    </w:p>
    <w:p>
      <w:pPr>
        <w:pStyle w:val="TOC1"/>
      </w:pPr>
      <w:r>
        <w:t>ARTICLE 10: EQUIPMENT OWNERSHIP</w:t>
      </w:r>
      <w:r>
        <w:tab/>
      </w:r>
      <w:r>
        <w:t>20</w:t>
      </w:r>
    </w:p>
    <w:p>
      <w:pPr>
        <w:pStyle w:val="TOC1"/>
      </w:pPr>
      <w:r>
        <w:t>ARTICLE 11: FORCE MAJEURE</w:t>
      </w:r>
      <w:r>
        <w:tab/>
      </w:r>
      <w:r>
        <w:t>21</w:t>
      </w:r>
    </w:p>
    <w:p>
      <w:pPr>
        <w:pStyle w:val="TOC1"/>
      </w:pPr>
      <w:r>
        <w:t>ARTICLE 12: TERMINATION</w:t>
      </w:r>
      <w:r>
        <w:tab/>
      </w:r>
      <w:r>
        <w:t>23</w:t>
      </w:r>
    </w:p>
    <w:p>
      <w:pPr>
        <w:pStyle w:val="TOC1"/>
      </w:pPr>
      <w:r>
        <w:t>ARTICLE 13: ASSIGNMENT</w:t>
      </w:r>
      <w:r>
        <w:tab/>
      </w:r>
      <w:r>
        <w:t>26</w:t>
      </w:r>
    </w:p>
    <w:p>
      <w:pPr>
        <w:pStyle w:val="TOC1"/>
      </w:pPr>
      <w:r>
        <w:t>ARTICLE 14: REPRESENTATIONS AND WARRANTIES</w:t>
      </w:r>
      <w:r>
        <w:tab/>
      </w:r>
      <w:r>
        <w:t>27</w:t>
      </w:r>
    </w:p>
    <w:p>
      <w:pPr>
        <w:pStyle w:val="TOC1"/>
      </w:pPr>
      <w:r>
        <w:t>ARTICLE 15: INDEMNIFICATION</w:t>
      </w:r>
      <w:r>
        <w:tab/>
      </w:r>
      <w:r>
        <w:t>29</w:t>
      </w:r>
    </w:p>
    <w:p>
      <w:pPr>
        <w:pStyle w:val="TOC1"/>
      </w:pPr>
      <w:r>
        <w:t>ARTICLE 16: INSURANCE</w:t>
      </w:r>
      <w:r>
        <w:tab/>
      </w:r>
      <w:r>
        <w:t>30</w:t>
      </w:r>
    </w:p>
    <w:p>
      <w:pPr>
        <w:pStyle w:val="TOC1"/>
      </w:pPr>
      <w:r>
        <w:t>ARTICLE 17: DISPUTE RESOLUTION</w:t>
      </w:r>
      <w:r>
        <w:tab/>
      </w:r>
      <w:r>
        <w:t>31</w:t>
      </w:r>
    </w:p>
    <w:p>
      <w:pPr>
        <w:pStyle w:val="TOC1"/>
      </w:pPr>
      <w:r>
        <w:t>ARTICLE 18: GENERAL PROVISIONS</w:t>
      </w:r>
      <w:r>
        <w:tab/>
      </w:r>
      <w:r>
        <w:t>33</w:t>
      </w:r>
    </w:p>
    <w:p>
      <w:r>
        <w:fldChar w:fldCharType="end"/>
      </w:r>
    </w:p>
    <w:p>
      <w:pPr>
        <w:sectPr>
          <w:type w:val="nextPage"/>
          <w:pgSz w:w="11906" w:h="16838"/>
          <w:pgMar w:top="1440" w:right="1440" w:bottom="1440" w:left="1440" w:header="720" w:footer="720"/>
        </w:sectPr>
      </w:pPr>
    </w:p>
    <w:p>
      <w:pPr>
        <w:pStyle w:val="Heading1"/>
      </w:pPr>
      <w:r>
        <w:t>ARTICLE 1: DEFINITIONS AND INTERPRETATION</w:t>
      </w:r>
    </w:p>
    <w:p>
      <w:r>
        <w:t>1.1 Definitions</w:t>
      </w:r>
    </w:p>
    <w:p>
      <w:r>
        <w:t>In this Agreement, unless the context otherwise requires:</w:t>
      </w:r>
    </w:p>
    <w:tbl>
      <w:tblPr>
        <w:tblW w:w="5000" w:type="pct"/>
        <w:tblBorders>
          <w:top w:val="single" w:color="d0d0d0" w:sz="4"/>
          <w:left w:val="nil"/>
          <w:bottom w:val="single" w:color="d0d0d0" w:sz="4"/>
          <w:right w:val="nil"/>
          <w:insideH w:val="single" w:color="d0d0d0" w:sz="4"/>
          <w:insideV w:val="nil"/>
        </w:tblBorders>
        <w:tblCellMar>
          <w:top w:w="80" w:type="dxa"/>
          <w:left w:w="120" w:type="dxa"/>
          <w:bottom w:w="80" w:type="dxa"/>
          <w:right w:w="120" w:type="dxa"/>
        </w:tblCellMar>
      </w:tblPr>
      <w:tblGrid>
        <w:gridCol w:w="2800"/>
        <w:gridCol w:w="7200"/>
      </w:tblGrid>
      <w:tr>
        <w:tc>
          <w:tcPr>
            <w:tcW w:w="2800" w:type="dxa"/>
            <w:vAlign w:val="top"/>
          </w:tcPr>
          <w:p>
            <w:pPr>
              <w:spacing w:before="0" w:after="0"/>
            </w:pPr>
            <w:r>
              <w:rPr>
                <w:b/>
                <w:color w:val="1a3a5c"/>
                <w:sz w:val="22"/>
              </w:rPr>
              <w:t>"Agreement"</w:t>
            </w:r>
          </w:p>
        </w:tc>
        <w:tc>
          <w:tcPr>
            <w:tcW w:w="7200" w:type="dxa"/>
            <w:vAlign w:val="top"/>
          </w:tcPr>
          <w:p>
            <w:pPr>
              <w:spacing w:before="0" w:after="0"/>
            </w:pPr>
            <w:r>
              <w:rPr>
                <w:color w:val="1a1a1a"/>
                <w:sz w:val="22"/>
              </w:rPr>
              <w:t>means this Power Purchase Agreement including all Schedules and Annexures.</w:t>
            </w:r>
          </w:p>
        </w:tc>
      </w:tr>
      <w:tr>
        <w:tc>
          <w:tcPr>
            <w:tcW w:w="2800" w:type="dxa"/>
            <w:vAlign w:val="top"/>
          </w:tcPr>
          <w:p>
            <w:pPr>
              <w:spacing w:before="0" w:after="0"/>
            </w:pPr>
            <w:r>
              <w:rPr>
                <w:b/>
                <w:color w:val="1a3a5c"/>
                <w:sz w:val="22"/>
              </w:rPr>
              <w:t>"Business Day"</w:t>
            </w:r>
          </w:p>
        </w:tc>
        <w:tc>
          <w:tcPr>
            <w:tcW w:w="7200" w:type="dxa"/>
            <w:vAlign w:val="top"/>
          </w:tcPr>
          <w:p>
            <w:pPr>
              <w:spacing w:before="0" w:after="0"/>
            </w:pPr>
            <w:r>
              <w:rPr>
                <w:color w:val="1a1a1a"/>
                <w:sz w:val="22"/>
              </w:rPr>
              <w:t>means any day (other than Friday, Saturday, or public holidays) on which banks are open for business in Dhaka, Bangladesh.</w:t>
            </w:r>
          </w:p>
        </w:tc>
      </w:tr>
      <w:tr>
        <w:tc>
          <w:tcPr>
            <w:tcW w:w="2800" w:type="dxa"/>
            <w:vAlign w:val="top"/>
          </w:tcPr>
          <w:p>
            <w:pPr>
              <w:spacing w:before="0" w:after="0"/>
            </w:pPr>
            <w:r>
              <w:rPr>
                <w:b/>
                <w:color w:val="1a3a5c"/>
                <w:sz w:val="22"/>
              </w:rPr>
              <w:t>"Commercial Operation Date (COD)"</w:t>
            </w:r>
          </w:p>
        </w:tc>
        <w:tc>
          <w:tcPr>
            <w:tcW w:w="7200" w:type="dxa"/>
            <w:vAlign w:val="top"/>
          </w:tcPr>
          <w:p>
            <w:pPr>
              <w:spacing w:before="0" w:after="0"/>
            </w:pPr>
            <w:r>
              <w:rPr>
                <w:color w:val="1a1a1a"/>
                <w:sz w:val="22"/>
              </w:rPr>
              <w:t>means the date on which the System achieves commissioning and is ready to supply electricity to the Customer.</w:t>
            </w:r>
          </w:p>
        </w:tc>
      </w:tr>
      <w:tr>
        <w:tc>
          <w:tcPr>
            <w:tcW w:w="2800" w:type="dxa"/>
            <w:vAlign w:val="top"/>
          </w:tcPr>
          <w:p>
            <w:pPr>
              <w:spacing w:before="0" w:after="0"/>
            </w:pPr>
            <w:r>
              <w:rPr>
                <w:b/>
                <w:color w:val="1a3a5c"/>
                <w:sz w:val="22"/>
              </w:rPr>
              <w:t>"Customer"</w:t>
            </w:r>
          </w:p>
        </w:tc>
        <w:tc>
          <w:tcPr>
            <w:tcW w:w="7200" w:type="dxa"/>
            <w:vAlign w:val="top"/>
          </w:tcPr>
          <w:p>
            <w:pPr>
              <w:spacing w:before="0" w:after="0"/>
            </w:pPr>
            <w:r>
              <w:rPr>
                <w:color w:val="1a1a1a"/>
                <w:sz w:val="22"/>
              </w:rPr>
              <w:t>means [Factory Name], a company incorporated under the laws of Bangladesh.</w:t>
            </w:r>
          </w:p>
        </w:tc>
      </w:tr>
      <w:tr>
        <w:tc>
          <w:tcPr>
            <w:tcW w:w="2800" w:type="dxa"/>
            <w:vAlign w:val="top"/>
          </w:tcPr>
          <w:p>
            <w:pPr>
              <w:spacing w:before="0" w:after="0"/>
            </w:pPr>
            <w:r>
              <w:rPr>
                <w:b/>
                <w:color w:val="1a3a5c"/>
                <w:sz w:val="22"/>
              </w:rPr>
              <w:t>"Developer"</w:t>
            </w:r>
          </w:p>
        </w:tc>
        <w:tc>
          <w:tcPr>
            <w:tcW w:w="7200" w:type="dxa"/>
            <w:vAlign w:val="top"/>
          </w:tcPr>
          <w:p>
            <w:pPr>
              <w:spacing w:before="0" w:after="0"/>
            </w:pPr>
            <w:r>
              <w:rPr>
                <w:color w:val="1a1a1a"/>
                <w:sz w:val="22"/>
              </w:rPr>
              <w:t>means Netso Energy Limited, a company incorporated under the laws of Bangladesh.</w:t>
            </w:r>
          </w:p>
        </w:tc>
      </w:tr>
      <w:tr>
        <w:tc>
          <w:tcPr>
            <w:tcW w:w="2800" w:type="dxa"/>
            <w:vAlign w:val="top"/>
          </w:tcPr>
          <w:p>
            <w:pPr>
              <w:spacing w:before="0" w:after="0"/>
            </w:pPr>
            <w:r>
              <w:rPr>
                <w:b/>
                <w:color w:val="1a3a5c"/>
                <w:sz w:val="22"/>
              </w:rPr>
              <w:t>"DESCO"</w:t>
            </w:r>
          </w:p>
        </w:tc>
        <w:tc>
          <w:tcPr>
            <w:tcW w:w="7200" w:type="dxa"/>
            <w:vAlign w:val="top"/>
          </w:tcPr>
          <w:p>
            <w:pPr>
              <w:spacing w:before="0" w:after="0"/>
            </w:pPr>
            <w:r>
              <w:rPr>
                <w:color w:val="1a1a1a"/>
                <w:sz w:val="22"/>
              </w:rPr>
              <w:t>means Dhaka Electric Supply Company Limited or the relevant Distribution Company (DISCO).</w:t>
            </w:r>
          </w:p>
        </w:tc>
      </w:tr>
      <w:tr>
        <w:tc>
          <w:tcPr>
            <w:tcW w:w="2800" w:type="dxa"/>
            <w:vAlign w:val="top"/>
          </w:tcPr>
          <w:p>
            <w:pPr>
              <w:spacing w:before="0" w:after="0"/>
            </w:pPr>
            <w:r>
              <w:rPr>
                <w:b/>
                <w:color w:val="1a3a5c"/>
                <w:sz w:val="22"/>
              </w:rPr>
              <w:t>"DISCO"</w:t>
            </w:r>
          </w:p>
        </w:tc>
        <w:tc>
          <w:tcPr>
            <w:tcW w:w="7200" w:type="dxa"/>
            <w:vAlign w:val="top"/>
          </w:tcPr>
          <w:p>
            <w:pPr>
              <w:spacing w:before="0" w:after="0"/>
            </w:pPr>
            <w:r>
              <w:rPr>
                <w:color w:val="1a1a1a"/>
                <w:sz w:val="22"/>
              </w:rPr>
              <w:t>means the distribution licensee responsible for the area where the Installation Site is located.</w:t>
            </w:r>
          </w:p>
        </w:tc>
      </w:tr>
      <w:tr>
        <w:tc>
          <w:tcPr>
            <w:tcW w:w="2800" w:type="dxa"/>
            <w:vAlign w:val="top"/>
          </w:tcPr>
          <w:p>
            <w:pPr>
              <w:spacing w:before="0" w:after="0"/>
            </w:pPr>
            <w:r>
              <w:rPr>
                <w:b/>
                <w:color w:val="1a3a5c"/>
                <w:sz w:val="22"/>
              </w:rPr>
              <w:t>"Electricity"</w:t>
            </w:r>
          </w:p>
        </w:tc>
        <w:tc>
          <w:tcPr>
            <w:tcW w:w="7200" w:type="dxa"/>
            <w:vAlign w:val="top"/>
          </w:tcPr>
          <w:p>
            <w:pPr>
              <w:spacing w:before="0" w:after="0"/>
            </w:pPr>
            <w:r>
              <w:rPr>
                <w:color w:val="1a1a1a"/>
                <w:sz w:val="22"/>
              </w:rPr>
              <w:t>means electrical energy measured in kilowatt-hours (kWh).</w:t>
            </w:r>
          </w:p>
        </w:tc>
      </w:tr>
      <w:tr>
        <w:tc>
          <w:tcPr>
            <w:tcW w:w="2800" w:type="dxa"/>
            <w:vAlign w:val="top"/>
          </w:tcPr>
          <w:p>
            <w:pPr>
              <w:spacing w:before="0" w:after="0"/>
            </w:pPr>
            <w:r>
              <w:rPr>
                <w:b/>
                <w:color w:val="1a3a5c"/>
                <w:sz w:val="22"/>
              </w:rPr>
              <w:t>"Force Majeure"</w:t>
            </w:r>
          </w:p>
        </w:tc>
        <w:tc>
          <w:tcPr>
            <w:tcW w:w="7200" w:type="dxa"/>
            <w:vAlign w:val="top"/>
          </w:tcPr>
          <w:p>
            <w:pPr>
              <w:spacing w:before="0" w:after="0"/>
            </w:pPr>
            <w:r>
              <w:rPr>
                <w:color w:val="1a1a1a"/>
                <w:sz w:val="22"/>
              </w:rPr>
              <w:t>has the meaning ascribed to it in Article 11.</w:t>
            </w:r>
          </w:p>
        </w:tc>
      </w:tr>
      <w:tr>
        <w:tc>
          <w:tcPr>
            <w:tcW w:w="2800" w:type="dxa"/>
            <w:vAlign w:val="top"/>
          </w:tcPr>
          <w:p>
            <w:pPr>
              <w:spacing w:before="0" w:after="0"/>
            </w:pPr>
            <w:r>
              <w:rPr>
                <w:b/>
                <w:color w:val="1a3a5c"/>
                <w:sz w:val="22"/>
              </w:rPr>
              <w:t>"Grid"</w:t>
            </w:r>
          </w:p>
        </w:tc>
        <w:tc>
          <w:tcPr>
            <w:tcW w:w="7200" w:type="dxa"/>
            <w:vAlign w:val="top"/>
          </w:tcPr>
          <w:p>
            <w:pPr>
              <w:spacing w:before="0" w:after="0"/>
            </w:pPr>
            <w:r>
              <w:rPr>
                <w:color w:val="1a1a1a"/>
                <w:sz w:val="22"/>
              </w:rPr>
              <w:t>means the electricity distribution network operated by the DISCO.</w:t>
            </w:r>
          </w:p>
        </w:tc>
      </w:tr>
      <w:tr>
        <w:tc>
          <w:tcPr>
            <w:tcW w:w="2800" w:type="dxa"/>
            <w:vAlign w:val="top"/>
          </w:tcPr>
          <w:p>
            <w:pPr>
              <w:spacing w:before="0" w:after="0"/>
            </w:pPr>
            <w:r>
              <w:rPr>
                <w:b/>
                <w:color w:val="1a3a5c"/>
                <w:sz w:val="22"/>
              </w:rPr>
              <w:t>"Installation Site"</w:t>
            </w:r>
          </w:p>
        </w:tc>
        <w:tc>
          <w:tcPr>
            <w:tcW w:w="7200" w:type="dxa"/>
            <w:vAlign w:val="top"/>
          </w:tcPr>
          <w:p>
            <w:pPr>
              <w:spacing w:before="0" w:after="0"/>
            </w:pPr>
            <w:r>
              <w:rPr>
                <w:color w:val="1a1a1a"/>
                <w:sz w:val="22"/>
              </w:rPr>
              <w:t>means the rooftop and/or land area at [Factory Address] where the System shall be installed.</w:t>
            </w:r>
          </w:p>
        </w:tc>
      </w:tr>
      <w:tr>
        <w:tc>
          <w:tcPr>
            <w:tcW w:w="2800" w:type="dxa"/>
            <w:vAlign w:val="top"/>
          </w:tcPr>
          <w:p>
            <w:pPr>
              <w:spacing w:before="0" w:after="0"/>
            </w:pPr>
            <w:r>
              <w:rPr>
                <w:b/>
                <w:color w:val="1a3a5c"/>
                <w:sz w:val="22"/>
              </w:rPr>
              <w:t>"kWp"</w:t>
            </w:r>
          </w:p>
        </w:tc>
        <w:tc>
          <w:tcPr>
            <w:tcW w:w="7200" w:type="dxa"/>
            <w:vAlign w:val="top"/>
          </w:tcPr>
          <w:p>
            <w:pPr>
              <w:spacing w:before="0" w:after="0"/>
            </w:pPr>
            <w:r>
              <w:rPr>
                <w:color w:val="1a1a1a"/>
                <w:sz w:val="22"/>
              </w:rPr>
              <w:t>means kilowatt peak, the unit of measurement for solar panel capacity under standard test conditions.</w:t>
            </w:r>
          </w:p>
        </w:tc>
      </w:tr>
      <w:tr>
        <w:tc>
          <w:tcPr>
            <w:tcW w:w="2800" w:type="dxa"/>
            <w:vAlign w:val="top"/>
          </w:tcPr>
          <w:p>
            <w:pPr>
              <w:spacing w:before="0" w:after="0"/>
            </w:pPr>
            <w:r>
              <w:rPr>
                <w:b/>
                <w:color w:val="1a3a5c"/>
                <w:sz w:val="22"/>
              </w:rPr>
              <w:t>"Net Metering" or "NEM"</w:t>
            </w:r>
          </w:p>
        </w:tc>
        <w:tc>
          <w:tcPr>
            <w:tcW w:w="7200" w:type="dxa"/>
            <w:vAlign w:val="top"/>
          </w:tcPr>
          <w:p>
            <w:pPr>
              <w:spacing w:before="0" w:after="0"/>
            </w:pPr>
            <w:r>
              <w:rPr>
                <w:color w:val="1a1a1a"/>
                <w:sz w:val="22"/>
              </w:rPr>
              <w:t>means the arrangement whereby electricity generated by the System and exported to the Grid is credited against electricity imported from the Grid.</w:t>
            </w:r>
          </w:p>
        </w:tc>
      </w:tr>
      <w:tr>
        <w:tc>
          <w:tcPr>
            <w:tcW w:w="2800" w:type="dxa"/>
            <w:vAlign w:val="top"/>
          </w:tcPr>
          <w:p>
            <w:pPr>
              <w:spacing w:before="0" w:after="0"/>
            </w:pPr>
            <w:r>
              <w:rPr>
                <w:b/>
                <w:color w:val="1a3a5c"/>
                <w:sz w:val="22"/>
              </w:rPr>
              <w:t>"NEM Surplus"</w:t>
            </w:r>
          </w:p>
        </w:tc>
        <w:tc>
          <w:tcPr>
            <w:tcW w:w="7200" w:type="dxa"/>
            <w:vAlign w:val="top"/>
          </w:tcPr>
          <w:p>
            <w:pPr>
              <w:spacing w:before="0" w:after="0"/>
            </w:pPr>
            <w:r>
              <w:rPr>
                <w:color w:val="1a1a1a"/>
                <w:sz w:val="22"/>
              </w:rPr>
              <w:t>means the excess electricity exported to the Grid beyond the Customer's consumption, settled quarterly at BDT 6.45/kWh.</w:t>
            </w:r>
          </w:p>
        </w:tc>
      </w:tr>
      <w:tr>
        <w:tc>
          <w:tcPr>
            <w:tcW w:w="2800" w:type="dxa"/>
            <w:vAlign w:val="top"/>
          </w:tcPr>
          <w:p>
            <w:pPr>
              <w:spacing w:before="0" w:after="0"/>
            </w:pPr>
            <w:r>
              <w:rPr>
                <w:b/>
                <w:color w:val="1a3a5c"/>
                <w:sz w:val="22"/>
              </w:rPr>
              <w:t>"O&amp;M Services"</w:t>
            </w:r>
          </w:p>
        </w:tc>
        <w:tc>
          <w:tcPr>
            <w:tcW w:w="7200" w:type="dxa"/>
            <w:vAlign w:val="top"/>
          </w:tcPr>
          <w:p>
            <w:pPr>
              <w:spacing w:before="0" w:after="0"/>
            </w:pPr>
            <w:r>
              <w:rPr>
                <w:color w:val="1a1a1a"/>
                <w:sz w:val="22"/>
              </w:rPr>
              <w:t>means operation and maintenance services to be provided by the Developer.</w:t>
            </w:r>
          </w:p>
        </w:tc>
      </w:tr>
      <w:tr>
        <w:tc>
          <w:tcPr>
            <w:tcW w:w="2800" w:type="dxa"/>
            <w:vAlign w:val="top"/>
          </w:tcPr>
          <w:p>
            <w:pPr>
              <w:spacing w:before="0" w:after="0"/>
            </w:pPr>
            <w:r>
              <w:rPr>
                <w:b/>
                <w:color w:val="1a3a5c"/>
                <w:sz w:val="22"/>
              </w:rPr>
              <w:t>"Performance Ratio"</w:t>
            </w:r>
          </w:p>
        </w:tc>
        <w:tc>
          <w:tcPr>
            <w:tcW w:w="7200" w:type="dxa"/>
            <w:vAlign w:val="top"/>
          </w:tcPr>
          <w:p>
            <w:pPr>
              <w:spacing w:before="0" w:after="0"/>
            </w:pPr>
            <w:r>
              <w:rPr>
                <w:color w:val="1a1a1a"/>
                <w:sz w:val="22"/>
              </w:rPr>
              <w:t>means the ratio of actual energy output to theoretical energy output under standard conditions.</w:t>
            </w:r>
          </w:p>
        </w:tc>
      </w:tr>
      <w:tr>
        <w:tc>
          <w:tcPr>
            <w:tcW w:w="2800" w:type="dxa"/>
            <w:vAlign w:val="top"/>
          </w:tcPr>
          <w:p>
            <w:pPr>
              <w:spacing w:before="0" w:after="0"/>
            </w:pPr>
            <w:r>
              <w:rPr>
                <w:b/>
                <w:color w:val="1a3a5c"/>
                <w:sz w:val="22"/>
              </w:rPr>
              <w:t>"PPA Term"</w:t>
            </w:r>
          </w:p>
        </w:tc>
        <w:tc>
          <w:tcPr>
            <w:tcW w:w="7200" w:type="dxa"/>
            <w:vAlign w:val="top"/>
          </w:tcPr>
          <w:p>
            <w:pPr>
              <w:spacing w:before="0" w:after="0"/>
            </w:pPr>
            <w:r>
              <w:rPr>
                <w:color w:val="1a1a1a"/>
                <w:sz w:val="22"/>
              </w:rPr>
              <w:t>means the period of 20 (twenty) years from the Commercial Operation Date.</w:t>
            </w:r>
          </w:p>
        </w:tc>
      </w:tr>
      <w:tr>
        <w:tc>
          <w:tcPr>
            <w:tcW w:w="2800" w:type="dxa"/>
            <w:vAlign w:val="top"/>
          </w:tcPr>
          <w:p>
            <w:pPr>
              <w:spacing w:before="0" w:after="0"/>
            </w:pPr>
            <w:r>
              <w:rPr>
                <w:b/>
                <w:color w:val="1a3a5c"/>
                <w:sz w:val="22"/>
              </w:rPr>
              <w:t>"System"</w:t>
            </w:r>
          </w:p>
        </w:tc>
        <w:tc>
          <w:tcPr>
            <w:tcW w:w="7200" w:type="dxa"/>
            <w:vAlign w:val="top"/>
          </w:tcPr>
          <w:p>
            <w:pPr>
              <w:spacing w:before="0" w:after="0"/>
            </w:pPr>
            <w:r>
              <w:rPr>
                <w:color w:val="1a1a1a"/>
                <w:sz w:val="22"/>
              </w:rPr>
              <w:t>means the solar photovoltaic system to be designed, installed, owned, and operated by the Developer.</w:t>
            </w:r>
          </w:p>
        </w:tc>
      </w:tr>
      <w:tr>
        <w:tc>
          <w:tcPr>
            <w:tcW w:w="2800" w:type="dxa"/>
            <w:vAlign w:val="top"/>
          </w:tcPr>
          <w:p>
            <w:pPr>
              <w:spacing w:before="0" w:after="0"/>
            </w:pPr>
            <w:r>
              <w:rPr>
                <w:b/>
                <w:color w:val="1a3a5c"/>
                <w:sz w:val="22"/>
              </w:rPr>
              <w:t>"Tariff"</w:t>
            </w:r>
          </w:p>
        </w:tc>
        <w:tc>
          <w:tcPr>
            <w:tcW w:w="7200" w:type="dxa"/>
            <w:vAlign w:val="top"/>
          </w:tcPr>
          <w:p>
            <w:pPr>
              <w:spacing w:before="0" w:after="0"/>
            </w:pPr>
            <w:r>
              <w:rPr>
                <w:color w:val="1a1a1a"/>
                <w:sz w:val="22"/>
              </w:rPr>
              <w:t>means the price per kWh payable by the Customer for electricity supplied by the System.</w:t>
            </w:r>
          </w:p>
        </w:tc>
      </w:tr>
    </w:tbl>
    <w:p>
      <w:r>
        <w:t>1.2 Interpretation</w:t>
      </w:r>
    </w:p>
    <w:p>
      <w:r>
        <w:t>(a) References to "Articles" are to articles of this Agreement.</w:t>
      </w:r>
    </w:p>
    <w:p>
      <w:r>
        <w:t>(b) Headings are for convenience only and shall not affect interpretation.</w:t>
      </w:r>
    </w:p>
    <w:p>
      <w:r>
        <w:t>(c) Words importing the singular include the plural and vice versa.</w:t>
      </w:r>
    </w:p>
    <w:p>
      <w:r>
        <w:t>(d) References to any statute or statutory provision include any amendment, extension, or re-enactment.</w:t>
      </w:r>
    </w:p>
    <w:p>
      <w:r>
        <w:t>(e) "Including" and "includes" mean including without limitation.</w:t>
      </w:r>
    </w:p>
    <w:p>
      <w:pPr>
        <w:pStyle w:val="Heading1"/>
      </w:pPr>
      <w:r>
        <w:t>ARTICLE 2: TERM AND COMMENCEMENT</w:t>
      </w:r>
    </w:p>
    <w:p>
      <w:r>
        <w:t>2.1 Commencement</w:t>
      </w:r>
    </w:p>
    <w:p>
      <w:r>
        <w:t>This Agreement shall commence on the date first written above (the "Effective Date").</w:t>
      </w:r>
    </w:p>
    <w:p>
      <w:r>
        <w:t>2.2 PPA Term</w:t>
      </w:r>
    </w:p>
    <w:p>
      <w:r>
        <w:t>Subject to earlier termination in accordance with Article 12, this Agreement shall continue for a period of 20 (twenty) years from the Commercial Operation Date (the "PPA Term").</w:t>
      </w:r>
    </w:p>
    <w:p>
      <w:r>
        <w:t>2.3 Extension</w:t>
      </w:r>
    </w:p>
    <w:p>
      <w:r>
        <w:t>The Parties may, by mutual written agreement entered into not less than 12 (twelve) months prior to expiry of the PPA Term, extend this Agreement for an additional period of up to 5 (five) years on terms to be agreed.</w:t>
      </w:r>
    </w:p>
    <w:p>
      <w:r>
        <w:t>2.4 Early Termination</w:t>
      </w:r>
    </w:p>
    <w:p>
      <w:r>
        <w:t>Either Party may terminate this Agreement prior to expiry of the PPA Term in accordance with the provisions of Article 12.</w:t>
      </w:r>
    </w:p>
    <w:p>
      <w:pPr>
        <w:pStyle w:val="Heading1"/>
      </w:pPr>
      <w:r>
        <w:t>ARTICLE 3: DEVELOPMENT AND INSTALLATION</w:t>
      </w:r>
    </w:p>
    <w:p>
      <w:r>
        <w:t>3.1 Developer's Obligations</w:t>
      </w:r>
    </w:p>
    <w:p>
      <w:r>
        <w:t>The Developer shall, at its sole cost and expense:</w:t>
      </w:r>
    </w:p>
    <w:p>
      <w:r>
        <w:t>(a) Design, procure, install, commission, and operate the System at the Installation Site;</w:t>
      </w:r>
    </w:p>
    <w:p>
      <w:r>
        <w:t>(b) Obtain all necessary approvals, permits, and licenses including SREDA registration and NEM approval;</w:t>
      </w:r>
    </w:p>
    <w:p>
      <w:r>
        <w:t>(c) Ensure the System meets all applicable Bangladesh standards and regulations;</w:t>
      </w:r>
    </w:p>
    <w:p>
      <w:r>
        <w:t>(d) Complete installation within 90 (ninety) days of signing this Agreement, subject to Force Majeure delays.</w:t>
      </w:r>
    </w:p>
    <w:p>
      <w:r>
        <w:t>3.2 System Specifications</w:t>
      </w:r>
    </w:p>
    <w:p>
      <w:r>
        <w:t>The System shall have the following specifications:</w:t>
      </w:r>
    </w:p>
    <w:tbl>
      <w:tblPr>
        <w:tblW w:w="5000" w:type="pct"/>
        <w:tblBorders>
          <w:top w:val="single" w:color="1a3a5c" w:sz="8"/>
          <w:left w:val="nil"/>
          <w:bottom w:val="single" w:color="1a3a5c" w:sz="8"/>
          <w:right w:val="nil"/>
          <w:insideH w:val="single" w:color="d0d0d0" w:sz="4"/>
          <w:insideV w:val="nil"/>
        </w:tblBorders>
      </w:tblPr>
      <w:tblGrid>
        <w:gridCol w:w="4000"/>
        <w:gridCol w:w="6000"/>
      </w:tblGrid>
      <w:tr>
        <w:tc>
          <w:tcPr>
            <w:tcW w:w="4000" w:type="dxa"/>
            <w:shd w:val="clear" w:fill="f5f5f5"/>
          </w:tcPr>
          <w:p>
            <w:pPr>
              <w:spacing w:before="60" w:after="60"/>
            </w:pPr>
            <w:r>
              <w:rPr>
                <w:b/>
                <w:sz w:val="22"/>
              </w:rPr>
              <w:t>System Capacity</w:t>
            </w:r>
          </w:p>
        </w:tc>
        <w:tc>
          <w:tcPr>
            <w:tcW w:w="6000" w:type="dxa"/>
          </w:tcPr>
          <w:p>
            <w:pPr>
              <w:spacing w:before="60" w:after="60"/>
            </w:pPr>
            <w:r>
              <w:rPr>
                <w:sz w:val="22"/>
              </w:rPr>
              <w:t>[___] kWp</w:t>
            </w:r>
          </w:p>
        </w:tc>
      </w:tr>
      <w:tr>
        <w:tc>
          <w:tcPr>
            <w:tcW w:w="4000" w:type="dxa"/>
            <w:shd w:val="clear" w:fill="f5f5f5"/>
          </w:tcPr>
          <w:p>
            <w:pPr>
              <w:spacing w:before="60" w:after="60"/>
            </w:pPr>
            <w:r>
              <w:rPr>
                <w:b/>
                <w:sz w:val="22"/>
              </w:rPr>
              <w:t>Panel Technology</w:t>
            </w:r>
          </w:p>
        </w:tc>
        <w:tc>
          <w:tcPr>
            <w:tcW w:w="6000" w:type="dxa"/>
          </w:tcPr>
          <w:p>
            <w:pPr>
              <w:spacing w:before="60" w:after="60"/>
            </w:pPr>
            <w:r>
              <w:rPr>
                <w:sz w:val="22"/>
              </w:rPr>
              <w:t>Monocrystalline PERC (Jinko or equivalent)</w:t>
            </w:r>
          </w:p>
        </w:tc>
      </w:tr>
      <w:tr>
        <w:tc>
          <w:tcPr>
            <w:tcW w:w="4000" w:type="dxa"/>
            <w:shd w:val="clear" w:fill="f5f5f5"/>
          </w:tcPr>
          <w:p>
            <w:pPr>
              <w:spacing w:before="60" w:after="60"/>
            </w:pPr>
            <w:r>
              <w:rPr>
                <w:b/>
                <w:sz w:val="22"/>
              </w:rPr>
              <w:t>Inverter</w:t>
            </w:r>
          </w:p>
        </w:tc>
        <w:tc>
          <w:tcPr>
            <w:tcW w:w="6000" w:type="dxa"/>
          </w:tcPr>
          <w:p>
            <w:pPr>
              <w:spacing w:before="60" w:after="60"/>
            </w:pPr>
            <w:r>
              <w:rPr>
                <w:sz w:val="22"/>
              </w:rPr>
              <w:t>Grid-tied string inverter (Huawei/SMA/Fronius)</w:t>
            </w:r>
          </w:p>
        </w:tc>
      </w:tr>
      <w:tr>
        <w:tc>
          <w:tcPr>
            <w:tcW w:w="4000" w:type="dxa"/>
            <w:shd w:val="clear" w:fill="f5f5f5"/>
          </w:tcPr>
          <w:p>
            <w:pPr>
              <w:spacing w:before="60" w:after="60"/>
            </w:pPr>
            <w:r>
              <w:rPr>
                <w:b/>
                <w:sz w:val="22"/>
              </w:rPr>
              <w:t>Mounting Structure</w:t>
            </w:r>
          </w:p>
        </w:tc>
        <w:tc>
          <w:tcPr>
            <w:tcW w:w="6000" w:type="dxa"/>
          </w:tcPr>
          <w:p>
            <w:pPr>
              <w:spacing w:before="60" w:after="60"/>
            </w:pPr>
            <w:r>
              <w:rPr>
                <w:sz w:val="22"/>
              </w:rPr>
              <w:t>Aluminium pergola/PowerRoof structure</w:t>
            </w:r>
          </w:p>
        </w:tc>
      </w:tr>
      <w:tr>
        <w:tc>
          <w:tcPr>
            <w:tcW w:w="4000" w:type="dxa"/>
            <w:shd w:val="clear" w:fill="f5f5f5"/>
          </w:tcPr>
          <w:p>
            <w:pPr>
              <w:spacing w:before="60" w:after="60"/>
            </w:pPr>
            <w:r>
              <w:rPr>
                <w:b/>
                <w:sz w:val="22"/>
              </w:rPr>
              <w:t>Estimated Annual Generation</w:t>
            </w:r>
          </w:p>
        </w:tc>
        <w:tc>
          <w:tcPr>
            <w:tcW w:w="6000" w:type="dxa"/>
          </w:tcPr>
          <w:p>
            <w:pPr>
              <w:spacing w:before="60" w:after="60"/>
            </w:pPr>
            <w:r>
              <w:rPr>
                <w:sz w:val="22"/>
              </w:rPr>
              <w:t>[___] kWh/year</w:t>
            </w:r>
          </w:p>
        </w:tc>
      </w:tr>
      <w:tr>
        <w:tc>
          <w:tcPr>
            <w:tcW w:w="4000" w:type="dxa"/>
            <w:shd w:val="clear" w:fill="f5f5f5"/>
          </w:tcPr>
          <w:p>
            <w:pPr>
              <w:spacing w:before="60" w:after="60"/>
            </w:pPr>
            <w:r>
              <w:rPr>
                <w:b/>
                <w:sz w:val="22"/>
              </w:rPr>
              <w:t>Performance Ratio</w:t>
            </w:r>
          </w:p>
        </w:tc>
        <w:tc>
          <w:tcPr>
            <w:tcW w:w="6000" w:type="dxa"/>
          </w:tcPr>
          <w:p>
            <w:pPr>
              <w:spacing w:before="60" w:after="60"/>
            </w:pPr>
            <w:r>
              <w:rPr>
                <w:sz w:val="22"/>
              </w:rPr>
              <w:t>Minimum 80%</w:t>
            </w:r>
          </w:p>
        </w:tc>
      </w:tr>
      <w:tr>
        <w:tc>
          <w:tcPr>
            <w:tcW w:w="4000" w:type="dxa"/>
            <w:shd w:val="clear" w:fill="f5f5f5"/>
          </w:tcPr>
          <w:p>
            <w:pPr>
              <w:spacing w:before="60" w:after="60"/>
            </w:pPr>
            <w:r>
              <w:rPr>
                <w:b/>
                <w:sz w:val="22"/>
              </w:rPr>
              <w:t>Warranty - Panels</w:t>
            </w:r>
          </w:p>
        </w:tc>
        <w:tc>
          <w:tcPr>
            <w:tcW w:w="6000" w:type="dxa"/>
          </w:tcPr>
          <w:p>
            <w:pPr>
              <w:spacing w:before="60" w:after="60"/>
            </w:pPr>
            <w:r>
              <w:rPr>
                <w:sz w:val="22"/>
              </w:rPr>
              <w:t>25 years performance warranty</w:t>
            </w:r>
          </w:p>
        </w:tc>
      </w:tr>
      <w:tr>
        <w:tc>
          <w:tcPr>
            <w:tcW w:w="4000" w:type="dxa"/>
            <w:shd w:val="clear" w:fill="f5f5f5"/>
          </w:tcPr>
          <w:p>
            <w:pPr>
              <w:spacing w:before="60" w:after="60"/>
            </w:pPr>
            <w:r>
              <w:rPr>
                <w:b/>
                <w:sz w:val="22"/>
              </w:rPr>
              <w:t>Warranty - Inverter</w:t>
            </w:r>
          </w:p>
        </w:tc>
        <w:tc>
          <w:tcPr>
            <w:tcW w:w="6000" w:type="dxa"/>
          </w:tcPr>
          <w:p>
            <w:pPr>
              <w:spacing w:before="60" w:after="60"/>
            </w:pPr>
            <w:r>
              <w:rPr>
                <w:sz w:val="22"/>
              </w:rPr>
              <w:t>10 years manufacturer warranty</w:t>
            </w:r>
          </w:p>
        </w:tc>
      </w:tr>
      <w:tr>
        <w:tc>
          <w:tcPr>
            <w:tcW w:w="4000" w:type="dxa"/>
            <w:shd w:val="clear" w:fill="f5f5f5"/>
          </w:tcPr>
          <w:p>
            <w:pPr>
              <w:spacing w:before="60" w:after="60"/>
            </w:pPr>
            <w:r>
              <w:rPr>
                <w:b/>
                <w:sz w:val="22"/>
              </w:rPr>
              <w:t>Warranty - Workmanship</w:t>
            </w:r>
          </w:p>
        </w:tc>
        <w:tc>
          <w:tcPr>
            <w:tcW w:w="6000" w:type="dxa"/>
          </w:tcPr>
          <w:p>
            <w:pPr>
              <w:spacing w:before="60" w:after="60"/>
            </w:pPr>
            <w:r>
              <w:rPr>
                <w:sz w:val="22"/>
              </w:rPr>
              <w:t>5 years from COD</w:t>
            </w:r>
          </w:p>
        </w:tc>
      </w:tr>
    </w:tbl>
    <w:p>
      <w:r>
        <w:t>3.3 Customer's Obligations</w:t>
      </w:r>
    </w:p>
    <w:p>
      <w:r>
        <w:t>The Customer shall:</w:t>
      </w:r>
    </w:p>
    <w:p>
      <w:r>
        <w:t>(a) Provide unrestricted access to the Installation Site during installation and for O&amp;M activities;</w:t>
      </w:r>
    </w:p>
    <w:p>
      <w:r>
        <w:t>(b) Provide necessary electrical infrastructure connection points;</w:t>
      </w:r>
    </w:p>
    <w:p>
      <w:r>
        <w:t>(c) Obtain any internal approvals required for the installation;</w:t>
      </w:r>
    </w:p>
    <w:p>
      <w:r>
        <w:t>(d) Not interfere with the System or grant third parties access without Developer's consent.</w:t>
      </w:r>
    </w:p>
    <w:p>
      <w:r>
        <w:t>3.4 Commissioning</w:t>
      </w:r>
    </w:p>
    <w:p>
      <w:r>
        <w:t>(a) The Developer shall notify the Customer in writing when the System is ready for commissioning.</w:t>
      </w:r>
    </w:p>
    <w:p>
      <w:r>
        <w:t>(b) Commissioning shall be completed within 7 (seven) Business Days of such notice.</w:t>
      </w:r>
    </w:p>
    <w:p>
      <w:r>
        <w:t>(c) Upon successful commissioning, the Parties shall sign a Commissioning Certificate confirming the Commercial Operation Date.</w:t>
      </w:r>
    </w:p>
    <w:p>
      <w:pPr>
        <w:pStyle w:val="Heading1"/>
      </w:pPr>
      <w:r>
        <w:t>ARTICLE 4: SALE AND PURCHASE OF POWER</w:t>
      </w:r>
    </w:p>
    <w:p>
      <w:r>
        <w:t>4.1 Supply Obligation</w:t>
      </w:r>
    </w:p>
    <w:p>
      <w:r>
        <w:t>The Developer shall supply, and the Customer shall purchase, all electricity generated by the System and consumed at the Installation Site during the PPA Term.</w:t>
      </w:r>
    </w:p>
    <w:p>
      <w:r>
        <w:t>4.2 Priority of Supply</w:t>
      </w:r>
    </w:p>
    <w:p>
      <w:r>
        <w:t>(a) The System shall supply electricity to the Customer as the primary source.</w:t>
      </w:r>
    </w:p>
    <w:p>
      <w:r>
        <w:t>(b) Any shortfall shall be automatically supplemented by Grid supply.</w:t>
      </w:r>
    </w:p>
    <w:p>
      <w:r>
        <w:t>(c) Excess generation shall be exported to the Grid under the Net Metering arrangement.</w:t>
      </w:r>
    </w:p>
    <w:p>
      <w:r>
        <w:t>4.3 Metering</w:t>
      </w:r>
    </w:p>
    <w:p>
      <w:r>
        <w:t>(a) A bidirectional net meter shall be installed by the DISCO to measure electricity imported from and exported to the Grid.</w:t>
      </w:r>
    </w:p>
    <w:p>
      <w:r>
        <w:t>(b) The Customer shall provide access for meter reading and maintenance.</w:t>
      </w:r>
    </w:p>
    <w:p>
      <w:r>
        <w:t>(c) Meter readings shall be the basis for billing and NEM surplus calculations.</w:t>
      </w:r>
    </w:p>
    <w:p>
      <w:r>
        <w:t>4.4 No Guaranteed Supply</w:t>
      </w:r>
    </w:p>
    <w:p>
      <w:r>
        <w:t>The Developer does not guarantee uninterrupted supply. The Customer acknowledges that solar generation depends on sunlight availability and weather conditions.</w:t>
      </w:r>
    </w:p>
    <w:p>
      <w:pPr>
        <w:pStyle w:val="Heading1"/>
      </w:pPr>
      <w:r>
        <w:t>ARTICLE 5: TARIFF AND PAYMENT TERMS</w:t>
      </w:r>
    </w:p>
    <w:p>
      <w:r>
        <w:t>5.1 Solar Tariff</w:t>
      </w:r>
    </w:p>
    <w:p>
      <w:r>
        <w:t>The Customer shall pay the Developer for electricity supplied by the System at the following tariff:</w:t>
      </w:r>
    </w:p>
    <w:tbl>
      <w:tblPr>
        <w:tblW w:w="5000" w:type="pct"/>
        <w:tblBorders>
          <w:top w:val="single" w:color="c49a3c" w:sz="8"/>
          <w:left w:val="single" w:color="c49a3c" w:sz="8"/>
          <w:bottom w:val="single" w:color="c49a3c" w:sz="8"/>
          <w:right w:val="single" w:color="c49a3c" w:sz="8"/>
          <w:insideH w:val="single" w:color="d0d0d0" w:sz="4"/>
          <w:insideV w:val="single" w:color="d0d0d0" w:sz="4"/>
        </w:tblBorders>
      </w:tblPr>
      <w:tblGrid>
        <w:gridCol w:w="2500"/>
        <w:gridCol w:w="2500"/>
        <w:gridCol w:w="2500"/>
        <w:gridCol w:w="2500"/>
      </w:tblGrid>
      <w:tr>
        <w:tc>
          <w:tcPr>
            <w:shd w:val="clear" w:fill="1a3a5c"/>
          </w:tcPr>
          <w:p>
            <w:r>
              <w:rPr>
                <w:b/>
                <w:color w:val="FFFFFF"/>
              </w:rPr>
              <w:t>Period</w:t>
            </w:r>
          </w:p>
        </w:tc>
        <w:tc>
          <w:tcPr>
            <w:shd w:val="clear" w:fill="1a3a5c"/>
          </w:tcPr>
          <w:p>
            <w:r>
              <w:rPr>
                <w:b/>
                <w:color w:val="FFFFFF"/>
              </w:rPr>
              <w:t>Solar Tariff</w:t>
            </w:r>
          </w:p>
        </w:tc>
        <w:tc>
          <w:tcPr>
            <w:shd w:val="clear" w:fill="1a3a5c"/>
          </w:tcPr>
          <w:p>
            <w:r>
              <w:rPr>
                <w:b/>
                <w:color w:val="FFFFFF"/>
              </w:rPr>
              <w:t>DESCO LT-E Rate</w:t>
            </w:r>
          </w:p>
        </w:tc>
        <w:tc>
          <w:tcPr>
            <w:shd w:val="clear" w:fill="1a3a5c"/>
          </w:tcPr>
          <w:p>
            <w:r>
              <w:rPr>
                <w:b/>
                <w:color w:val="FFFFFF"/>
              </w:rPr>
              <w:t>Savings</w:t>
            </w:r>
          </w:p>
        </w:tc>
      </w:tr>
      <w:tr>
        <w:tc>
          <w:p>
            <w:r>
              <w:rPr>
                <w:sz w:val="22"/>
              </w:rPr>
              <w:t>Years 1-5</w:t>
            </w:r>
          </w:p>
        </w:tc>
        <w:tc>
          <w:p>
            <w:r>
              <w:rPr>
                <w:b/>
                <w:color w:val="c49a3c"/>
                <w:sz w:val="22"/>
              </w:rPr>
              <w:t>BDT [___]/kWh</w:t>
            </w:r>
          </w:p>
        </w:tc>
        <w:tc>
          <w:p>
            <w:r>
              <w:rPr>
                <w:sz w:val="22"/>
              </w:rPr>
              <w:t>BDT [___]/kWh</w:t>
            </w:r>
          </w:p>
        </w:tc>
        <w:tc>
          <w:p>
            <w:r>
              <w:rPr>
                <w:b/>
                <w:color w:val="2d5a87"/>
                <w:sz w:val="22"/>
              </w:rPr>
              <w:t>[X]%</w:t>
            </w:r>
          </w:p>
        </w:tc>
      </w:tr>
      <w:tr>
        <w:tc>
          <w:p>
            <w:r>
              <w:rPr>
                <w:sz w:val="22"/>
              </w:rPr>
              <w:t>Years 6-10</w:t>
            </w:r>
          </w:p>
        </w:tc>
        <w:tc>
          <w:p>
            <w:r>
              <w:rPr>
                <w:b/>
                <w:color w:val="c49a3c"/>
                <w:sz w:val="22"/>
              </w:rPr>
              <w:t>BDT [___]/kWh</w:t>
            </w:r>
          </w:p>
        </w:tc>
        <w:tc>
          <w:p>
            <w:r>
              <w:rPr>
                <w:sz w:val="22"/>
              </w:rPr>
              <w:t>BDT [___]/kWh</w:t>
            </w:r>
          </w:p>
        </w:tc>
        <w:tc>
          <w:p>
            <w:r>
              <w:rPr>
                <w:b/>
                <w:color w:val="2d5a87"/>
                <w:sz w:val="22"/>
              </w:rPr>
              <w:t>[X]%</w:t>
            </w:r>
          </w:p>
        </w:tc>
      </w:tr>
      <w:tr>
        <w:tc>
          <w:p>
            <w:r>
              <w:rPr>
                <w:sz w:val="22"/>
              </w:rPr>
              <w:t>Years 11-15</w:t>
            </w:r>
          </w:p>
        </w:tc>
        <w:tc>
          <w:p>
            <w:r>
              <w:rPr>
                <w:b/>
                <w:color w:val="c49a3c"/>
                <w:sz w:val="22"/>
              </w:rPr>
              <w:t>BDT [___]/kWh</w:t>
            </w:r>
          </w:p>
        </w:tc>
        <w:tc>
          <w:p>
            <w:r>
              <w:rPr>
                <w:sz w:val="22"/>
              </w:rPr>
              <w:t>BDT [___]/kWh</w:t>
            </w:r>
          </w:p>
        </w:tc>
        <w:tc>
          <w:p>
            <w:r>
              <w:rPr>
                <w:b/>
                <w:color w:val="2d5a87"/>
                <w:sz w:val="22"/>
              </w:rPr>
              <w:t>[X]%</w:t>
            </w:r>
          </w:p>
        </w:tc>
      </w:tr>
      <w:tr>
        <w:tc>
          <w:p>
            <w:r>
              <w:rPr>
                <w:sz w:val="22"/>
              </w:rPr>
              <w:t>Years 16-20</w:t>
            </w:r>
          </w:p>
        </w:tc>
        <w:tc>
          <w:p>
            <w:r>
              <w:rPr>
                <w:b/>
                <w:color w:val="c49a3c"/>
                <w:sz w:val="22"/>
              </w:rPr>
              <w:t>BDT [___]/kWh</w:t>
            </w:r>
          </w:p>
        </w:tc>
        <w:tc>
          <w:p>
            <w:r>
              <w:rPr>
                <w:sz w:val="22"/>
              </w:rPr>
              <w:t>BDT [___]/kWh</w:t>
            </w:r>
          </w:p>
        </w:tc>
        <w:tc>
          <w:p>
            <w:r>
              <w:rPr>
                <w:b/>
                <w:color w:val="2d5a87"/>
                <w:sz w:val="22"/>
              </w:rPr>
              <w:t>[X]%</w:t>
            </w:r>
          </w:p>
        </w:tc>
      </w:tr>
    </w:tbl>
    <w:p>
      <w:r>
        <w:t>5.2 Tariff Escalation</w:t>
      </w:r>
    </w:p>
    <w:p>
      <w:r>
        <w:t>The Solar Tariff shall escalate annually at [2]% (two percent) on each anniversary of the Commercial Operation Date.</w:t>
      </w:r>
    </w:p>
    <w:p>
      <w:r>
        <w:t>5.3 Billing Cycle</w:t>
      </w:r>
    </w:p>
    <w:p>
      <w:r>
        <w:t>(a) Billing shall be monthly based on net meter readings.</w:t>
      </w:r>
    </w:p>
    <w:p>
      <w:r>
        <w:t>(b) The Developer shall issue an invoice within 5 (five) Business Days of each month-end.</w:t>
      </w:r>
    </w:p>
    <w:p>
      <w:r>
        <w:t>(c) The invoice shall show: (i) solar generation, (ii) Grid import, (iii) Grid export, (iv) net consumption, (v) amount due.</w:t>
      </w:r>
    </w:p>
    <w:p>
      <w:r>
        <w:t>5.4 Payment Terms</w:t>
      </w:r>
    </w:p>
    <w:p>
      <w:r>
        <w:t>(a) The Customer shall pay each invoice within 15 (fifteen) days of the invoice date.</w:t>
      </w:r>
    </w:p>
    <w:p>
      <w:r>
        <w:t>(b) Payment shall be made by bank transfer to the account designated by the Developer.</w:t>
      </w:r>
    </w:p>
    <w:p>
      <w:r>
        <w:t>(c) Late payments shall attract interest at [1.5]% per month on the outstanding amount.</w:t>
      </w:r>
    </w:p>
    <w:p>
      <w:r>
        <w:t>5.5 Security Deposit</w:t>
      </w:r>
    </w:p>
    <w:p>
      <w:r>
        <w:t>(a) The Customer shall provide a security deposit equivalent to [2] months' estimated billing within 15 days of signing this Agreement.</w:t>
      </w:r>
    </w:p>
    <w:p>
      <w:r>
        <w:t>(b) The security deposit shall be refunded without interest within 30 days of Agreement termination, less any outstanding amounts.</w:t>
      </w:r>
    </w:p>
    <w:p>
      <w:pPr>
        <w:pStyle w:val="Heading1"/>
      </w:pPr>
      <w:r>
        <w:t>ARTICLE 6: NET METERING (NEM)</w:t>
      </w:r>
    </w:p>
    <w:p>
      <w:r>
        <w:t>6.1 NEM Registration</w:t>
      </w:r>
    </w:p>
    <w:p>
      <w:r>
        <w:t>(a) The Developer shall obtain NEM registration from the DISCO at its own cost.</w:t>
      </w:r>
    </w:p>
    <w:p>
      <w:r>
        <w:t>(b) The Customer shall cooperate by providing necessary documentation and signatures.</w:t>
      </w:r>
    </w:p>
    <w:p>
      <w:r>
        <w:t>6.2 NEM Surplus Settlement</w:t>
      </w:r>
    </w:p>
    <w:p>
      <w:r>
        <w:t>(a) When solar generation exceeds on-site consumption, excess electricity shall be exported to the Grid.</w:t>
      </w:r>
    </w:p>
    <w:p>
      <w:r>
        <w:t>(b) Exported electricity shall be credited against future imports on a monthly basis.</w:t>
      </w:r>
    </w:p>
    <w:p>
      <w:r>
        <w:t>(c) Quarterly surplus (excess export over import) shall be settled by the DISCO at the NEM surplus rate of BDT 6.45/kWh.</w:t>
      </w:r>
    </w:p>
    <w:p>
      <w:r>
        <w:t>6.3 NEM Surplus Revenue</w:t>
      </w:r>
    </w:p>
    <w:p>
      <w:r>
        <w:t>(a) All NEM surplus revenue shall belong to the Developer.</w:t>
      </w:r>
    </w:p>
    <w:p>
      <w:r>
        <w:t>(b) The Developer shall provide quarterly reports showing NEM surplus calculations.</w:t>
      </w:r>
    </w:p>
    <w:p>
      <w:r>
        <w:t>(c) The Customer acknowledges that NEM surplus payments are subject to DISCO processing timelines.</w:t>
      </w:r>
    </w:p>
    <w:p>
      <w:r>
        <w:t>6.4 NEM Compliance</w:t>
      </w:r>
    </w:p>
    <w:p>
      <w:r>
        <w:t>(a) The System shall comply with all NEM Guidelines issued by BERC/SREDA.</w:t>
      </w:r>
    </w:p>
    <w:p>
      <w:r>
        <w:t>(b) The Developer shall maintain all required documentation for NEM compliance.</w:t>
      </w:r>
    </w:p>
    <w:p>
      <w:r>
        <w:t>(c) Any penalties due to non-compliance attributable to the Developer shall be borne by the Developer.</w:t>
      </w:r>
    </w:p>
    <w:p>
      <w:pPr>
        <w:pStyle w:val="Heading1"/>
      </w:pPr>
      <w:r>
        <w:t>ARTICLE 7: PERFORMANCE GUARANTEE</w:t>
      </w:r>
    </w:p>
    <w:p>
      <w:r>
        <w:t>7.1 Performance Warranty</w:t>
      </w:r>
    </w:p>
    <w:p>
      <w:r>
        <w:t>The Developer warrants that the System shall achieve the following minimum performance levels:</w:t>
      </w:r>
    </w:p>
    <w:tbl>
      <w:tblPr>
        <w:tblW w:w="5000" w:type="pct"/>
        <w:tblBorders>
          <w:top w:val="single" w:color="1a3a5c" w:sz="8"/>
          <w:bottom w:val="single" w:color="1a3a5c" w:sz="8"/>
          <w:insideH w:val="single" w:color="d0d0d0" w:sz="4"/>
        </w:tblBorders>
      </w:tblPr>
      <w:tblGrid>
        <w:gridCol w:w="2500"/>
        <w:gridCol w:w="2500"/>
        <w:gridCol w:w="2500"/>
        <w:gridCol w:w="2500"/>
      </w:tblGrid>
      <w:tr>
        <w:tc>
          <w:p>
            <w:r>
              <w:rPr>
                <w:b/>
              </w:rPr>
              <w:t>Year</w:t>
            </w:r>
          </w:p>
        </w:tc>
        <w:tc>
          <w:p>
            <w:r>
              <w:rPr>
                <w:b/>
              </w:rPr>
              <w:t>Min Generation</w:t>
            </w:r>
          </w:p>
        </w:tc>
        <w:tc>
          <w:p>
            <w:r>
              <w:rPr>
                <w:b/>
              </w:rPr>
              <w:t>Performance Ratio</w:t>
            </w:r>
          </w:p>
        </w:tc>
        <w:tc>
          <w:p>
            <w:r>
              <w:rPr>
                <w:b/>
              </w:rPr>
              <w:t>Remedy</w:t>
            </w:r>
          </w:p>
        </w:tc>
      </w:tr>
      <w:tr>
        <w:tc>
          <w:p>
            <w:r>
              <w:rPr>
                <w:sz w:val="22"/>
              </w:rPr>
              <w:t>1</w:t>
            </w:r>
          </w:p>
        </w:tc>
        <w:tc>
          <w:p>
            <w:r>
              <w:rPr>
                <w:sz w:val="22"/>
              </w:rPr>
              <w:t>[___] kWh</w:t>
            </w:r>
          </w:p>
        </w:tc>
        <w:tc>
          <w:p>
            <w:r>
              <w:rPr>
                <w:sz w:val="22"/>
              </w:rPr>
              <w:t>80%</w:t>
            </w:r>
          </w:p>
        </w:tc>
        <w:tc>
          <w:p>
            <w:r>
              <w:rPr>
                <w:sz w:val="22"/>
              </w:rPr>
              <w:t>Free maintenance + compensation</w:t>
            </w:r>
          </w:p>
        </w:tc>
      </w:tr>
      <w:tr>
        <w:tc>
          <w:p>
            <w:r>
              <w:rPr>
                <w:sz w:val="22"/>
              </w:rPr>
              <w:t>2-5</w:t>
            </w:r>
          </w:p>
        </w:tc>
        <w:tc>
          <w:p>
            <w:r>
              <w:rPr>
                <w:sz w:val="22"/>
              </w:rPr>
              <w:t>[___] kWh</w:t>
            </w:r>
          </w:p>
        </w:tc>
        <w:tc>
          <w:p>
            <w:r>
              <w:rPr>
                <w:sz w:val="22"/>
              </w:rPr>
              <w:t>78%</w:t>
            </w:r>
          </w:p>
        </w:tc>
        <w:tc>
          <w:p>
            <w:r>
              <w:rPr>
                <w:sz w:val="22"/>
              </w:rPr>
              <w:t>Free maintenance</w:t>
            </w:r>
          </w:p>
        </w:tc>
      </w:tr>
      <w:tr>
        <w:tc>
          <w:p>
            <w:r>
              <w:rPr>
                <w:sz w:val="22"/>
              </w:rPr>
              <w:t>6-10</w:t>
            </w:r>
          </w:p>
        </w:tc>
        <w:tc>
          <w:p>
            <w:r>
              <w:rPr>
                <w:sz w:val="22"/>
              </w:rPr>
              <w:t>[___] kWh</w:t>
            </w:r>
          </w:p>
        </w:tc>
        <w:tc>
          <w:p>
            <w:r>
              <w:rPr>
                <w:sz w:val="22"/>
              </w:rPr>
              <w:t>75%</w:t>
            </w:r>
          </w:p>
        </w:tc>
        <w:tc>
          <w:p>
            <w:r>
              <w:rPr>
                <w:sz w:val="22"/>
              </w:rPr>
              <w:t>Free maintenance</w:t>
            </w:r>
          </w:p>
        </w:tc>
      </w:tr>
      <w:tr>
        <w:tc>
          <w:p>
            <w:r>
              <w:rPr>
                <w:sz w:val="22"/>
              </w:rPr>
              <w:t>11-20</w:t>
            </w:r>
          </w:p>
        </w:tc>
        <w:tc>
          <w:p>
            <w:r>
              <w:rPr>
                <w:sz w:val="22"/>
              </w:rPr>
              <w:t>[___] kWh</w:t>
            </w:r>
          </w:p>
        </w:tc>
        <w:tc>
          <w:p>
            <w:r>
              <w:rPr>
                <w:sz w:val="22"/>
              </w:rPr>
              <w:t>70%</w:t>
            </w:r>
          </w:p>
        </w:tc>
        <w:tc>
          <w:p>
            <w:r>
              <w:rPr>
                <w:sz w:val="22"/>
              </w:rPr>
              <w:t>System upgrade if below 65%</w:t>
            </w:r>
          </w:p>
        </w:tc>
      </w:tr>
    </w:tbl>
    <w:p>
      <w:r>
        <w:t>7.2 Performance Shortfall</w:t>
      </w:r>
    </w:p>
    <w:p>
      <w:r>
        <w:t>(a) If actual generation falls below the guaranteed level by more than 10% in any year:</w:t>
      </w:r>
    </w:p>
    <w:p>
      <w:r>
        <w:t>    (i) The Developer shall investigate and rectify the cause at no cost to the Customer;</w:t>
      </w:r>
    </w:p>
    <w:p>
      <w:r>
        <w:t>    (ii) The Developer shall compensate the Customer for the shortfall at the prevailing Solar Tariff.</w:t>
      </w:r>
    </w:p>
    <w:p>
      <w:r>
        <w:t>7.3 Exclusions</w:t>
      </w:r>
    </w:p>
    <w:p>
      <w:r>
        <w:t>Performance guarantees shall not apply to shortfalls caused by:</w:t>
      </w:r>
    </w:p>
    <w:p>
      <w:r>
        <w:t>(a) Force Majeure events;</w:t>
      </w:r>
    </w:p>
    <w:p>
      <w:r>
        <w:t>(b) Customer's failure to provide access for maintenance;</w:t>
      </w:r>
    </w:p>
    <w:p>
      <w:r>
        <w:t>(c) Grid outages or DISCO actions;</w:t>
      </w:r>
    </w:p>
    <w:p>
      <w:r>
        <w:t>(d) Unauthorized modifications by the Customer or third parties.</w:t>
      </w:r>
    </w:p>
    <w:p>
      <w:r>
        <w:t>7.4 Monitoring</w:t>
      </w:r>
    </w:p>
    <w:p>
      <w:r>
        <w:t>(a) The Developer shall install monitoring equipment to track System performance.</w:t>
      </w:r>
    </w:p>
    <w:p>
      <w:r>
        <w:t>(b) Monthly performance reports shall be provided to the Customer.</w:t>
      </w:r>
    </w:p>
    <w:p>
      <w:r>
        <w:t>(c) The Customer shall have access to real-time monitoring data via web portal.</w:t>
      </w:r>
    </w:p>
    <w:p>
      <w:pPr>
        <w:pStyle w:val="Heading1"/>
      </w:pPr>
      <w:r>
        <w:t>ARTICLE 8: OPERATION AND MAINTENANCE</w:t>
      </w:r>
    </w:p>
    <w:p>
      <w:r>
        <w:t>8.1 O&amp;M Responsibility</w:t>
      </w:r>
    </w:p>
    <w:p>
      <w:r>
        <w:t>The Developer shall, at its sole cost, provide comprehensive O&amp;M services for the System throughout the PPA Term.</w:t>
      </w:r>
    </w:p>
    <w:p>
      <w:r>
        <w:t>8.2 O&amp;M Scope</w:t>
      </w:r>
    </w:p>
    <w:p>
      <w:r>
        <w:t>O&amp;M services shall include:</w:t>
      </w:r>
    </w:p>
    <w:p>
      <w:r>
        <w:t>(a) Regular cleaning of solar panels (minimum monthly in dry season, bi-weekly during dust storms);</w:t>
      </w:r>
    </w:p>
    <w:p>
      <w:r>
        <w:t>(b) Visual inspection and preventive maintenance;</w:t>
      </w:r>
    </w:p>
    <w:p>
      <w:r>
        <w:t>(c) Monitoring system performance and fault detection;</w:t>
      </w:r>
    </w:p>
    <w:p>
      <w:r>
        <w:t>(d) Repair or replacement of defective components;</w:t>
      </w:r>
    </w:p>
    <w:p>
      <w:r>
        <w:t>(e) Vegetation management around the Installation Site;</w:t>
      </w:r>
    </w:p>
    <w:p>
      <w:r>
        <w:t>(f) Annual comprehensive system inspection and report.</w:t>
      </w:r>
    </w:p>
    <w:p>
      <w:r>
        <w:t>8.3 Response Times</w:t>
      </w:r>
    </w:p>
    <w:tbl>
      <w:tblPr>
        <w:tblW w:w="5000" w:type="pct"/>
        <w:tblBorders>
          <w:top w:val="single" w:color="1a3a5c" w:sz="8"/>
          <w:bottom w:val="single" w:color="1a3a5c" w:sz="8"/>
          <w:insideH w:val="single" w:color="d0d0d0" w:sz="4"/>
        </w:tblBorders>
      </w:tblPr>
      <w:tblGrid>
        <w:gridCol w:w="3300"/>
        <w:gridCol w:w="3300"/>
        <w:gridCol w:w="3400"/>
      </w:tblGrid>
      <w:tr>
        <w:tc>
          <w:p>
            <w:r>
              <w:rPr>
                <w:b/>
              </w:rPr>
              <w:t>Issue Type</w:t>
            </w:r>
          </w:p>
        </w:tc>
        <w:tc>
          <w:p>
            <w:r>
              <w:rPr>
                <w:b/>
              </w:rPr>
              <w:t>Response Time</w:t>
            </w:r>
          </w:p>
        </w:tc>
        <w:tc>
          <w:p>
            <w:r>
              <w:rPr>
                <w:b/>
              </w:rPr>
              <w:t>Resolution Target</w:t>
            </w:r>
          </w:p>
        </w:tc>
      </w:tr>
      <w:tr>
        <w:tc>
          <w:p>
            <w:r>
              <w:rPr>
                <w:sz w:val="22"/>
              </w:rPr>
              <w:t>Critical (safety/fire)</w:t>
            </w:r>
          </w:p>
        </w:tc>
        <w:tc>
          <w:p>
            <w:r>
              <w:rPr>
                <w:b/>
                <w:color w:val="c49a3c"/>
                <w:sz w:val="22"/>
              </w:rPr>
              <w:t>2 hours</w:t>
            </w:r>
          </w:p>
        </w:tc>
        <w:tc>
          <w:p>
            <w:r>
              <w:rPr>
                <w:sz w:val="22"/>
              </w:rPr>
              <w:t>24 hours</w:t>
            </w:r>
          </w:p>
        </w:tc>
      </w:tr>
      <w:tr>
        <w:tc>
          <w:p>
            <w:r>
              <w:rPr>
                <w:sz w:val="22"/>
              </w:rPr>
              <w:t>Major (system down)</w:t>
            </w:r>
          </w:p>
        </w:tc>
        <w:tc>
          <w:p>
            <w:r>
              <w:rPr>
                <w:b/>
                <w:color w:val="c49a3c"/>
                <w:sz w:val="22"/>
              </w:rPr>
              <w:t>4 hours</w:t>
            </w:r>
          </w:p>
        </w:tc>
        <w:tc>
          <w:p>
            <w:r>
              <w:rPr>
                <w:sz w:val="22"/>
              </w:rPr>
              <w:t>48 hours</w:t>
            </w:r>
          </w:p>
        </w:tc>
      </w:tr>
      <w:tr>
        <w:tc>
          <w:p>
            <w:r>
              <w:rPr>
                <w:sz w:val="22"/>
              </w:rPr>
              <w:t>Moderate (partial output)</w:t>
            </w:r>
          </w:p>
        </w:tc>
        <w:tc>
          <w:p>
            <w:r>
              <w:rPr>
                <w:b/>
                <w:color w:val="c49a3c"/>
                <w:sz w:val="22"/>
              </w:rPr>
              <w:t>24 hours</w:t>
            </w:r>
          </w:p>
        </w:tc>
        <w:tc>
          <w:p>
            <w:r>
              <w:rPr>
                <w:sz w:val="22"/>
              </w:rPr>
              <w:t>5 days</w:t>
            </w:r>
          </w:p>
        </w:tc>
      </w:tr>
      <w:tr>
        <w:tc>
          <w:p>
            <w:r>
              <w:rPr>
                <w:sz w:val="22"/>
              </w:rPr>
              <w:t>Minor (cosmetic)</w:t>
            </w:r>
          </w:p>
        </w:tc>
        <w:tc>
          <w:p>
            <w:r>
              <w:rPr>
                <w:b/>
                <w:color w:val="c49a3c"/>
                <w:sz w:val="22"/>
              </w:rPr>
              <w:t>48 hours</w:t>
            </w:r>
          </w:p>
        </w:tc>
        <w:tc>
          <w:p>
            <w:r>
              <w:rPr>
                <w:sz w:val="22"/>
              </w:rPr>
              <w:t>14 days</w:t>
            </w:r>
          </w:p>
        </w:tc>
      </w:tr>
    </w:tbl>
    <w:p>
      <w:r>
        <w:t>8.4 Customer Cooperation</w:t>
      </w:r>
    </w:p>
    <w:p>
      <w:r>
        <w:t>The Customer shall:</w:t>
      </w:r>
    </w:p>
    <w:p>
      <w:r>
        <w:t>(a) Allow Developer personnel access to the Installation Site for O&amp;M activities;</w:t>
      </w:r>
    </w:p>
    <w:p>
      <w:r>
        <w:t>(b) Notify the Developer promptly of any observed issues;</w:t>
      </w:r>
    </w:p>
    <w:p>
      <w:r>
        <w:t>(c) Not attempt repairs or modifications without Developer consent.</w:t>
      </w:r>
    </w:p>
    <w:p>
      <w:pPr>
        <w:pStyle w:val="Heading1"/>
      </w:pPr>
      <w:r>
        <w:t>ARTICLE 9: ROOF ACCESS LICENSE</w:t>
      </w:r>
    </w:p>
    <w:p>
      <w:r>
        <w:t>9.1 License Grant</w:t>
      </w:r>
    </w:p>
    <w:p>
      <w:r>
        <w:t>The Customer hereby grants to the Developer a non-exclusive, irrevocable license to:</w:t>
      </w:r>
    </w:p>
    <w:p>
      <w:r>
        <w:t>(a) Access the Installation Site for installation, operation, maintenance, and decommissioning of the System;</w:t>
      </w:r>
    </w:p>
    <w:p>
      <w:r>
        <w:t>(b) Install, operate, and maintain the System and associated equipment;</w:t>
      </w:r>
    </w:p>
    <w:p>
      <w:r>
        <w:t>(c) Connect the System to the Customer's electrical infrastructure and the Grid.</w:t>
      </w:r>
    </w:p>
    <w:p>
      <w:r>
        <w:t>9.2 License Term</w:t>
      </w:r>
    </w:p>
    <w:p>
      <w:r>
        <w:t>The license shall commence on the Effective Date and continue until the earlier of:</w:t>
      </w:r>
    </w:p>
    <w:p>
      <w:r>
        <w:t>(a) Expiry of the PPA Term;</w:t>
      </w:r>
    </w:p>
    <w:p>
      <w:r>
        <w:t>(b) Termination of this Agreement in accordance with Article 12;</w:t>
      </w:r>
    </w:p>
    <w:p>
      <w:r>
        <w:t>(c) Transfer of the System to the Customer upon exercise of a buyout option.</w:t>
      </w:r>
    </w:p>
    <w:p>
      <w:r>
        <w:t>9.3 Access Rights</w:t>
      </w:r>
    </w:p>
    <w:p>
      <w:r>
        <w:t>(a) The Developer may access the Installation Site during normal business hours (8:00 AM - 6:00 PM) without prior notice.</w:t>
      </w:r>
    </w:p>
    <w:p>
      <w:r>
        <w:t>(b) Access outside normal hours requires prior notification but not consent.</w:t>
      </w:r>
    </w:p>
    <w:p>
      <w:r>
        <w:t>(c) Emergency access may be made at any time without notice.</w:t>
      </w:r>
    </w:p>
    <w:p>
      <w:r>
        <w:t>9.4 Roof Condition</w:t>
      </w:r>
    </w:p>
    <w:p>
      <w:r>
        <w:t>(a) The Customer warrants that the roof structure is capable of supporting the System.</w:t>
      </w:r>
    </w:p>
    <w:p>
      <w:r>
        <w:t>(b) The Developer shall conduct a structural assessment prior to installation.</w:t>
      </w:r>
    </w:p>
    <w:p>
      <w:r>
        <w:t>(c) Any required structural reinforcement shall be at the Developer's cost.</w:t>
      </w:r>
    </w:p>
    <w:p>
      <w:r>
        <w:t>9.5 No Damage</w:t>
      </w:r>
    </w:p>
    <w:p>
      <w:r>
        <w:t>(a) The Developer shall use reasonable care to avoid damage to the Installation Site.</w:t>
      </w:r>
    </w:p>
    <w:p>
      <w:r>
        <w:t>(b) Any damage caused by the Developer shall be repaired at the Developer's cost.</w:t>
      </w:r>
    </w:p>
    <w:p>
      <w:r>
        <w:t>(c) Normal wear and tear from installation is excluded from this obligation.</w:t>
      </w:r>
    </w:p>
    <w:p>
      <w:pPr>
        <w:pStyle w:val="Heading1"/>
      </w:pPr>
      <w:r>
        <w:t>ARTICLE 10: EQUIPMENT OWNERSHIP</w:t>
      </w:r>
    </w:p>
    <w:p>
      <w:r>
        <w:t>10.1 Developer Ownership</w:t>
      </w:r>
    </w:p>
    <w:p>
      <w:r>
        <w:t>(a) All equipment comprising the System (panels, inverters, mounting, cabling, meters) shall remain the sole property of the Developer throughout the PPA Term.</w:t>
      </w:r>
    </w:p>
    <w:p>
      <w:r>
        <w:t>(b) The Customer acknowledges that the System is not a fixture and remains personal property of the Developer.</w:t>
      </w:r>
    </w:p>
    <w:p>
      <w:r>
        <w:t>(c) The Customer shall not claim any ownership interest in the System.</w:t>
      </w:r>
    </w:p>
    <w:p>
      <w:r>
        <w:t>10.2 No Encumbrance</w:t>
      </w:r>
    </w:p>
    <w:p>
      <w:r>
        <w:t>(a) The Customer shall not mortgage, charge, or create any encumbrance over the System.</w:t>
      </w:r>
    </w:p>
    <w:p>
      <w:r>
        <w:t>(b) The Customer shall notify the Developer of any claim or proceeding affecting the Installation Site.</w:t>
      </w:r>
    </w:p>
    <w:p>
      <w:r>
        <w:t>10.3 Risk of Loss</w:t>
      </w:r>
    </w:p>
    <w:p>
      <w:r>
        <w:t>(a) Risk of loss or damage to the System shall remain with the Developer.</w:t>
      </w:r>
    </w:p>
    <w:p>
      <w:r>
        <w:t>(b) The Developer shall maintain insurance as specified in Article 16.</w:t>
      </w:r>
    </w:p>
    <w:p>
      <w:r>
        <w:t>10.4 Removal Rights</w:t>
      </w:r>
    </w:p>
    <w:p>
      <w:r>
        <w:t>(a) Upon termination of this Agreement, the Developer may remove the System from the Installation Site.</w:t>
      </w:r>
    </w:p>
    <w:p>
      <w:r>
        <w:t>(b) The Developer shall restore the Installation Site to its pre-installation condition, normal wear and tear excepted.</w:t>
      </w:r>
    </w:p>
    <w:p>
      <w:r>
        <w:t>(c) If the Customer exercises a buyout option, ownership shall transfer upon full payment.</w:t>
      </w:r>
    </w:p>
    <w:p>
      <w:r>
        <w:t>10.5 Buyout Option</w:t>
      </w:r>
    </w:p>
    <w:p>
      <w:r>
        <w:t>(a) The Customer may, after Year 7, purchase the System at fair market value.</w:t>
      </w:r>
    </w:p>
    <w:p>
      <w:r>
        <w:t>(b) Fair market value shall be determined by an independent appraiser.</w:t>
      </w:r>
    </w:p>
    <w:p>
      <w:r>
        <w:t>(c) Upon buyout, this Agreement shall terminate and the Customer shall own the System.</w:t>
      </w:r>
    </w:p>
    <w:p>
      <w:pPr>
        <w:pStyle w:val="Heading1"/>
      </w:pPr>
      <w:r>
        <w:t>ARTICLE 11: FORCE MAJEURE</w:t>
      </w:r>
    </w:p>
    <w:p>
      <w:r>
        <w:t>11.1 Definition</w:t>
      </w:r>
    </w:p>
    <w:p>
      <w:r>
        <w:t>"Force Majeure" means any event beyond the reasonable control of a Party, including:</w:t>
      </w:r>
    </w:p>
    <w:p>
      <w:r>
        <w:t>(a) Natural disasters: earthquake, flood, cyclone, lightning, fire;</w:t>
      </w:r>
    </w:p>
    <w:p>
      <w:r>
        <w:t>(b) War, invasion, act of foreign enemy, hostilities, civil war, rebellion;</w:t>
      </w:r>
    </w:p>
    <w:p>
      <w:r>
        <w:t>(c) Epidemic, pandemic, government-imposed lockdown;</w:t>
      </w:r>
    </w:p>
    <w:p>
      <w:r>
        <w:t>(d) Grid failure or DISCO outage not caused by the Developer;</w:t>
      </w:r>
    </w:p>
    <w:p>
      <w:r>
        <w:t>(e) Change in law, regulation, or government policy affecting solar energy;</w:t>
      </w:r>
    </w:p>
    <w:p>
      <w:r>
        <w:t>(f) Any other event that could not have been prevented by reasonable diligence.</w:t>
      </w:r>
    </w:p>
    <w:p>
      <w:r>
        <w:t>11.2 Notification</w:t>
      </w:r>
    </w:p>
    <w:p>
      <w:r>
        <w:t>(a) The affected Party shall notify the other Party within 48 hours of becoming aware of the Force Majeure event.</w:t>
      </w:r>
    </w:p>
    <w:p>
      <w:r>
        <w:t>(b) The notification shall include details of the event and its expected duration.</w:t>
      </w:r>
    </w:p>
    <w:p>
      <w:r>
        <w:t>11.3 Effect of Force Majeure</w:t>
      </w:r>
    </w:p>
    <w:p>
      <w:r>
        <w:t>(a) Neither Party shall be liable for failure to perform obligations affected by Force Majeure.</w:t>
      </w:r>
    </w:p>
    <w:p>
      <w:r>
        <w:t>(b) Performance obligations shall be suspended during the Force Majeure period.</w:t>
      </w:r>
    </w:p>
    <w:p>
      <w:r>
        <w:t>(c) The affected Party shall use reasonable efforts to mitigate the impact.</w:t>
      </w:r>
    </w:p>
    <w:p>
      <w:r>
        <w:t>11.4 Termination for Extended Force Majeure</w:t>
      </w:r>
    </w:p>
    <w:p>
      <w:r>
        <w:t>(a) If Force Majeure continues for more than 180 (one hundred eighty) consecutive days, either Party may terminate this Agreement.</w:t>
      </w:r>
    </w:p>
    <w:p>
      <w:r>
        <w:t>(b) Upon such termination, neither Party shall have any liability to the other except for accrued obligations.</w:t>
      </w:r>
    </w:p>
    <w:p>
      <w:pPr>
        <w:pStyle w:val="Heading1"/>
      </w:pPr>
      <w:r>
        <w:t>ARTICLE 12: TERMINATION</w:t>
      </w:r>
    </w:p>
    <w:p>
      <w:r>
        <w:t>12.1 Termination for Convenience (Customer)</w:t>
      </w:r>
    </w:p>
    <w:p>
      <w:r>
        <w:t>(a) The Customer may terminate this Agreement after Year 5 by giving 180 days' prior written notice.</w:t>
      </w:r>
    </w:p>
    <w:p>
      <w:r>
        <w:t>(b) Early termination fee shall be payable as follows:</w:t>
      </w:r>
    </w:p>
    <w:tbl>
      <w:tblPr>
        <w:tblW w:w="5000" w:type="pct"/>
        <w:tblBorders>
          <w:top w:val="single" w:color="1a3a5c" w:sz="8"/>
          <w:bottom w:val="single" w:color="1a3a5c" w:sz="8"/>
          <w:insideH w:val="single" w:color="d0d0d0" w:sz="4"/>
        </w:tblBorders>
      </w:tblPr>
      <w:tblGrid>
        <w:gridCol w:w="5000"/>
        <w:gridCol w:w="5000"/>
      </w:tblGrid>
      <w:tr>
        <w:tc>
          <w:p>
            <w:r>
              <w:rPr>
                <w:b/>
              </w:rPr>
              <w:t>Termination Period</w:t>
            </w:r>
          </w:p>
        </w:tc>
        <w:tc>
          <w:p>
            <w:r>
              <w:rPr>
                <w:b/>
              </w:rPr>
              <w:t>Early Termination Fee</w:t>
            </w:r>
          </w:p>
        </w:tc>
      </w:tr>
      <w:tr>
        <w:tc>
          <w:p>
            <w:r>
              <w:rPr>
                <w:sz w:val="22"/>
              </w:rPr>
              <w:t>Years 1-5</w:t>
            </w:r>
          </w:p>
        </w:tc>
        <w:tc>
          <w:p>
            <w:r>
              <w:rPr>
                <w:sz w:val="22"/>
              </w:rPr>
              <w:t>Not permitted (except for breach)</w:t>
            </w:r>
          </w:p>
        </w:tc>
      </w:tr>
      <w:tr>
        <w:tc>
          <w:p>
            <w:r>
              <w:rPr>
                <w:sz w:val="22"/>
              </w:rPr>
              <w:t>Years 6-10</w:t>
            </w:r>
          </w:p>
        </w:tc>
        <w:tc>
          <w:p>
            <w:r>
              <w:rPr>
                <w:sz w:val="22"/>
              </w:rPr>
              <w:t>50% of remaining projected revenue</w:t>
            </w:r>
          </w:p>
        </w:tc>
      </w:tr>
      <w:tr>
        <w:tc>
          <w:p>
            <w:r>
              <w:rPr>
                <w:sz w:val="22"/>
              </w:rPr>
              <w:t>Years 11-15</w:t>
            </w:r>
          </w:p>
        </w:tc>
        <w:tc>
          <w:p>
            <w:r>
              <w:rPr>
                <w:sz w:val="22"/>
              </w:rPr>
              <w:t>30% of remaining projected revenue</w:t>
            </w:r>
          </w:p>
        </w:tc>
      </w:tr>
      <w:tr>
        <w:tc>
          <w:p>
            <w:r>
              <w:rPr>
                <w:sz w:val="22"/>
              </w:rPr>
              <w:t>Years 16-20</w:t>
            </w:r>
          </w:p>
        </w:tc>
        <w:tc>
          <w:p>
            <w:r>
              <w:rPr>
                <w:sz w:val="22"/>
              </w:rPr>
              <w:t>15% of remaining projected revenue</w:t>
            </w:r>
          </w:p>
        </w:tc>
      </w:tr>
    </w:tbl>
    <w:p>
      <w:r>
        <w:t>12.2 Termination for Breach</w:t>
      </w:r>
    </w:p>
    <w:p>
      <w:r>
        <w:t>(a) Either Party may terminate for material breach if:</w:t>
      </w:r>
    </w:p>
    <w:p>
      <w:r>
        <w:t>    (i) The breach is not cured within 30 days of written notice; or</w:t>
      </w:r>
    </w:p>
    <w:p>
      <w:r>
        <w:t>    (ii) The breach is incapable of cure.</w:t>
      </w:r>
    </w:p>
    <w:p>
      <w:r>
        <w:t>(b) Material breaches include:</w:t>
      </w:r>
    </w:p>
    <w:p>
      <w:r>
        <w:t>    (i) Failure to pay amounts due for 60 days (Customer);</w:t>
      </w:r>
    </w:p>
    <w:p>
      <w:r>
        <w:t>    (ii) Failure to achieve COD within 180 days of scheduled date (Developer);</w:t>
      </w:r>
    </w:p>
    <w:p>
      <w:r>
        <w:t>    (iii) Repeated failure to meet performance guarantees (Developer).</w:t>
      </w:r>
    </w:p>
    <w:p>
      <w:r>
        <w:t>12.3 Termination for Insolvency</w:t>
      </w:r>
    </w:p>
    <w:p>
      <w:r>
        <w:t>Either Party may terminate immediately upon the other Party becoming insolvent, bankrupt, or entering liquidation.</w:t>
      </w:r>
    </w:p>
    <w:p>
      <w:r>
        <w:t>12.4 Effect of Termination</w:t>
      </w:r>
    </w:p>
    <w:p>
      <w:r>
        <w:t>Upon termination:</w:t>
      </w:r>
    </w:p>
    <w:p>
      <w:r>
        <w:t>(a) All amounts due and payable shall become immediately due;</w:t>
      </w:r>
    </w:p>
    <w:p>
      <w:r>
        <w:t>(b) The Developer may remove the System from the Installation Site;</w:t>
      </w:r>
    </w:p>
    <w:p>
      <w:r>
        <w:t>(c) Confidentiality obligations shall survive termination;</w:t>
      </w:r>
    </w:p>
    <w:p>
      <w:r>
        <w:t>(d) Provisions intended to survive termination shall remain in effect.</w:t>
      </w:r>
    </w:p>
    <w:p>
      <w:r>
        <w:t>12.5 Factory Sale or Closure</w:t>
      </w:r>
    </w:p>
    <w:p>
      <w:r>
        <w:t>(a) If the Customer sells the factory, the Customer shall ensure the buyer assumes this Agreement.</w:t>
      </w:r>
    </w:p>
    <w:p>
      <w:r>
        <w:t>(b) If the factory ceases operations, the Customer shall either:</w:t>
      </w:r>
    </w:p>
    <w:p>
      <w:r>
        <w:t>    (i) Pay the applicable early termination fee; or</w:t>
      </w:r>
    </w:p>
    <w:p>
      <w:r>
        <w:t>    (ii) Arrange for the System to continue supplying the Grid (if permitted by DISCO).</w:t>
      </w:r>
    </w:p>
    <w:p>
      <w:pPr>
        <w:pStyle w:val="Heading1"/>
      </w:pPr>
      <w:r>
        <w:t>ARTICLE 13: ASSIGNMENT</w:t>
      </w:r>
    </w:p>
    <w:p>
      <w:r>
        <w:t>13.1 Developer Assignment</w:t>
      </w:r>
    </w:p>
    <w:p>
      <w:r>
        <w:t>(a) The Developer may assign this Agreement without Customer consent to:</w:t>
      </w:r>
    </w:p>
    <w:p>
      <w:r>
        <w:t>    (i) Any affiliate or subsidiary of the Developer;</w:t>
      </w:r>
    </w:p>
    <w:p>
      <w:r>
        <w:t>    (ii) Any lender or financier as security for financing;</w:t>
      </w:r>
    </w:p>
    <w:p>
      <w:r>
        <w:t>    (iii) Any purchaser of the System or the Developer's business.</w:t>
      </w:r>
    </w:p>
    <w:p>
      <w:r>
        <w:t>(b) The Developer shall notify the Customer of any assignment within 15 days.</w:t>
      </w:r>
    </w:p>
    <w:p>
      <w:r>
        <w:t>13.2 Customer Assignment</w:t>
      </w:r>
    </w:p>
    <w:p>
      <w:r>
        <w:t>(a) The Customer may not assign this Agreement without prior written consent of the Developer.</w:t>
      </w:r>
    </w:p>
    <w:p>
      <w:r>
        <w:t>(b) Consent shall not be unreasonably withheld for assignment to an affiliate or in connection with a sale of the business.</w:t>
      </w:r>
    </w:p>
    <w:p>
      <w:r>
        <w:t>13.3 Financing Assignment</w:t>
      </w:r>
    </w:p>
    <w:p>
      <w:r>
        <w:t>(a) The Developer may create security over the System and assign this Agreement to IDCOL or other lenders.</w:t>
      </w:r>
    </w:p>
    <w:p>
      <w:r>
        <w:t>(b) The Customer shall cooperate in executing any documentation required by lenders.</w:t>
      </w:r>
    </w:p>
    <w:p>
      <w:r>
        <w:t>(c) Such assignment shall not increase the Customer's obligations or reduce its rights.</w:t>
      </w:r>
    </w:p>
    <w:p>
      <w:pPr>
        <w:pStyle w:val="Heading1"/>
      </w:pPr>
      <w:r>
        <w:t>ARTICLE 14: REPRESENTATIONS AND WARRANTIES</w:t>
      </w:r>
    </w:p>
    <w:p>
      <w:r>
        <w:t>14.1 Developer Warranties</w:t>
      </w:r>
    </w:p>
    <w:p>
      <w:r>
        <w:t>The Developer represents and warrants that:</w:t>
      </w:r>
    </w:p>
    <w:p>
      <w:r>
        <w:t>(a) It is duly incorporated and validly existing under Bangladesh law;</w:t>
      </w:r>
    </w:p>
    <w:p>
      <w:r>
        <w:t>(b) It has full power and authority to enter into this Agreement;</w:t>
      </w:r>
    </w:p>
    <w:p>
      <w:r>
        <w:t>(c) All equipment shall be new and free from defects;</w:t>
      </w:r>
    </w:p>
    <w:p>
      <w:r>
        <w:t>(d) Installation shall be performed by qualified personnel;</w:t>
      </w:r>
    </w:p>
    <w:p>
      <w:r>
        <w:t>(e) The System shall comply with all applicable laws and standards.</w:t>
      </w:r>
    </w:p>
    <w:p>
      <w:r>
        <w:t>14.2 Customer Warranties</w:t>
      </w:r>
    </w:p>
    <w:p>
      <w:r>
        <w:t>The Customer represents and warrants that:</w:t>
      </w:r>
    </w:p>
    <w:p>
      <w:r>
        <w:t>(a) It is duly incorporated and validly existing under Bangladesh law;</w:t>
      </w:r>
    </w:p>
    <w:p>
      <w:r>
        <w:t>(b) It has full power and authority to enter into this Agreement;</w:t>
      </w:r>
    </w:p>
    <w:p>
      <w:r>
        <w:t>(c) It has good title to the Installation Site;</w:t>
      </w:r>
    </w:p>
    <w:p>
      <w:r>
        <w:t>(d) There are no encumbrances affecting the Installation Site;</w:t>
      </w:r>
    </w:p>
    <w:p>
      <w:r>
        <w:t>(e) It has obtained all internal approvals required for this Agreement.</w:t>
      </w:r>
    </w:p>
    <w:p>
      <w:r>
        <w:t>14.3 Disclaimer</w:t>
      </w:r>
    </w:p>
    <w:p>
      <w:r>
        <w:t>EXCEPT AS EXPRESSLY STATED IN THIS AGREEMENT, NO OTHER WARRANTIES, EXPRESS OR IMPLIED, ARE MADE.</w:t>
      </w:r>
    </w:p>
    <w:p>
      <w:pPr>
        <w:pStyle w:val="Heading1"/>
      </w:pPr>
      <w:r>
        <w:t>ARTICLE 15: INDEMNIFICATION</w:t>
      </w:r>
    </w:p>
    <w:p>
      <w:r>
        <w:t>15.1 Developer Indemnity</w:t>
      </w:r>
    </w:p>
    <w:p>
      <w:r>
        <w:t>The Developer shall indemnify and hold harmless the Customer from:</w:t>
      </w:r>
    </w:p>
    <w:p>
      <w:r>
        <w:t>(a) Claims arising from injury or death caused by the System (except due to Customer negligence);</w:t>
      </w:r>
    </w:p>
    <w:p>
      <w:r>
        <w:t>(b) Property damage caused by defective equipment or faulty installation;</w:t>
      </w:r>
    </w:p>
    <w:p>
      <w:r>
        <w:t>(c) Claims by third parties arising from Developer's breach of this Agreement.</w:t>
      </w:r>
    </w:p>
    <w:p>
      <w:r>
        <w:t>15.2 Customer Indemnity</w:t>
      </w:r>
    </w:p>
    <w:p>
      <w:r>
        <w:t>The Customer shall indemnify and hold harmless the Developer from:</w:t>
      </w:r>
    </w:p>
    <w:p>
      <w:r>
        <w:t>(a) Claims arising from pre-existing conditions at the Installation Site;</w:t>
      </w:r>
    </w:p>
    <w:p>
      <w:r>
        <w:t>(b) Claims arising from Customer's misuse or unauthorized modification of the System;</w:t>
      </w:r>
    </w:p>
    <w:p>
      <w:r>
        <w:t>(c) Claims by third parties arising from Customer's breach of this Agreement.</w:t>
      </w:r>
    </w:p>
    <w:p>
      <w:r>
        <w:t>15.3 Procedure</w:t>
      </w:r>
    </w:p>
    <w:p>
      <w:r>
        <w:t>(a) The indemnified Party shall notify the indemnifying Party of any claim within 15 days.</w:t>
      </w:r>
    </w:p>
    <w:p>
      <w:r>
        <w:t>(b) The indemnifying Party shall have the right to control the defense.</w:t>
      </w:r>
    </w:p>
    <w:p>
      <w:r>
        <w:t>(c) The indemnified Party shall cooperate in the defense.</w:t>
      </w:r>
    </w:p>
    <w:p>
      <w:pPr>
        <w:pStyle w:val="Heading1"/>
      </w:pPr>
      <w:r>
        <w:t>ARTICLE 16: INSURANCE</w:t>
      </w:r>
    </w:p>
    <w:p>
      <w:r>
        <w:t>16.1 Developer's Insurance</w:t>
      </w:r>
    </w:p>
    <w:p>
      <w:r>
        <w:t>The Developer shall maintain the following insurance throughout the PPA Term:</w:t>
      </w:r>
    </w:p>
    <w:tbl>
      <w:tblPr>
        <w:tblW w:w="5000" w:type="pct"/>
        <w:tblBorders>
          <w:top w:val="single" w:color="1a3a5c" w:sz="8"/>
          <w:bottom w:val="single" w:color="1a3a5c" w:sz="8"/>
          <w:insideH w:val="single" w:color="d0d0d0" w:sz="4"/>
        </w:tblBorders>
      </w:tblPr>
      <w:tblGrid>
        <w:gridCol w:w="3500"/>
        <w:gridCol w:w="2500"/>
        <w:gridCol w:w="4000"/>
      </w:tblGrid>
      <w:tr>
        <w:tc>
          <w:p>
            <w:r>
              <w:rPr>
                <w:b/>
              </w:rPr>
              <w:t>Insurance Type</w:t>
            </w:r>
          </w:p>
        </w:tc>
        <w:tc>
          <w:p>
            <w:r>
              <w:rPr>
                <w:b/>
              </w:rPr>
              <w:t>Coverage Amount</w:t>
            </w:r>
          </w:p>
        </w:tc>
        <w:tc>
          <w:p>
            <w:r>
              <w:rPr>
                <w:b/>
              </w:rPr>
              <w:t>Period</w:t>
            </w:r>
          </w:p>
        </w:tc>
      </w:tr>
      <w:tr>
        <w:tc>
          <w:p>
            <w:r>
              <w:rPr>
                <w:sz w:val="22"/>
              </w:rPr>
              <w:t>All Risks (Equipment)</w:t>
            </w:r>
          </w:p>
        </w:tc>
        <w:tc>
          <w:p>
            <w:r>
              <w:rPr>
                <w:sz w:val="22"/>
              </w:rPr>
              <w:t>Full replacement value</w:t>
            </w:r>
          </w:p>
        </w:tc>
        <w:tc>
          <w:p>
            <w:r>
              <w:rPr>
                <w:sz w:val="22"/>
              </w:rPr>
              <w:t>Throughout PPA Term</w:t>
            </w:r>
          </w:p>
        </w:tc>
      </w:tr>
      <w:tr>
        <w:tc>
          <w:p>
            <w:r>
              <w:rPr>
                <w:sz w:val="22"/>
              </w:rPr>
              <w:t>Third Party Liability</w:t>
            </w:r>
          </w:p>
        </w:tc>
        <w:tc>
          <w:p>
            <w:r>
              <w:rPr>
                <w:sz w:val="22"/>
              </w:rPr>
              <w:t>BDT 10,000,000</w:t>
            </w:r>
          </w:p>
        </w:tc>
        <w:tc>
          <w:p>
            <w:r>
              <w:rPr>
                <w:sz w:val="22"/>
              </w:rPr>
              <w:t>Throughout PPA Term</w:t>
            </w:r>
          </w:p>
        </w:tc>
      </w:tr>
      <w:tr>
        <w:tc>
          <w:p>
            <w:r>
              <w:rPr>
                <w:sz w:val="22"/>
              </w:rPr>
              <w:t>Workers Compensation</w:t>
            </w:r>
          </w:p>
        </w:tc>
        <w:tc>
          <w:p>
            <w:r>
              <w:rPr>
                <w:sz w:val="22"/>
              </w:rPr>
              <w:t>As per Bangladesh law</w:t>
            </w:r>
          </w:p>
        </w:tc>
        <w:tc>
          <w:p>
            <w:r>
              <w:rPr>
                <w:sz w:val="22"/>
              </w:rPr>
              <w:t>Throughout PPA Term</w:t>
            </w:r>
          </w:p>
        </w:tc>
      </w:tr>
      <w:tr>
        <w:tc>
          <w:p>
            <w:r>
              <w:rPr>
                <w:sz w:val="22"/>
              </w:rPr>
              <w:t>Business Interruption</w:t>
            </w:r>
          </w:p>
        </w:tc>
        <w:tc>
          <w:p>
            <w:r>
              <w:rPr>
                <w:sz w:val="22"/>
              </w:rPr>
              <w:t>6 months revenue</w:t>
            </w:r>
          </w:p>
        </w:tc>
        <w:tc>
          <w:p>
            <w:r>
              <w:rPr>
                <w:sz w:val="22"/>
              </w:rPr>
              <w:t>Throughout PPA Term</w:t>
            </w:r>
          </w:p>
        </w:tc>
      </w:tr>
    </w:tbl>
    <w:p>
      <w:r>
        <w:t>16.2 Evidence of Insurance</w:t>
      </w:r>
    </w:p>
    <w:p>
      <w:r>
        <w:t>(a) The Developer shall provide certificates of insurance upon request.</w:t>
      </w:r>
    </w:p>
    <w:p>
      <w:r>
        <w:t>(b) The Customer shall be named as additional insured on liability policies.</w:t>
      </w:r>
    </w:p>
    <w:p>
      <w:pPr>
        <w:pStyle w:val="Heading1"/>
      </w:pPr>
      <w:r>
        <w:t>ARTICLE 17: DISPUTE RESOLUTION</w:t>
      </w:r>
    </w:p>
    <w:p>
      <w:r>
        <w:t>17.1 Negotiation</w:t>
      </w:r>
    </w:p>
    <w:p>
      <w:r>
        <w:t>(a) Any dispute shall first be referred to senior representatives of both Parties for negotiation.</w:t>
      </w:r>
    </w:p>
    <w:p>
      <w:r>
        <w:t>(b) The negotiation period shall be 30 days from written notification of the dispute.</w:t>
      </w:r>
    </w:p>
    <w:p>
      <w:r>
        <w:t>17.2 Mediation</w:t>
      </w:r>
    </w:p>
    <w:p>
      <w:r>
        <w:t>(a) If negotiation fails, the dispute shall be referred to mediation.</w:t>
      </w:r>
    </w:p>
    <w:p>
      <w:r>
        <w:t>(b) Mediation shall be conducted in Dhaka under the rules of the Bangladesh International Arbitration Centre.</w:t>
      </w:r>
    </w:p>
    <w:p>
      <w:r>
        <w:t>(c) The mediation period shall be 45 days.</w:t>
      </w:r>
    </w:p>
    <w:p>
      <w:r>
        <w:t>17.3 Arbitration</w:t>
      </w:r>
    </w:p>
    <w:p>
      <w:r>
        <w:t>(a) If mediation fails, the dispute shall be finally resolved by arbitration.</w:t>
      </w:r>
    </w:p>
    <w:p>
      <w:r>
        <w:t>(b) Arbitration shall be conducted in Dhaka under the Arbitration Act, 2001.</w:t>
      </w:r>
    </w:p>
    <w:p>
      <w:r>
        <w:t>(c) The arbitral tribunal shall consist of 3 arbitrators.</w:t>
      </w:r>
    </w:p>
    <w:p>
      <w:r>
        <w:t>(d) The language of arbitration shall be English.</w:t>
      </w:r>
    </w:p>
    <w:p>
      <w:r>
        <w:t>(e) The award shall be final and binding.</w:t>
      </w:r>
    </w:p>
    <w:p>
      <w:r>
        <w:t>17.4 Continued Performance</w:t>
      </w:r>
    </w:p>
    <w:p>
      <w:r>
        <w:t>Pending resolution of any dispute, both Parties shall continue to perform their obligations.</w:t>
      </w:r>
    </w:p>
    <w:p>
      <w:pPr>
        <w:pStyle w:val="Heading1"/>
      </w:pPr>
      <w:r>
        <w:t>ARTICLE 18: GENERAL PROVISIONS</w:t>
      </w:r>
    </w:p>
    <w:p>
      <w:r>
        <w:t>18.1 Entire Agreement</w:t>
      </w:r>
    </w:p>
    <w:p>
      <w:r>
        <w:t>This Agreement constitutes the entire agreement between the Parties and supersedes all prior negotiations.</w:t>
      </w:r>
    </w:p>
    <w:p>
      <w:r>
        <w:t>18.2 Amendments</w:t>
      </w:r>
    </w:p>
    <w:p>
      <w:r>
        <w:t>No amendment shall be effective unless in writing signed by both Parties.</w:t>
      </w:r>
    </w:p>
    <w:p>
      <w:r>
        <w:t>18.3 Waiver</w:t>
      </w:r>
    </w:p>
    <w:p>
      <w:r>
        <w:t>No waiver shall be effective unless in writing. Failure to enforce any provision shall not constitute a waiver.</w:t>
      </w:r>
    </w:p>
    <w:p>
      <w:r>
        <w:t>18.4 Severability</w:t>
      </w:r>
    </w:p>
    <w:p>
      <w:r>
        <w:t>If any provision is invalid, the remainder shall continue in effect.</w:t>
      </w:r>
    </w:p>
    <w:p>
      <w:r>
        <w:t>18.5 Notices</w:t>
      </w:r>
    </w:p>
    <w:p>
      <w:r>
        <w:t>All notices shall be in writing and delivered to:</w:t>
      </w:r>
    </w:p>
    <w:p>
      <w:r>
        <w:t>To Developer:</w:t>
      </w:r>
    </w:p>
    <w:p>
      <w:r>
        <w:t>Netso Energy Limited</w:t>
      </w:r>
    </w:p>
    <w:p>
      <w:r>
        <w:t>[Address]</w:t>
      </w:r>
    </w:p>
    <w:p>
      <w:r>
        <w:t>Email: [email]</w:t>
      </w:r>
    </w:p>
    <w:p>
      <w:r>
        <w:t/>
      </w:r>
    </w:p>
    <w:p>
      <w:r>
        <w:t>To Customer:</w:t>
      </w:r>
    </w:p>
    <w:p>
      <w:r>
        <w:t>[Factory Name]</w:t>
      </w:r>
    </w:p>
    <w:p>
      <w:r>
        <w:t>[Address]</w:t>
      </w:r>
    </w:p>
    <w:p>
      <w:r>
        <w:t>Email: [email]</w:t>
      </w:r>
    </w:p>
    <w:p>
      <w:r>
        <w:t>18.6 Governing Law</w:t>
      </w:r>
    </w:p>
    <w:p>
      <w:r>
        <w:t>This Agreement shall be governed by and construed in accordance with the laws of Bangladesh.</w:t>
      </w:r>
    </w:p>
    <w:p>
      <w:r>
        <w:t>18.7 Counterparts</w:t>
      </w:r>
    </w:p>
    <w:p>
      <w:r>
        <w:t>This Agreement may be executed in counterparts, each of which shall be deemed an original.</w:t>
      </w:r>
    </w:p>
    <w:p>
      <w:r>
        <w:t>18.8 Language</w:t>
      </w:r>
    </w:p>
    <w:p>
      <w:r>
        <w:t>This Agreement is executed in English. In case of translation, the English version shall prevail.</w:t>
      </w:r>
    </w:p>
    <w:p>
      <w:r>
        <w:t>18.9 Third Party Rights</w:t>
      </w:r>
    </w:p>
    <w:p>
      <w:r>
        <w:t>No third party shall have any rights under this Agreement except as expressly provided.</w:t>
      </w:r>
    </w:p>
    <w:p>
      <w:r>
        <w:t>18.10 Costs</w:t>
      </w:r>
    </w:p>
    <w:p>
      <w:r>
        <w:t>Each Party shall bear its own costs in connection with this Agreement.</w:t>
      </w:r>
    </w:p>
    <w:p>
      <w:r>
        <w:t>18.11 Further Assurance</w:t>
      </w:r>
    </w:p>
    <w:p>
      <w:r>
        <w:t>Each Party shall execute such documents and take such actions as may be reasonably required.</w:t>
      </w:r>
    </w:p>
    <w:p>
      <w:pPr>
        <w:sectPr>
          <w:headerReference w:type="default" r:id="R596a53fefe034064"/>
          <w:footerReference w:type="default" r:id="R80f3cc60a389468c"/>
          <w:type w:val="nextPage"/>
          <w:pgSz w:w="11906" w:h="16838"/>
          <w:pgMar w:top="1440" w:right="1440" w:bottom="1440" w:left="1440" w:header="720" w:footer="720"/>
        </w:sectPr>
      </w:pPr>
    </w:p>
    <w:p>
      <w:r>
        <w:br w:type="page"/>
      </w:r>
    </w:p>
    <w:p>
      <w:pPr>
        <w:pStyle w:val="Heading1"/>
      </w:pPr>
      <w:r>
        <w:t>SIGNATURES</w:t>
      </w:r>
    </w:p>
    <w:p>
      <w:r>
        <w:t>IN WITNESS WHEREOF, the Parties have executed this Agreement as of the date first written above.</w:t>
      </w:r>
    </w:p>
    <w:p>
      <w:pPr>
        <w:spacing w:before="600"/>
      </w:pPr>
    </w:p>
    <w:p>
      <w:r>
        <w:rPr>
          <w:b/>
        </w:rPr>
        <w:t>DEVELOPER:</w:t>
      </w:r>
    </w:p>
    <w:p>
      <w:r>
        <w:t>Netso Energy Limited</w:t>
      </w:r>
    </w:p>
    <w:p>
      <w:pPr>
        <w:spacing w:before="400"/>
      </w:pPr>
    </w:p>
    <w:p>
      <w:r>
        <w:t>Signature: _________________________</w:t>
      </w:r>
    </w:p>
    <w:p>
      <w:r>
        <w:t>Name: _____________________________</w:t>
      </w:r>
    </w:p>
    <w:p>
      <w:r>
        <w:t>Title: ____________________________</w:t>
      </w:r>
    </w:p>
    <w:p>
      <w:r>
        <w:t>Date: _____________________________</w:t>
      </w:r>
    </w:p>
    <w:p>
      <w:pPr>
        <w:spacing w:before="600"/>
      </w:pPr>
    </w:p>
    <w:p>
      <w:r>
        <w:rPr>
          <w:b/>
        </w:rPr>
        <w:t>CUSTOMER:</w:t>
      </w:r>
    </w:p>
    <w:p>
      <w:r>
        <w:t>[Factory Name]</w:t>
      </w:r>
    </w:p>
    <w:p>
      <w:pPr>
        <w:spacing w:before="400"/>
      </w:pPr>
    </w:p>
    <w:p>
      <w:r>
        <w:t>Signature: _________________________</w:t>
      </w:r>
    </w:p>
    <w:p>
      <w:r>
        <w:t>Name: _____________________________</w:t>
      </w:r>
    </w:p>
    <w:p>
      <w:r>
        <w:t>Title: ____________________________</w:t>
      </w:r>
    </w:p>
    <w:p>
      <w:r>
        <w:t>Date: _____________________________</w:t>
      </w:r>
    </w:p>
    <w:p>
      <w:pPr>
        <w:spacing w:before="600"/>
      </w:pPr>
    </w:p>
    <w:p>
      <w:r>
        <w:rPr>
          <w:b/>
        </w:rPr>
        <w:t>WITNESSES:</w:t>
      </w:r>
    </w:p>
    <w:p>
      <w:r>
        <w:t>1. Signature: _________________________</w:t>
      </w:r>
    </w:p>
    <w:p>
      <w:r>
        <w:t>   Name: _____________________________</w:t>
      </w:r>
    </w:p>
    <w:p>
      <w:r>
        <w:t>   Address: __________________________</w:t>
      </w:r>
    </w:p>
    <w:p>
      <w:pPr>
        <w:spacing w:before="200"/>
      </w:pPr>
    </w:p>
    <w:p>
      <w:r>
        <w:t>2. Signature: _________________________</w:t>
      </w:r>
    </w:p>
    <w:p>
      <w:r>
        <w:t>   Name: _____________________________</w:t>
      </w:r>
    </w:p>
    <w:p>
      <w:r>
        <w:t>   Address: __________________________</w:t>
      </w:r>
    </w:p>
    <w:sectPr>
      <w:pgSz w:w="11906" w:h="16838"/>
      <w:pgMar w:top="1440" w:right="1440" w:bottom="1440" w:left="1440" w:header="720" w:footer="720"/>
    </w:sectPr>
  </w:body>
</w:document>
</file>

<file path=word/footer1.xml><?xml version="1.0" encoding="utf-8"?>
<w:ftr xmlns:w="http://schemas.openxmlformats.org/wordprocessingml/2006/main">
  <w:p>
    <w:pPr>
      <w:jc w:val="center"/>
    </w:pPr>
    <w:r>
      <w:t xml:space="preserve">Page </w:t>
    </w:r>
    <w:r>
      <w:fldChar w:fldCharType="begin"/>
    </w:r>
    <w:r>
      <w:instrText> PAGE </w:instrText>
    </w:r>
    <w:r>
      <w:fldChar w:fldCharType="separate"/>
    </w:r>
    <w:r>
      <w:t>1</w:t>
    </w:r>
    <w:r>
      <w:fldChar w:fldCharType="end"/>
    </w:r>
    <w:r>
      <w:t xml:space="preserve"> of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pBdr>
        <w:bottom w:val="single" w:color="d0d0d0" w:sz="4" w:space="4"/>
      </w:pBdr>
      <w:jc w:val="center"/>
    </w:pPr>
    <w:r>
      <w:rPr>
        <w:color w:val="7a7a7a"/>
        <w:sz w:val="18"/>
      </w:rPr>
      <w:t>NETSO PPA MASTER TEMPLATE | CONFIDENTIAL</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76" w:lineRule="auto"/>
      <w:jc w:val="both"/>
    </w:pPr>
    <w:rPr>
      <w:rFonts w:ascii="Times New Roman" w:hAnsi="Times New Roman"/>
      <w:color w:val="1a1a1a"/>
      <w:sz w:val="24"/>
    </w:rPr>
  </w:style>
  <w:style w:type="paragraph" w:styleId="Heading1">
    <w:name w:val="heading 1"/>
    <w:basedOn w:val="Normal"/>
    <w:pPr>
      <w:keepNext/>
      <w:keepLines/>
      <w:spacing w:before="480" w:after="240" w:line="240" w:lineRule="auto"/>
      <w:jc w:val="left"/>
      <w:outlineLvl w:val="0"/>
    </w:pPr>
    <w:rPr>
      <w:b/>
      <w:caps/>
      <w:color w:val="1a3a5c"/>
      <w:sz w:val="32"/>
    </w:rPr>
  </w:style>
  <w:style w:type="paragraph" w:styleId="Heading2">
    <w:name w:val="heading 2"/>
    <w:basedOn w:val="Normal"/>
    <w:pPr>
      <w:keepNext/>
      <w:keepLines/>
      <w:spacing w:before="360" w:after="160"/>
      <w:jc w:val="left"/>
      <w:outlineLvl w:val="1"/>
    </w:pPr>
    <w:rPr>
      <w:b/>
      <w:color w:val="2d5a87"/>
      <w:sz w:val="26"/>
    </w:rPr>
  </w:style>
  <w:style w:type="paragraph" w:styleId="Heading3">
    <w:name w:val="heading 3"/>
    <w:basedOn w:val="Normal"/>
    <w:pPr>
      <w:keepNext/>
      <w:keepLines/>
      <w:spacing w:before="280" w:after="120"/>
      <w:jc w:val="left"/>
      <w:outlineLvl w:val="2"/>
    </w:pPr>
    <w:rPr>
      <w:b/>
      <w:i/>
      <w:color w:val="4a4a4a"/>
      <w:sz w:val="24"/>
    </w:rPr>
  </w:style>
  <w:style w:type="paragraph" w:styleId="TOC1">
    <w:name w:val="toc 1"/>
    <w:basedOn w:val="Normal"/>
    <w:pPr>
      <w:tabs>
        <w:tab w:val="right" w:leader="dot" w:pos="9350"/>
      </w:tabs>
      <w:spacing w:before="200" w:after="60"/>
    </w:pPr>
    <w:rPr>
      <w:b/>
      <w:color w:val="1a1a1a"/>
    </w:rPr>
  </w:style>
  <w:style w:type="paragraph" w:styleId="TOC2">
    <w:name w:val="toc 2"/>
    <w:basedOn w:val="Normal"/>
    <w:pPr>
      <w:tabs>
        <w:tab w:val="right" w:leader="dot" w:pos="9350"/>
      </w:tabs>
      <w:spacing w:before="60" w:after="60"/>
      <w:ind w:left="360"/>
    </w:pPr>
    <w:rPr>
      <w:color w:val="4a4a4a"/>
    </w:rPr>
  </w:style>
</w:styles>
</file>

<file path=word/_rels/document.xml.rels>&#65279;<?xml version="1.0" encoding="utf-8"?><Relationships xmlns="http://schemas.openxmlformats.org/package/2006/relationships"><Relationship Type="http://schemas.openxmlformats.org/officeDocument/2006/relationships/styles" Target="/word/styles.xml" Id="Rbbc4e606051f4822" /><Relationship Type="http://schemas.openxmlformats.org/officeDocument/2006/relationships/numbering" Target="/word/numbering.xml" Id="Re27321b8a2d846bc" /><Relationship Type="http://schemas.openxmlformats.org/officeDocument/2006/relationships/header" Target="/word/header1.xml" Id="R596a53fefe034064" /><Relationship Type="http://schemas.openxmlformats.org/officeDocument/2006/relationships/footer" Target="/word/footer1.xml" Id="R80f3cc60a389468c" /></Relationships>
</file>