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8fc0d290a24be6" /></Relationships>
</file>

<file path=word/document.xml><?xml version="1.0" encoding="utf-8"?>
<w:document xmlns:w="http://schemas.openxmlformats.org/wordprocessingml/2006/main">
  <w:body>
    <w:p>
      <w:pPr>
        <w:pBdr>
          <w:bottom w:val="single" w:color="c49a3c" w:sz="12" w:space="8"/>
        </w:pBdr>
        <w:spacing w:after="200"/>
        <w:jc w:val="center"/>
      </w:pPr>
      <w:r>
        <w:rPr>
          <w:b/>
          <w:color w:val="1a3a5c"/>
          <w:sz w:val="32"/>
        </w:rPr>
        <w:t>NETSO POWER PURCHASE AGREEMENT</w:t>
      </w:r>
    </w:p>
    <w:p>
      <w:pPr>
        <w:spacing w:after="400"/>
        <w:jc w:val="center"/>
      </w:pPr>
      <w:r>
        <w:rPr>
          <w:color w:val="4a4a4a"/>
          <w:sz w:val="24"/>
        </w:rPr>
        <w:t>Executive Summary for Investors &amp; Lenders</w:t>
      </w:r>
    </w:p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KEY COMMERCIAL TERMS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500"/>
        <w:gridCol w:w="6500"/>
      </w:tblGrid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Contract Type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Build-Own-Operate (BOO)</w:t>
            </w:r>
          </w:p>
        </w:tc>
      </w:tr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20 years from COD</w:t>
            </w:r>
          </w:p>
        </w:tc>
      </w:tr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System Size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[___] kWp</w:t>
            </w:r>
          </w:p>
        </w:tc>
      </w:tr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Customer Type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RMG Factory (Export-oriented)</w:t>
            </w:r>
          </w:p>
        </w:tc>
      </w:tr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Gazipur/Narayanganj/Dhaka, Bangladesh</w:t>
            </w:r>
          </w:p>
        </w:tc>
      </w:tr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Grid Connection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Net Metering (NEM) with DESCO/DPDC</w:t>
            </w:r>
          </w:p>
        </w:tc>
      </w:tr>
      <w:tr>
        <w:tc>
          <w:tcPr>
            <w:tcW w:w="3500" w:type="dxa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Payment Terms</w:t>
            </w:r>
          </w:p>
        </w:tc>
        <w:tc>
          <w:tcPr>
            <w:tcW w:w="6500" w:type="dxa"/>
          </w:tcPr>
          <w:p>
            <w:pPr>
              <w:spacing w:before="40" w:after="40"/>
            </w:pPr>
            <w:r>
              <w:rPr>
                <w:sz w:val="20"/>
              </w:rPr>
              <w:t>Monthly billing, 15-day payment</w:t>
            </w:r>
          </w:p>
        </w:tc>
      </w:tr>
    </w:tbl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CONTRACT STRUCTURE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Business Model: Build-Own-Operate (BOO) - Developer retains ownership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Term: 20 years from Commercial Operation Date (COD)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Capacity: [___] kWp rooftop solar system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Technology: Tier-1 monocrystalline panels (Jinko or equivalent)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Location: RMG factory rooftop in Gazipur/Narayanganj/Dhaka</w:t>
      </w:r>
    </w:p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TARIFF STRUCTURE</w:t>
      </w:r>
    </w:p>
    <w:tbl>
      <w:tblPr>
        <w:tblW w:w="5000" w:type="pct"/>
        <w:tblBorders>
          <w:top w:val="single" w:color="c49a3c" w:sz="8"/>
          <w:bottom w:val="single" w:color="c49a3c" w:sz="8"/>
          <w:insideH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p>
            <w:r>
              <w:rPr>
                <w:b/>
                <w:sz w:val="20"/>
              </w:rPr>
              <w:t>Period</w:t>
            </w:r>
          </w:p>
        </w:tc>
        <w:tc>
          <w:p>
            <w:r>
              <w:rPr>
                <w:b/>
                <w:sz w:val="20"/>
              </w:rPr>
              <w:t>Solar Tariff</w:t>
            </w:r>
          </w:p>
        </w:tc>
        <w:tc>
          <w:p>
            <w:r>
              <w:rPr>
                <w:b/>
                <w:sz w:val="20"/>
              </w:rPr>
              <w:t>Grid Rate</w:t>
            </w:r>
          </w:p>
        </w:tc>
        <w:tc>
          <w:p>
            <w:r>
              <w:rPr>
                <w:b/>
                <w:sz w:val="20"/>
              </w:rPr>
              <w:t>Discount</w:t>
            </w:r>
          </w:p>
        </w:tc>
      </w:tr>
      <w:tr>
        <w:tc>
          <w:p>
            <w:r>
              <w:rPr>
                <w:sz w:val="20"/>
              </w:rPr>
              <w:t>Years 1-5</w:t>
            </w:r>
          </w:p>
        </w:tc>
        <w:tc>
          <w:p>
            <w:r>
              <w:rPr>
                <w:b/>
                <w:color w:val="c49a3c"/>
                <w:sz w:val="20"/>
              </w:rPr>
              <w:t>BDT [X]/kWh</w:t>
            </w:r>
          </w:p>
        </w:tc>
        <w:tc>
          <w:p>
            <w:r>
              <w:rPr>
                <w:sz w:val="20"/>
              </w:rPr>
              <w:t>BDT [Y]/kWh</w:t>
            </w:r>
          </w:p>
        </w:tc>
        <w:tc>
          <w:p>
            <w:r>
              <w:rPr>
                <w:b/>
                <w:color w:val="1a3a5c"/>
                <w:sz w:val="20"/>
              </w:rPr>
              <w:t>[Z]%</w:t>
            </w:r>
          </w:p>
        </w:tc>
      </w:tr>
      <w:tr>
        <w:tc>
          <w:p>
            <w:r>
              <w:rPr>
                <w:sz w:val="20"/>
              </w:rPr>
              <w:t>Years 6-10</w:t>
            </w:r>
          </w:p>
        </w:tc>
        <w:tc>
          <w:p>
            <w:r>
              <w:rPr>
                <w:b/>
                <w:color w:val="c49a3c"/>
                <w:sz w:val="20"/>
              </w:rPr>
              <w:t>BDT [X]/kWh</w:t>
            </w:r>
          </w:p>
        </w:tc>
        <w:tc>
          <w:p>
            <w:r>
              <w:rPr>
                <w:sz w:val="20"/>
              </w:rPr>
              <w:t>BDT [Y]/kWh</w:t>
            </w:r>
          </w:p>
        </w:tc>
        <w:tc>
          <w:p>
            <w:r>
              <w:rPr>
                <w:b/>
                <w:color w:val="1a3a5c"/>
                <w:sz w:val="20"/>
              </w:rPr>
              <w:t>[Z]%</w:t>
            </w:r>
          </w:p>
        </w:tc>
      </w:tr>
      <w:tr>
        <w:tc>
          <w:p>
            <w:r>
              <w:rPr>
                <w:sz w:val="20"/>
              </w:rPr>
              <w:t>Years 11-15</w:t>
            </w:r>
          </w:p>
        </w:tc>
        <w:tc>
          <w:p>
            <w:r>
              <w:rPr>
                <w:b/>
                <w:color w:val="c49a3c"/>
                <w:sz w:val="20"/>
              </w:rPr>
              <w:t>BDT [X]/kWh</w:t>
            </w:r>
          </w:p>
        </w:tc>
        <w:tc>
          <w:p>
            <w:r>
              <w:rPr>
                <w:sz w:val="20"/>
              </w:rPr>
              <w:t>BDT [Y]/kWh</w:t>
            </w:r>
          </w:p>
        </w:tc>
        <w:tc>
          <w:p>
            <w:r>
              <w:rPr>
                <w:b/>
                <w:color w:val="1a3a5c"/>
                <w:sz w:val="20"/>
              </w:rPr>
              <w:t>[Z]%</w:t>
            </w:r>
          </w:p>
        </w:tc>
      </w:tr>
      <w:tr>
        <w:tc>
          <w:p>
            <w:r>
              <w:rPr>
                <w:sz w:val="20"/>
              </w:rPr>
              <w:t>Years 16-20</w:t>
            </w:r>
          </w:p>
        </w:tc>
        <w:tc>
          <w:p>
            <w:r>
              <w:rPr>
                <w:b/>
                <w:color w:val="c49a3c"/>
                <w:sz w:val="20"/>
              </w:rPr>
              <w:t>BDT [X]/kWh</w:t>
            </w:r>
          </w:p>
        </w:tc>
        <w:tc>
          <w:p>
            <w:r>
              <w:rPr>
                <w:sz w:val="20"/>
              </w:rPr>
              <w:t>BDT [Y]/kWh</w:t>
            </w:r>
          </w:p>
        </w:tc>
        <w:tc>
          <w:p>
            <w:r>
              <w:rPr>
                <w:b/>
                <w:color w:val="1a3a5c"/>
                <w:sz w:val="20"/>
              </w:rPr>
              <w:t>[Z]%</w:t>
            </w:r>
          </w:p>
        </w:tc>
      </w:tr>
    </w:tbl>
    <w:p>
      <w:pPr>
        <w:spacing w:before="60" w:after="120"/>
        <w:ind w:left="360"/>
      </w:pPr>
      <w:r>
        <w:rPr>
          <w:i/>
          <w:color w:val="7a7a7a"/>
          <w:sz w:val="18"/>
        </w:rPr>
        <w:t>Tariff escalates at 2% annually. Locked rate provides hedge against grid tariff increases.</w:t>
      </w:r>
    </w:p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REVENUE STREAMS</w:t>
      </w:r>
    </w:p>
    <w:tbl>
      <w:tblPr>
        <w:tblW w:w="5000" w:type="pct"/>
        <w:tblBorders>
          <w:top w:val="single" w:color="d0d0d0" w:sz="4"/>
          <w:bottom w:val="single" w:color="d0d0d0" w:sz="4"/>
          <w:insideH w:val="single" w:color="d0d0d0" w:sz="4"/>
        </w:tblBorders>
      </w:tblPr>
      <w:tblGrid>
        <w:gridCol w:w="5000"/>
        <w:gridCol w:w="5000"/>
      </w:tblGrid>
      <w:tr>
        <w:tc>
          <w:p>
            <w:r>
              <w:rPr>
                <w:b/>
                <w:sz w:val="20"/>
              </w:rPr>
              <w:t>Revenue Stream</w:t>
            </w:r>
          </w:p>
        </w:tc>
        <w:tc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p>
            <w:r>
              <w:rPr>
                <w:sz w:val="20"/>
              </w:rPr>
              <w:t>Primary: Solar Sales</w:t>
            </w:r>
          </w:p>
        </w:tc>
        <w:tc>
          <w:p>
            <w:r>
              <w:rPr>
                <w:sz w:val="20"/>
              </w:rPr>
              <w:t>Customer pays for solar electricity consumed (90-95% of revenue)</w:t>
            </w:r>
          </w:p>
        </w:tc>
      </w:tr>
      <w:tr>
        <w:tc>
          <w:p>
            <w:r>
              <w:rPr>
                <w:sz w:val="20"/>
              </w:rPr>
              <w:t>Secondary: NEM Surplus</w:t>
            </w:r>
          </w:p>
        </w:tc>
        <w:tc>
          <w:p>
            <w:r>
              <w:rPr>
                <w:sz w:val="20"/>
              </w:rPr>
              <w:t>Excess export settled at BDT 6.45/kWh quarterly (5-10% of revenue)</w:t>
            </w:r>
          </w:p>
        </w:tc>
      </w:tr>
    </w:tbl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SECURITY &amp; RISK MITIGATION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Performance Guarantee: Minimum 80% Performance Ratio in Year 1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Equipment Warranty: 25 years (panels), 10 years (inverter)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Insurance: All-risks coverage maintained by Developer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Security Deposit: 2 months estimated billing from Customer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Assignment Rights: Developer can assign to financiers without consent</w:t>
      </w:r>
    </w:p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TERMINATION PROVISIONS</w:t>
      </w:r>
    </w:p>
    <w:tbl>
      <w:tblPr>
        <w:tblW w:w="5000" w:type="pct"/>
        <w:tblBorders>
          <w:top w:val="single" w:color="d0d0d0" w:sz="4"/>
          <w:bottom w:val="single" w:color="d0d0d0" w:sz="4"/>
          <w:insideH w:val="single" w:color="d0d0d0" w:sz="4"/>
        </w:tblBorders>
      </w:tblPr>
      <w:tblGrid>
        <w:gridCol w:w="3000"/>
        <w:gridCol w:w="7000"/>
      </w:tblGrid>
      <w:tr>
        <w:tc>
          <w:p>
            <w:r>
              <w:rPr>
                <w:b/>
                <w:sz w:val="20"/>
              </w:rPr>
              <w:t>Customer Convenience</w:t>
            </w:r>
          </w:p>
        </w:tc>
        <w:tc>
          <w:p>
            <w:r>
              <w:rPr>
                <w:sz w:val="20"/>
              </w:rPr>
              <w:t>After Year 5, with 180 days notice + early termination fee</w:t>
            </w:r>
          </w:p>
        </w:tc>
      </w:tr>
      <w:tr>
        <w:tc>
          <w:p>
            <w:r>
              <w:rPr>
                <w:b/>
                <w:sz w:val="20"/>
              </w:rPr>
              <w:t>Material Breach</w:t>
            </w:r>
          </w:p>
        </w:tc>
        <w:tc>
          <w:p>
            <w:r>
              <w:rPr>
                <w:sz w:val="20"/>
              </w:rPr>
              <w:t>30-day cure period; non-cure allows termination</w:t>
            </w:r>
          </w:p>
        </w:tc>
      </w:tr>
      <w:tr>
        <w:tc>
          <w:p>
            <w:r>
              <w:rPr>
                <w:b/>
                <w:sz w:val="20"/>
              </w:rPr>
              <w:t>Insolvency</w:t>
            </w:r>
          </w:p>
        </w:tc>
        <w:tc>
          <w:p>
            <w:r>
              <w:rPr>
                <w:sz w:val="20"/>
              </w:rPr>
              <w:t>Immediate termination upon bankruptcy</w:t>
            </w:r>
          </w:p>
        </w:tc>
      </w:tr>
      <w:tr>
        <w:tc>
          <w:p>
            <w:r>
              <w:rPr>
                <w:b/>
                <w:sz w:val="20"/>
              </w:rPr>
              <w:t>Extended FM</w:t>
            </w:r>
          </w:p>
        </w:tc>
        <w:tc>
          <w:p>
            <w:r>
              <w:rPr>
                <w:sz w:val="20"/>
              </w:rPr>
              <w:t>&gt;180 days Force Majeure allows termination</w:t>
            </w:r>
          </w:p>
        </w:tc>
      </w:tr>
    </w:tbl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FORCE MAJEURE COVERAGE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Natural disasters (earthquake, flood, cyclone)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Grid failure / DISCO outages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Change in law / BPDB policy changes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Extended Force Majeure (&gt;180 days): Either party may terminate</w:t>
      </w:r>
    </w:p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NET METERING (NEM) ECONOMICS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NEM Surplus Rate: BDT 6.45/kWh (quarterly settlement)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Surplus Revenue: Accrues to Developer</w:t>
      </w:r>
    </w:p>
    <w:p>
      <w:pPr>
        <w:spacing w:after="60"/>
        <w:ind w:left="360"/>
      </w:pPr>
      <w:r>
        <w:rPr>
          <w:color w:val="c49a3c"/>
          <w:sz w:val="20"/>
        </w:rPr>
        <w:t xml:space="preserve">•  </w:t>
      </w:r>
      <w:r>
        <w:rPr>
          <w:color w:val="1a1a1a"/>
          <w:sz w:val="20"/>
        </w:rPr>
        <w:t>Typical NEM Contribution: 8-15% of total revenue</w:t>
      </w:r>
    </w:p>
    <w:p>
      <w:pPr>
        <w:shd w:val="clear" w:fill="1a3a5c"/>
        <w:spacing w:before="280" w:after="120"/>
      </w:pPr>
      <w:r>
        <w:rPr>
          <w:b/>
          <w:color w:val="FFFFFF"/>
          <w:sz w:val="22"/>
        </w:rPr>
        <w:t>  ILLUSTRATIVE FINANCIALS (100 kW System)</w:t>
      </w:r>
    </w:p>
    <w:tbl>
      <w:tblPr>
        <w:tblW w:w="5000" w:type="pct"/>
        <w:tblBorders>
          <w:top w:val="single" w:color="1a3a5c" w:sz="8"/>
          <w:bottom w:val="single" w:color="1a3a5c" w:sz="8"/>
          <w:insideH w:val="single" w:color="d0d0d0" w:sz="4"/>
        </w:tblBorders>
      </w:tblPr>
      <w:tblGrid>
        <w:gridCol w:w="3300"/>
        <w:gridCol w:w="3300"/>
        <w:gridCol w:w="3400"/>
      </w:tblGrid>
      <w:tr>
        <w:tc>
          <w:p>
            <w:r>
              <w:rPr>
                <w:b/>
                <w:sz w:val="20"/>
              </w:rPr>
              <w:t>Metric</w:t>
            </w:r>
          </w:p>
        </w:tc>
        <w:tc>
          <w:p>
            <w:r>
              <w:rPr>
                <w:b/>
                <w:sz w:val="20"/>
              </w:rPr>
              <w:t>Value</w:t>
            </w:r>
          </w:p>
        </w:tc>
        <w:tc>
          <w:p>
            <w:r>
              <w:rPr>
                <w:b/>
                <w:sz w:val="20"/>
              </w:rPr>
              <w:t>Notes</w:t>
            </w:r>
          </w:p>
        </w:tc>
      </w:tr>
      <w:tr>
        <w:tc>
          <w:p>
            <w:r>
              <w:rPr>
                <w:sz w:val="20"/>
              </w:rPr>
              <w:t>Estimated CAPEX</w:t>
            </w:r>
          </w:p>
        </w:tc>
        <w:tc>
          <w:p>
            <w:r>
              <w:rPr>
                <w:b/>
                <w:color w:val="c49a3c"/>
                <w:sz w:val="20"/>
              </w:rPr>
              <w:t>BDT 4.5-5.0M</w:t>
            </w:r>
          </w:p>
        </w:tc>
        <w:tc>
          <w:p>
            <w:r>
              <w:rPr>
                <w:color w:val="7a7a7a"/>
                <w:sz w:val="18"/>
              </w:rPr>
              <w:t>Panel + inverter + mounting</w:t>
            </w:r>
          </w:p>
        </w:tc>
      </w:tr>
      <w:tr>
        <w:tc>
          <w:p>
            <w:r>
              <w:rPr>
                <w:sz w:val="20"/>
              </w:rPr>
              <w:t>Annual Generation</w:t>
            </w:r>
          </w:p>
        </w:tc>
        <w:tc>
          <w:p>
            <w:r>
              <w:rPr>
                <w:b/>
                <w:color w:val="c49a3c"/>
                <w:sz w:val="20"/>
              </w:rPr>
              <w:t>145,000 kWh</w:t>
            </w:r>
          </w:p>
        </w:tc>
        <w:tc>
          <w:p>
            <w:r>
              <w:rPr>
                <w:color w:val="7a7a7a"/>
                <w:sz w:val="18"/>
              </w:rPr>
              <w:t>1,450 kWh/kWp (Dhaka)</w:t>
            </w:r>
          </w:p>
        </w:tc>
      </w:tr>
      <w:tr>
        <w:tc>
          <w:p>
            <w:r>
              <w:rPr>
                <w:sz w:val="20"/>
              </w:rPr>
              <w:t>Gross Revenue Y1</w:t>
            </w:r>
          </w:p>
        </w:tc>
        <w:tc>
          <w:p>
            <w:r>
              <w:rPr>
                <w:b/>
                <w:color w:val="c49a3c"/>
                <w:sz w:val="20"/>
              </w:rPr>
              <w:t>BDT 1.8-2.0M</w:t>
            </w:r>
          </w:p>
        </w:tc>
        <w:tc>
          <w:p>
            <w:r>
              <w:rPr>
                <w:color w:val="7a7a7a"/>
                <w:sz w:val="18"/>
              </w:rPr>
              <w:t>At BDT 12.5/kWh average</w:t>
            </w:r>
          </w:p>
        </w:tc>
      </w:tr>
      <w:tr>
        <w:tc>
          <w:p>
            <w:r>
              <w:rPr>
                <w:sz w:val="20"/>
              </w:rPr>
              <w:t>OPEX (annual)</w:t>
            </w:r>
          </w:p>
        </w:tc>
        <w:tc>
          <w:p>
            <w:r>
              <w:rPr>
                <w:b/>
                <w:color w:val="c49a3c"/>
                <w:sz w:val="20"/>
              </w:rPr>
              <w:t>BDT 150,000</w:t>
            </w:r>
          </w:p>
        </w:tc>
        <w:tc>
          <w:p>
            <w:r>
              <w:rPr>
                <w:color w:val="7a7a7a"/>
                <w:sz w:val="18"/>
              </w:rPr>
              <w:t>Cleaning + maintenance</w:t>
            </w:r>
          </w:p>
        </w:tc>
      </w:tr>
      <w:tr>
        <w:tc>
          <w:p>
            <w:r>
              <w:rPr>
                <w:sz w:val="20"/>
              </w:rPr>
              <w:t>Project IRR</w:t>
            </w:r>
          </w:p>
        </w:tc>
        <w:tc>
          <w:p>
            <w:r>
              <w:rPr>
                <w:b/>
                <w:color w:val="c49a3c"/>
                <w:sz w:val="20"/>
              </w:rPr>
              <w:t>18-22%</w:t>
            </w:r>
          </w:p>
        </w:tc>
        <w:tc>
          <w:p>
            <w:r>
              <w:rPr>
                <w:color w:val="7a7a7a"/>
                <w:sz w:val="18"/>
              </w:rPr>
              <w:t>Unlevered, pre-tax</w:t>
            </w:r>
          </w:p>
        </w:tc>
      </w:tr>
      <w:tr>
        <w:tc>
          <w:p>
            <w:r>
              <w:rPr>
                <w:sz w:val="20"/>
              </w:rPr>
              <w:t>Payback Period</w:t>
            </w:r>
          </w:p>
        </w:tc>
        <w:tc>
          <w:p>
            <w:r>
              <w:rPr>
                <w:b/>
                <w:color w:val="c49a3c"/>
                <w:sz w:val="20"/>
              </w:rPr>
              <w:t>5-6 years</w:t>
            </w:r>
          </w:p>
        </w:tc>
        <w:tc>
          <w:p>
            <w:r>
              <w:rPr>
                <w:color w:val="7a7a7a"/>
                <w:sz w:val="18"/>
              </w:rPr>
              <w:t>From COD</w:t>
            </w:r>
          </w:p>
        </w:tc>
      </w:tr>
    </w:tbl>
    <w:p>
      <w:pPr>
        <w:shd w:val="clear" w:fill="f5f5f5"/>
        <w:spacing w:before="400"/>
        <w:jc w:val="center"/>
      </w:pPr>
      <w:r>
        <w:rPr>
          <w:b/>
          <w:color w:val="1a3a5c"/>
          <w:sz w:val="22"/>
        </w:rPr>
        <w:t>For more information: </w:t>
      </w:r>
      <w:r>
        <w:rPr>
          <w:color w:val="4a4a4a"/>
          <w:sz w:val="22"/>
        </w:rPr>
        <w:t>taz@netso.energy | www.netso.energy</w:t>
      </w:r>
    </w:p>
    <w:sectPr>
      <w:pgSz w:w="11906" w:h="16838"/>
      <w:pgMar w:top="720" w:right="1080" w:bottom="720" w:left="108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40" w:lineRule="auto"/>
    </w:pPr>
    <w:rPr>
      <w:rFonts w:ascii="Calibri" w:hAnsi="Calibri"/>
      <w:color w:val="1a1a1a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b2ec44478cd4bdb" /></Relationships>
</file>