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8.png" ContentType="image/png"/>
  <Override PartName="/word/media/rId50.png" ContentType="image/png"/>
  <Override PartName="/word/media/rId65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 Retrieval Augmented Generation and Network Analysis of the Epstein Files</w:t>
      </w:r>
    </w:p>
    <w:p>
      <w:pPr>
        <w:pStyle w:val="Subtitle"/>
      </w:pPr>
      <w:r>
        <w:t xml:space="preserve">DSAN 6400 Network Analytics, Professor James Hickman</w:t>
      </w:r>
    </w:p>
    <w:p>
      <w:pPr>
        <w:pStyle w:val="Author"/>
      </w:pPr>
      <w:r>
        <w:t xml:space="preserve">Tyler Blue</w:t>
      </w:r>
    </w:p>
    <w:p>
      <w:pPr>
        <w:pStyle w:val="Author"/>
      </w:pPr>
      <w:r>
        <w:t xml:space="preserve">Andrew Moy</w:t>
      </w:r>
    </w:p>
    <w:p>
      <w:pPr>
        <w:pStyle w:val="Author"/>
      </w:pPr>
      <w:r>
        <w:t xml:space="preserve">Ethan Wotring</w:t>
      </w:r>
    </w:p>
    <w:p>
      <w:pPr>
        <w:pStyle w:val="Date"/>
      </w:pPr>
      <w:r>
        <w:t xml:space="preserve">2026-08-07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Epstein files have been a high profile story in the media in recent years, and</w:t>
      </w:r>
      <w:r>
        <w:t xml:space="preserve"> </w:t>
      </w:r>
      <w:r>
        <w:t xml:space="preserve">many of its documents are public data. This paper constructs a knowledge graph</w:t>
      </w:r>
      <w:r>
        <w:t xml:space="preserve"> </w:t>
      </w:r>
      <w:r>
        <w:t xml:space="preserve">connecting entities and persons in those files to explore various techniques and</w:t>
      </w:r>
      <w:r>
        <w:t xml:space="preserve"> </w:t>
      </w:r>
      <w:r>
        <w:t xml:space="preserve">metrics in the network analytics field, such as degree, PageRank and betweenness</w:t>
      </w:r>
      <w:r>
        <w:t xml:space="preserve"> </w:t>
      </w:r>
      <w:r>
        <w:t xml:space="preserve">centrality, connected component structure, and community detection. The resulting</w:t>
      </w:r>
      <w:r>
        <w:t xml:space="preserve"> </w:t>
      </w:r>
      <w:r>
        <w:t xml:space="preserve">communication network is highly centralized. Jeffrey Epstein ranks first on every</w:t>
      </w:r>
      <w:r>
        <w:t xml:space="preserve"> </w:t>
      </w:r>
      <w:r>
        <w:t xml:space="preserve">centrality measure examined, with a weighted degree of 2,270 against 252 for the</w:t>
      </w:r>
      <w:r>
        <w:t xml:space="preserve"> </w:t>
      </w:r>
      <w:r>
        <w:t xml:space="preserve">next most active actor, and community detection within the largest weakly</w:t>
      </w:r>
      <w:r>
        <w:t xml:space="preserve"> </w:t>
      </w:r>
      <w:r>
        <w:t xml:space="preserve">connected component recovers 46 distinct communication groupings. Furthermore,</w:t>
      </w:r>
      <w:r>
        <w:t xml:space="preserve"> </w:t>
      </w:r>
      <w:r>
        <w:t xml:space="preserve">this knowledge graph is used to evaluate two retrieval augmented generation (RAG)</w:t>
      </w:r>
      <w:r>
        <w:t xml:space="preserve"> </w:t>
      </w:r>
      <w:r>
        <w:t xml:space="preserve">systems, by comparing the effectiveness of traditional semantic search against a</w:t>
      </w:r>
      <w:r>
        <w:t xml:space="preserve"> </w:t>
      </w:r>
      <w:r>
        <w:t xml:space="preserve">graph augmented RAG system. The two systems separate along the dimension the</w:t>
      </w:r>
      <w:r>
        <w:t xml:space="preserve"> </w:t>
      </w:r>
      <w:r>
        <w:t xml:space="preserve">graph was built to address. Standard RAG scores higher on single entity lookups</w:t>
      </w:r>
      <w:r>
        <w:t xml:space="preserve"> </w:t>
      </w:r>
      <w:r>
        <w:t xml:space="preserve">(7.4 against 6.8), while GraphRAG nearly doubles its score on one hop relational</w:t>
      </w:r>
      <w:r>
        <w:t xml:space="preserve"> </w:t>
      </w:r>
      <w:r>
        <w:t xml:space="preserve">questions (6.8 against 3.6) and leads on two hop questions (5.0 against 4.0).</w:t>
      </w:r>
      <w:r>
        <w:t xml:space="preserve"> </w:t>
      </w:r>
      <w:r>
        <w:t xml:space="preserve">Ultimately, neither system dominates outright, and the graph earns its cost</w:t>
      </w:r>
      <w:r>
        <w:t xml:space="preserve"> </w:t>
      </w:r>
      <w:r>
        <w:t xml:space="preserve">precisely where semantic similarity has nothing to retrieve on, meaning questions</w:t>
      </w:r>
      <w:r>
        <w:t xml:space="preserve"> </w:t>
      </w:r>
      <w:r>
        <w:t xml:space="preserve">about how two entities are connected rather than what a single document says.</w:t>
      </w:r>
    </w:p>
    <w:bookmarkEnd w:id="20"/>
    <w:bookmarkStart w:id="21" w:name="introduction-and-literature-review"/>
    <w:p>
      <w:pPr>
        <w:pStyle w:val="Heading1"/>
      </w:pPr>
      <w:r>
        <w:t xml:space="preserve">1. Introduction and Literature Review</w:t>
      </w:r>
    </w:p>
    <w:p>
      <w:pPr>
        <w:pStyle w:val="FirstParagraph"/>
      </w:pPr>
      <w:r>
        <w:t xml:space="preserve">Over the past several years, the collection of documents known as the</w:t>
      </w:r>
      <w:r>
        <w:t xml:space="preserve"> </w:t>
      </w:r>
      <w:r>
        <w:t xml:space="preserve">‘Epstein</w:t>
      </w:r>
      <w:r>
        <w:t xml:space="preserve"> </w:t>
      </w:r>
      <w:r>
        <w:t xml:space="preserve">Files’</w:t>
      </w:r>
      <w:r>
        <w:t xml:space="preserve"> </w:t>
      </w:r>
      <w:r>
        <w:t xml:space="preserve">has become a widely scrutinized body of records. The size of this</w:t>
      </w:r>
      <w:r>
        <w:t xml:space="preserve"> </w:t>
      </w:r>
      <w:r>
        <w:t xml:space="preserve">collection has steadily grown through documents released in court proceedings or</w:t>
      </w:r>
      <w:r>
        <w:t xml:space="preserve"> </w:t>
      </w:r>
      <w:r>
        <w:t xml:space="preserve">released by congress, today spanning thousands of emails and various related</w:t>
      </w:r>
      <w:r>
        <w:t xml:space="preserve"> </w:t>
      </w:r>
      <w:r>
        <w:t xml:space="preserve">documents. Analysis of this large dataset is a challenging academic task due to</w:t>
      </w:r>
      <w:r>
        <w:t xml:space="preserve"> </w:t>
      </w:r>
      <w:r>
        <w:t xml:space="preserve">the scale and lack of structure of the documents. Questions such as</w:t>
      </w:r>
      <w:r>
        <w:t xml:space="preserve"> </w:t>
      </w:r>
      <w:r>
        <w:t xml:space="preserve">‘who</w:t>
      </w:r>
      <w:r>
        <w:t xml:space="preserve"> </w:t>
      </w:r>
      <w:r>
        <w:t xml:space="preserve">communicated with whom’</w:t>
      </w:r>
      <w:r>
        <w:t xml:space="preserve"> </w:t>
      </w:r>
      <w:r>
        <w:t xml:space="preserve">and</w:t>
      </w:r>
      <w:r>
        <w:t xml:space="preserve"> </w:t>
      </w:r>
      <w:r>
        <w:t xml:space="preserve">‘who was involved in this event’</w:t>
      </w:r>
      <w:r>
        <w:t xml:space="preserve"> </w:t>
      </w:r>
      <w:r>
        <w:t xml:space="preserve">cannot be answered</w:t>
      </w:r>
      <w:r>
        <w:t xml:space="preserve"> </w:t>
      </w:r>
      <w:r>
        <w:t xml:space="preserve">by a single document or email, and instead require the traversal through a</w:t>
      </w:r>
      <w:r>
        <w:t xml:space="preserve"> </w:t>
      </w:r>
      <w:r>
        <w:t xml:space="preserve">complicated web of interconnected events, establishments, and people.</w:t>
      </w:r>
      <w:r>
        <w:t xml:space="preserve"> </w:t>
      </w:r>
      <w:r>
        <w:t xml:space="preserve">Edge et al. (2024)</w:t>
      </w:r>
      <w:r>
        <w:t xml:space="preserve"> </w:t>
      </w:r>
      <w:r>
        <w:t xml:space="preserve">notes that queries directed at an entire corpus rather than at</w:t>
      </w:r>
      <w:r>
        <w:t xml:space="preserve"> </w:t>
      </w:r>
      <w:r>
        <w:t xml:space="preserve">any individual record are often a failure point in context retrieval systems.</w:t>
      </w:r>
    </w:p>
    <w:p>
      <w:pPr>
        <w:pStyle w:val="BodyText"/>
      </w:pPr>
      <w:r>
        <w:t xml:space="preserve">These characteristics make the Epstein Files a natural candidate for network</w:t>
      </w:r>
      <w:r>
        <w:t xml:space="preserve"> </w:t>
      </w:r>
      <w:r>
        <w:t xml:space="preserve">analysis. Rather than reading through thousands of documents to identify</w:t>
      </w:r>
      <w:r>
        <w:t xml:space="preserve"> </w:t>
      </w:r>
      <w:r>
        <w:t xml:space="preserve">structure and relationships, named entities can be extracted from documents and</w:t>
      </w:r>
      <w:r>
        <w:t xml:space="preserve"> </w:t>
      </w:r>
      <w:r>
        <w:t xml:space="preserve">linked together based on their online communications and connections</w:t>
      </w:r>
      <w:r>
        <w:t xml:space="preserve"> </w:t>
      </w:r>
      <w:r>
        <w:t xml:space="preserve">(X. Han et al. 2020)</w:t>
      </w:r>
      <w:r>
        <w:t xml:space="preserve">. Fundamental concepts of network analytics such as centrality</w:t>
      </w:r>
      <w:r>
        <w:t xml:space="preserve"> </w:t>
      </w:r>
      <w:r>
        <w:t xml:space="preserve">and community detection can help researchers discover influential groupings and</w:t>
      </w:r>
      <w:r>
        <w:t xml:space="preserve"> </w:t>
      </w:r>
      <w:r>
        <w:t xml:space="preserve">make connections between those involved. Organizing extracted entities and</w:t>
      </w:r>
      <w:r>
        <w:t xml:space="preserve"> </w:t>
      </w:r>
      <w:r>
        <w:t xml:space="preserve">relations into a knowledge graph is a well established way to integrate evidence</w:t>
      </w:r>
      <w:r>
        <w:t xml:space="preserve"> </w:t>
      </w:r>
      <w:r>
        <w:t xml:space="preserve">spread across heterogeneous, unstructured sources</w:t>
      </w:r>
      <w:r>
        <w:t xml:space="preserve"> </w:t>
      </w:r>
      <w:r>
        <w:t xml:space="preserve">(Hogan et al. 2021)</w:t>
      </w:r>
      <w:r>
        <w:t xml:space="preserve">.</w:t>
      </w:r>
    </w:p>
    <w:p>
      <w:pPr>
        <w:pStyle w:val="BodyText"/>
      </w:pPr>
      <w:r>
        <w:t xml:space="preserve">Furthermore, by constructing a knowledge graph of the Epstein Files, a RAG system</w:t>
      </w:r>
      <w:r>
        <w:t xml:space="preserve"> </w:t>
      </w:r>
      <w:r>
        <w:t xml:space="preserve">can be augmented with additional context and information. Typically, RAG systems</w:t>
      </w:r>
      <w:r>
        <w:t xml:space="preserve"> </w:t>
      </w:r>
      <w:r>
        <w:t xml:space="preserve">rely on semantic search through vector databases to identify relevant context to</w:t>
      </w:r>
      <w:r>
        <w:t xml:space="preserve"> </w:t>
      </w:r>
      <w:r>
        <w:t xml:space="preserve">a given query</w:t>
      </w:r>
      <w:r>
        <w:t xml:space="preserve"> </w:t>
      </w:r>
      <w:r>
        <w:t xml:space="preserve">(Lewis et al. 2020)</w:t>
      </w:r>
      <w:r>
        <w:t xml:space="preserve">. This makes it difficult to connect entities</w:t>
      </w:r>
      <w:r>
        <w:t xml:space="preserve"> </w:t>
      </w:r>
      <w:r>
        <w:t xml:space="preserve">through intermediaries. For example, two persons may be closely involved with a</w:t>
      </w:r>
      <w:r>
        <w:t xml:space="preserve"> </w:t>
      </w:r>
      <w:r>
        <w:t xml:space="preserve">specific organization, but exchange emails only with said organization, never</w:t>
      </w:r>
      <w:r>
        <w:t xml:space="preserve"> </w:t>
      </w:r>
      <w:r>
        <w:t xml:space="preserve">sharing emails between each other. A network is able to capture the relationship</w:t>
      </w:r>
      <w:r>
        <w:t xml:space="preserve"> </w:t>
      </w:r>
      <w:r>
        <w:t xml:space="preserve">between these people by identifying the organization as the intermediary, whereas</w:t>
      </w:r>
      <w:r>
        <w:t xml:space="preserve"> </w:t>
      </w:r>
      <w:r>
        <w:t xml:space="preserve">a semantic search would be completely ignorant to it.</w:t>
      </w:r>
    </w:p>
    <w:p>
      <w:pPr>
        <w:pStyle w:val="BodyText"/>
      </w:pPr>
      <w:r>
        <w:t xml:space="preserve">This paper leverages the idea of</w:t>
      </w:r>
      <w:r>
        <w:t xml:space="preserve"> </w:t>
      </w:r>
      <w:r>
        <w:t xml:space="preserve">‘GraphRAG’</w:t>
      </w:r>
      <w:r>
        <w:t xml:space="preserve"> </w:t>
      </w:r>
      <w:r>
        <w:t xml:space="preserve">(Edge et al. 2024)</w:t>
      </w:r>
      <w:r>
        <w:t xml:space="preserve"> </w:t>
      </w:r>
      <w:r>
        <w:t xml:space="preserve">to improve the</w:t>
      </w:r>
      <w:r>
        <w:t xml:space="preserve"> </w:t>
      </w:r>
      <w:r>
        <w:t xml:space="preserve">performance of a simple query based RAG system. It involves mining contrived</w:t>
      </w:r>
      <w:r>
        <w:t xml:space="preserve"> </w:t>
      </w:r>
      <w:r>
        <w:t xml:space="preserve">examples from the curated network itself to demonstrate the inability of vector</w:t>
      </w:r>
      <w:r>
        <w:t xml:space="preserve"> </w:t>
      </w:r>
      <w:r>
        <w:t xml:space="preserve">RAG to reproduce the same results, but is then used to answer custom queries from</w:t>
      </w:r>
      <w:r>
        <w:t xml:space="preserve"> </w:t>
      </w:r>
      <w:r>
        <w:t xml:space="preserve">the user via a command line interface. Test results are scored via large language</w:t>
      </w:r>
      <w:r>
        <w:t xml:space="preserve"> </w:t>
      </w:r>
      <w:r>
        <w:t xml:space="preserve">model and human judgement.</w:t>
      </w:r>
      <w:r>
        <w:t xml:space="preserve"> </w:t>
      </w:r>
      <w:r>
        <w:t xml:space="preserve">H. Han et al. (2025)</w:t>
      </w:r>
      <w:r>
        <w:t xml:space="preserve"> </w:t>
      </w:r>
      <w:r>
        <w:t xml:space="preserve">show that neither system</w:t>
      </w:r>
      <w:r>
        <w:t xml:space="preserve"> </w:t>
      </w:r>
      <w:r>
        <w:t xml:space="preserve">dominates outright, with each having distinct strengths by task. Fair comparison</w:t>
      </w:r>
      <w:r>
        <w:t xml:space="preserve"> </w:t>
      </w:r>
      <w:r>
        <w:t xml:space="preserve">requires a unified protocol across both systems, which we adopt by sharing the</w:t>
      </w:r>
      <w:r>
        <w:t xml:space="preserve"> </w:t>
      </w:r>
      <w:r>
        <w:t xml:space="preserve">same model, prompt, and generation parameters.</w:t>
      </w:r>
    </w:p>
    <w:bookmarkEnd w:id="21"/>
    <w:bookmarkStart w:id="60" w:name="methods"/>
    <w:p>
      <w:pPr>
        <w:pStyle w:val="Heading1"/>
      </w:pPr>
      <w:r>
        <w:t xml:space="preserve">2. Methods</w:t>
      </w:r>
    </w:p>
    <w:bookmarkStart w:id="30" w:name="corpus"/>
    <w:p>
      <w:pPr>
        <w:pStyle w:val="Heading2"/>
      </w:pPr>
      <w:r>
        <w:t xml:space="preserve">2.1 Corpus</w:t>
      </w:r>
    </w:p>
    <w:bookmarkStart w:id="22" w:name="source-and-format"/>
    <w:p>
      <w:pPr>
        <w:pStyle w:val="Heading3"/>
      </w:pPr>
      <w:r>
        <w:t xml:space="preserve">2.1.1 Source and Format</w:t>
      </w:r>
    </w:p>
    <w:p>
      <w:pPr>
        <w:pStyle w:val="FirstParagraph"/>
      </w:pPr>
      <w:r>
        <w:t xml:space="preserve">The data utilized in this project was sourced from the House Committee on</w:t>
      </w:r>
      <w:r>
        <w:t xml:space="preserve"> </w:t>
      </w:r>
      <w:r>
        <w:t xml:space="preserve">Oversight and Government Reform’s 12 Nov 2025 release of 2,897 documents</w:t>
      </w:r>
      <w:r>
        <w:t xml:space="preserve"> </w:t>
      </w:r>
      <w:r>
        <w:t xml:space="preserve">(U.S. House Committee on Oversight and Government Reform 2025)</w:t>
      </w:r>
      <w:r>
        <w:t xml:space="preserve">. These documents were subpoenaed from the Department of</w:t>
      </w:r>
      <w:r>
        <w:t xml:space="preserve"> </w:t>
      </w:r>
      <w:r>
        <w:t xml:space="preserve">Justice and contain tens of thousands of pages of records, emails, and photos</w:t>
      </w:r>
      <w:r>
        <w:t xml:space="preserve"> </w:t>
      </w:r>
      <w:r>
        <w:t xml:space="preserve">from Jeffrey Epstein’s estate.</w:t>
      </w:r>
    </w:p>
    <w:p>
      <w:pPr>
        <w:pStyle w:val="BodyText"/>
      </w:pPr>
      <w:r>
        <w:t xml:space="preserve">The documents were obtained as an eDiscovery collection, which is a structured</w:t>
      </w:r>
      <w:r>
        <w:t xml:space="preserve"> </w:t>
      </w:r>
      <w:r>
        <w:t xml:space="preserve">collection of files typically used in the legal sector. One distinct</w:t>
      </w:r>
      <w:r>
        <w:t xml:space="preserve"> </w:t>
      </w:r>
      <w:r>
        <w:t xml:space="preserve">characteristic of this file organization is that they are shipped with load files</w:t>
      </w:r>
      <w:r>
        <w:t xml:space="preserve"> </w:t>
      </w:r>
      <w:r>
        <w:t xml:space="preserve">containing per-document metadata. They are identified with a unique stamp and a</w:t>
      </w:r>
      <w:r>
        <w:t xml:space="preserve"> </w:t>
      </w:r>
      <w:r>
        <w:t xml:space="preserve">“Bates”</w:t>
      </w:r>
      <w:r>
        <w:t xml:space="preserve"> </w:t>
      </w:r>
      <w:r>
        <w:t xml:space="preserve">number on the first page of each document. It was also found that page</w:t>
      </w:r>
      <w:r>
        <w:t xml:space="preserve"> </w:t>
      </w:r>
      <w:r>
        <w:t xml:space="preserve">text was Optical Character Recognition (OCR) output of scanned documents.</w:t>
      </w:r>
    </w:p>
    <w:bookmarkEnd w:id="22"/>
    <w:bookmarkStart w:id="24" w:name="corpus-profiling"/>
    <w:p>
      <w:pPr>
        <w:pStyle w:val="Heading3"/>
      </w:pPr>
      <w:r>
        <w:t xml:space="preserve">2.1.2 Corpus Profiling</w:t>
      </w:r>
    </w:p>
    <w:p>
      <w:pPr>
        <w:pStyle w:val="FirstParagraph"/>
      </w:pPr>
      <w:r>
        <w:t xml:space="preserve">Due to the presence of OCR in the data aggregation, the corpus was profiled on</w:t>
      </w:r>
      <w:r>
        <w:t xml:space="preserve"> </w:t>
      </w:r>
      <w:r>
        <w:t xml:space="preserve">two independent axes. The first was</w:t>
      </w:r>
      <w:r>
        <w:t xml:space="preserve"> </w:t>
      </w:r>
      <w:r>
        <w:t xml:space="preserve">“OCR quality”</w:t>
      </w:r>
      <w:r>
        <w:t xml:space="preserve">, to answer whether the</w:t>
      </w:r>
      <w:r>
        <w:t xml:space="preserve"> </w:t>
      </w:r>
      <w:r>
        <w:t xml:space="preserve">characters came off the page correctly. The second was</w:t>
      </w:r>
      <w:r>
        <w:t xml:space="preserve"> </w:t>
      </w:r>
      <w:r>
        <w:t xml:space="preserve">“Text style”</w:t>
      </w:r>
      <w:r>
        <w:t xml:space="preserve">, to identify</w:t>
      </w:r>
      <w:r>
        <w:t xml:space="preserve"> </w:t>
      </w:r>
      <w:r>
        <w:t xml:space="preserve">whether the document has prose.</w:t>
      </w:r>
    </w:p>
    <w:p>
      <w:pPr>
        <w:pStyle w:val="BodyText"/>
      </w:pPr>
      <w:r>
        <w:t xml:space="preserve">OCR quality was measured from two character level signals. The first, the</w:t>
      </w:r>
      <w:r>
        <w:t xml:space="preserve"> </w:t>
      </w:r>
      <w:r>
        <w:t xml:space="preserve">vowel-less type ratio, is the share of a document’s distinct words containing no</w:t>
      </w:r>
      <w:r>
        <w:t xml:space="preserve"> </w:t>
      </w:r>
      <w:r>
        <w:t xml:space="preserve">vowels and is helpful in identifying noise in the documents. The second, the</w:t>
      </w:r>
      <w:r>
        <w:t xml:space="preserve"> </w:t>
      </w:r>
      <w:r>
        <w:t xml:space="preserve">non-word character ratio, is the share of a document’s uncommon characters, and is</w:t>
      </w:r>
      <w:r>
        <w:t xml:space="preserve"> </w:t>
      </w:r>
      <w:r>
        <w:t xml:space="preserve">helpful at identifying non-prose.</w:t>
      </w:r>
    </w:p>
    <w:p>
      <w:pPr>
        <w:pStyle w:val="BodyText"/>
      </w:pPr>
      <w:r>
        <w:t xml:space="preserve">Text style was measured from the common-word ratio, the share of tokens that are</w:t>
      </w:r>
      <w:r>
        <w:t xml:space="preserve"> </w:t>
      </w:r>
      <w:r>
        <w:t xml:space="preserve">common English function words. This metric identified documents that contained</w:t>
      </w:r>
      <w:r>
        <w:t xml:space="preserve"> </w:t>
      </w:r>
      <w:r>
        <w:t xml:space="preserve">running prose (ie conversations) instead of signature blocks, financial tables, or</w:t>
      </w:r>
      <w:r>
        <w:t xml:space="preserve"> </w:t>
      </w:r>
      <w:r>
        <w:t xml:space="preserve">recipient lists.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profil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Document profiling flags (n = 2,897).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Documents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OCR quality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garble signal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2,763 (95.4%)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noisy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some garble, still readable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 (3.5%)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heavily garbled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 (1.1%)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empty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effectively no text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 (&lt;0.1%)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Text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running text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2,100 (72.5%)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mixed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prose, part listing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122 (4.2%)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sparse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few function words, such as tables, signature blocks and lists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 (1.7%)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too few words to classify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626 (21.6%)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Documents that were flagged</w:t>
      </w:r>
      <w:r>
        <w:t xml:space="preserve"> </w:t>
      </w:r>
      <w:r>
        <w:t xml:space="preserve">“poor”</w:t>
      </w:r>
      <w:r>
        <w:t xml:space="preserve"> </w:t>
      </w:r>
      <w:r>
        <w:t xml:space="preserve">or</w:t>
      </w:r>
      <w:r>
        <w:t xml:space="preserve"> </w:t>
      </w:r>
      <w:r>
        <w:t xml:space="preserve">“empty”</w:t>
      </w:r>
      <w:r>
        <w:t xml:space="preserve"> </w:t>
      </w:r>
      <w:r>
        <w:t xml:space="preserve">were excluded from the entity</w:t>
      </w:r>
      <w:r>
        <w:t xml:space="preserve"> </w:t>
      </w:r>
      <w:r>
        <w:t xml:space="preserve">extraction, leaving 2,863 (98.8%) of the original 2,897.</w:t>
      </w:r>
    </w:p>
    <w:bookmarkEnd w:id="24"/>
    <w:bookmarkStart w:id="29" w:name="metadata-findings"/>
    <w:p>
      <w:pPr>
        <w:pStyle w:val="Heading3"/>
      </w:pPr>
      <w:r>
        <w:t xml:space="preserve">2.1.3 Metadata Findings</w:t>
      </w:r>
    </w:p>
    <w:p>
      <w:pPr>
        <w:pStyle w:val="FirstParagraph"/>
      </w:pPr>
      <w:r>
        <w:t xml:space="preserve">The finding that shaped the rest of the ingestion pipeline was that the load file</w:t>
      </w:r>
      <w:r>
        <w:t xml:space="preserve"> </w:t>
      </w:r>
      <w:r>
        <w:t xml:space="preserve">only tagged 64 documents as emails, while the OCR text contained 4,039 email</w:t>
      </w:r>
      <w:r>
        <w:t xml:space="preserve"> </w:t>
      </w:r>
      <w:r>
        <w:t xml:space="preserve">header blocks across 2,208 documents. A communication network built from the</w:t>
      </w:r>
      <w:r>
        <w:t xml:space="preserve"> </w:t>
      </w:r>
      <w:r>
        <w:t xml:space="preserve">load file fields alone would not capture all of the correspondence that is</w:t>
      </w:r>
      <w:r>
        <w:t xml:space="preserve"> </w:t>
      </w:r>
      <w:r>
        <w:t xml:space="preserve">actually present.</w:t>
      </w:r>
      <w:r>
        <w:t xml:space="preserve"> </w:t>
      </w:r>
      <w:hyperlink w:anchor="fig-metadata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coverage of each load file field across</w:t>
      </w:r>
      <w:r>
        <w:t xml:space="preserve"> </w:t>
      </w:r>
      <w:r>
        <w:t xml:space="preserve">the release. While structural fields such as custodian and Bates range are fully</w:t>
      </w:r>
      <w:r>
        <w:t xml:space="preserve"> </w:t>
      </w:r>
      <w:r>
        <w:t xml:space="preserve">populated, the email-specific fields that a communication network would depend on</w:t>
      </w:r>
      <w:r>
        <w:t xml:space="preserve"> </w:t>
      </w:r>
      <w:r>
        <w:t xml:space="preserve">are populated for only 2% of documents.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metadata"/>
          <w:p>
            <w:pPr>
              <w:pStyle w:val="Compact"/>
              <w:jc w:val="center"/>
            </w:pPr>
            <w:r>
              <w:drawing>
                <wp:inline>
                  <wp:extent cx="4533900" cy="438886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02_metadata_coverag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4388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Load-file field coverage across the release. The email routing fields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email_from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email_to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email_cc</w:t>
            </w:r>
            <w:r>
              <w:t xml:space="preserve">) are effectively empty, which is why the</w:t>
            </w:r>
            <w:r>
              <w:t xml:space="preserve"> </w:t>
            </w:r>
            <w:r>
              <w:t xml:space="preserve">communication network is reconstructed from OCR text rather than</w:t>
            </w:r>
            <w:r>
              <w:t xml:space="preserve"> </w:t>
            </w:r>
            <w:r>
              <w:t xml:space="preserve">metadata.</w:t>
            </w:r>
          </w:p>
          <w:bookmarkEnd w:id="28"/>
        </w:tc>
      </w:tr>
    </w:tbl>
    <w:bookmarkEnd w:id="29"/>
    <w:bookmarkEnd w:id="30"/>
    <w:bookmarkStart w:id="34" w:name="corpus-preparation"/>
    <w:p>
      <w:pPr>
        <w:pStyle w:val="Heading2"/>
      </w:pPr>
      <w:r>
        <w:t xml:space="preserve">2.2 Corpus Preparation</w:t>
      </w:r>
    </w:p>
    <w:bookmarkStart w:id="31" w:name="load-file-parsing-and-document-identity"/>
    <w:p>
      <w:pPr>
        <w:pStyle w:val="Heading3"/>
      </w:pPr>
      <w:r>
        <w:t xml:space="preserve">2.2.1 Load-file parsing and document identity</w:t>
      </w:r>
    </w:p>
    <w:p>
      <w:pPr>
        <w:pStyle w:val="FirstParagraph"/>
      </w:pPr>
      <w:r>
        <w:t xml:space="preserve">To start the corpus preparation, the metadata files of the document release were</w:t>
      </w:r>
      <w:r>
        <w:t xml:space="preserve"> </w:t>
      </w:r>
      <w:r>
        <w:t xml:space="preserve">parsed and joined to the OCR text to produce a document manifest. This manifest is</w:t>
      </w:r>
      <w:r>
        <w:t xml:space="preserve"> </w:t>
      </w:r>
      <w:r>
        <w:t xml:space="preserve">keyed on the Bates identification and contains page ranges, per-page text offsets,</w:t>
      </w:r>
      <w:r>
        <w:t xml:space="preserve"> </w:t>
      </w:r>
      <w:r>
        <w:t xml:space="preserve">and metadata fields.</w:t>
      </w:r>
    </w:p>
    <w:bookmarkEnd w:id="31"/>
    <w:bookmarkStart w:id="32" w:name="Xc8361d2bf6805f633414c5882d3f8d933008a25"/>
    <w:p>
      <w:pPr>
        <w:pStyle w:val="Heading3"/>
      </w:pPr>
      <w:r>
        <w:t xml:space="preserve">2.2.2 Text normalization with offset preservation</w:t>
      </w:r>
    </w:p>
    <w:p>
      <w:pPr>
        <w:pStyle w:val="FirstParagraph"/>
      </w:pPr>
      <w:r>
        <w:t xml:space="preserve">A large hurdle in this project was determining how to cite cleaned text, as any</w:t>
      </w:r>
      <w:r>
        <w:t xml:space="preserve"> </w:t>
      </w:r>
      <w:r>
        <w:t xml:space="preserve">transformation applied to a document will result in a citation to the clean</w:t>
      </w:r>
      <w:r>
        <w:t xml:space="preserve"> </w:t>
      </w:r>
      <w:r>
        <w:t xml:space="preserve">document, not the source. Therefore, every cleaning step was recorded as an edit</w:t>
      </w:r>
      <w:r>
        <w:t xml:space="preserve"> </w:t>
      </w:r>
      <w:r>
        <w:t xml:space="preserve">over the raw text and applied in a single pass. This produced a table that</w:t>
      </w:r>
      <w:r>
        <w:t xml:space="preserve"> </w:t>
      </w:r>
      <w:r>
        <w:t xml:space="preserve">supports direct mapping from cleaned to raw text. As a result of this process, 97%</w:t>
      </w:r>
      <w:r>
        <w:t xml:space="preserve"> </w:t>
      </w:r>
      <w:r>
        <w:t xml:space="preserve">(3,915 of 4,050) of email edges carry an exact page citation, greatly supporting</w:t>
      </w:r>
      <w:r>
        <w:t xml:space="preserve"> </w:t>
      </w:r>
      <w:r>
        <w:t xml:space="preserve">the source document tracing produced later in this paper.</w:t>
      </w:r>
    </w:p>
    <w:bookmarkEnd w:id="32"/>
    <w:bookmarkStart w:id="33" w:name="email-header-parsing"/>
    <w:p>
      <w:pPr>
        <w:pStyle w:val="Heading3"/>
      </w:pPr>
      <w:r>
        <w:t xml:space="preserve">2.2.3 Email header parsing</w:t>
      </w:r>
    </w:p>
    <w:p>
      <w:pPr>
        <w:pStyle w:val="FirstParagraph"/>
      </w:pPr>
      <w:r>
        <w:t xml:space="preserve">Email header blocks were extracted from the normalized text using a deterministic</w:t>
      </w:r>
      <w:r>
        <w:t xml:space="preserve"> </w:t>
      </w:r>
      <w:r>
        <w:t xml:space="preserve">parser that semantically identifies the key identifiers of email headers (</w:t>
      </w:r>
      <w:r>
        <w:t xml:space="preserve">“From:”</w:t>
      </w:r>
      <w:r>
        <w:t xml:space="preserve">,</w:t>
      </w:r>
      <w:r>
        <w:t xml:space="preserve"> </w:t>
      </w:r>
      <w:r>
        <w:t xml:space="preserve">“To:”</w:t>
      </w:r>
      <w:r>
        <w:t xml:space="preserve">,</w:t>
      </w:r>
      <w:r>
        <w:t xml:space="preserve"> </w:t>
      </w:r>
      <w:r>
        <w:t xml:space="preserve">“Cc:”</w:t>
      </w:r>
      <w:r>
        <w:t xml:space="preserve">,</w:t>
      </w:r>
      <w:r>
        <w:t xml:space="preserve"> </w:t>
      </w:r>
      <w:r>
        <w:t xml:space="preserve">“Sent:”</w:t>
      </w:r>
      <w:r>
        <w:t xml:space="preserve">, etc.). Additionally, the parser splits recipient lists</w:t>
      </w:r>
      <w:r>
        <w:t xml:space="preserve"> </w:t>
      </w:r>
      <w:r>
        <w:t xml:space="preserve">without breaking common</w:t>
      </w:r>
      <w:r>
        <w:t xml:space="preserve"> </w:t>
      </w:r>
      <w:r>
        <w:t xml:space="preserve">“Last, First”</w:t>
      </w:r>
      <w:r>
        <w:t xml:space="preserve"> </w:t>
      </w:r>
      <w:r>
        <w:t xml:space="preserve">display names and repairs common OCR</w:t>
      </w:r>
      <w:r>
        <w:t xml:space="preserve"> </w:t>
      </w:r>
      <w:r>
        <w:t xml:space="preserve">corruption mistakes.</w:t>
      </w:r>
    </w:p>
    <w:p>
      <w:pPr>
        <w:pStyle w:val="BodyText"/>
      </w:pPr>
      <w:r>
        <w:t xml:space="preserve">Each email received a unique identification along with features such as sender,</w:t>
      </w:r>
      <w:r>
        <w:t xml:space="preserve"> </w:t>
      </w:r>
      <w:r>
        <w:t xml:space="preserve">sorted recipients, subject, and timestamp. This allowed for the deduplication of</w:t>
      </w:r>
      <w:r>
        <w:t xml:space="preserve"> </w:t>
      </w:r>
      <w:r>
        <w:t xml:space="preserve">forwarded copies of emails. As a result, 3,248 unique messages were obtained, of</w:t>
      </w:r>
      <w:r>
        <w:t xml:space="preserve"> </w:t>
      </w:r>
      <w:r>
        <w:t xml:space="preserve">which 2,704 carried both a sender and a recipient, crucial for edge construction.</w:t>
      </w:r>
    </w:p>
    <w:bookmarkEnd w:id="33"/>
    <w:bookmarkEnd w:id="34"/>
    <w:bookmarkStart w:id="44" w:name="entity-extraction"/>
    <w:p>
      <w:pPr>
        <w:pStyle w:val="Heading2"/>
      </w:pPr>
      <w:r>
        <w:t xml:space="preserve">2.3 Entity Extraction</w:t>
      </w:r>
    </w:p>
    <w:bookmarkStart w:id="35" w:name="strategy-and-systems"/>
    <w:p>
      <w:pPr>
        <w:pStyle w:val="Heading3"/>
      </w:pPr>
      <w:r>
        <w:t xml:space="preserve">2.3.1 Strategy and Systems</w:t>
      </w:r>
    </w:p>
    <w:p>
      <w:pPr>
        <w:pStyle w:val="FirstParagraph"/>
      </w:pPr>
      <w:r>
        <w:t xml:space="preserve">With multiple systems available for entity extraction, the project team found it</w:t>
      </w:r>
      <w:r>
        <w:t xml:space="preserve"> </w:t>
      </w:r>
      <w:r>
        <w:t xml:space="preserve">pertinent to evaluate multiple to make an informed decision on which to implement</w:t>
      </w:r>
      <w:r>
        <w:t xml:space="preserve"> </w:t>
      </w:r>
      <w:r>
        <w:t xml:space="preserve">for the final product. Entity extraction targeted three types, namely PERSON,</w:t>
      </w:r>
      <w:r>
        <w:t xml:space="preserve"> </w:t>
      </w:r>
      <w:r>
        <w:t xml:space="preserve">Organization (ORG), and Geopolitical Entity (GPE). The first system for entity</w:t>
      </w:r>
      <w:r>
        <w:t xml:space="preserve"> </w:t>
      </w:r>
      <w:r>
        <w:t xml:space="preserve">extraction was the spaCy Python library</w:t>
      </w:r>
      <w:r>
        <w:t xml:space="preserve"> </w:t>
      </w:r>
      <w:r>
        <w:t xml:space="preserve">(Honnibal et al. 2020)</w:t>
      </w:r>
      <w:r>
        <w:t xml:space="preserve">, specifically the</w:t>
      </w:r>
      <w:r>
        <w:t xml:space="preserve"> </w:t>
      </w:r>
      <w:r>
        <w:rPr>
          <w:rStyle w:val="VerbatimChar"/>
        </w:rPr>
        <w:t xml:space="preserve">en_core_web_lg</w:t>
      </w:r>
      <w:r>
        <w:t xml:space="preserve"> </w:t>
      </w:r>
      <w:r>
        <w:t xml:space="preserve">model. The benefits of this approach were that it only costs</w:t>
      </w:r>
      <w:r>
        <w:t xml:space="preserve"> </w:t>
      </w:r>
      <w:r>
        <w:t xml:space="preserve">compute, is local, and takes about 35 minutes to run over the corpus. The second</w:t>
      </w:r>
      <w:r>
        <w:t xml:space="preserve"> </w:t>
      </w:r>
      <w:r>
        <w:t xml:space="preserve">system for entity extraction was a direct LLM extraction using</w:t>
      </w:r>
      <w:r>
        <w:t xml:space="preserve"> </w:t>
      </w:r>
      <w:r>
        <w:rPr>
          <w:rStyle w:val="VerbatimChar"/>
        </w:rPr>
        <w:t xml:space="preserve">claude-sonnet-5</w:t>
      </w:r>
      <w:r>
        <w:t xml:space="preserve"> </w:t>
      </w:r>
      <w:r>
        <w:t xml:space="preserve">across the three-type set. While this approach is able to gather context more</w:t>
      </w:r>
      <w:r>
        <w:t xml:space="preserve"> </w:t>
      </w:r>
      <w:r>
        <w:t xml:space="preserve">effectively than the spaCy model, the cost is higher and would require a batch run</w:t>
      </w:r>
      <w:r>
        <w:t xml:space="preserve"> </w:t>
      </w:r>
      <w:r>
        <w:t xml:space="preserve">for the entire corpus. The last approach was a hybrid extraction, where an LLM was</w:t>
      </w:r>
      <w:r>
        <w:t xml:space="preserve"> </w:t>
      </w:r>
      <w:r>
        <w:t xml:space="preserve">given the text and spaCy candidates and allowed to confirm, correct, reject, and</w:t>
      </w:r>
      <w:r>
        <w:t xml:space="preserve"> </w:t>
      </w:r>
      <w:r>
        <w:t xml:space="preserve">add entities.</w:t>
      </w:r>
    </w:p>
    <w:bookmarkEnd w:id="35"/>
    <w:bookmarkStart w:id="36" w:name="evaluation-design"/>
    <w:p>
      <w:pPr>
        <w:pStyle w:val="Heading3"/>
      </w:pPr>
      <w:r>
        <w:t xml:space="preserve">2.3.2 Evaluation Design</w:t>
      </w:r>
    </w:p>
    <w:p>
      <w:pPr>
        <w:pStyle w:val="FirstParagraph"/>
      </w:pPr>
      <w:r>
        <w:t xml:space="preserve">In order to evaluate the three extraction systems, 35 documents were sampled from</w:t>
      </w:r>
      <w:r>
        <w:t xml:space="preserve"> </w:t>
      </w:r>
      <w:r>
        <w:t xml:space="preserve">the corpus and stratified on OCR quality and text style derived in the corpus</w:t>
      </w:r>
      <w:r>
        <w:t xml:space="preserve"> </w:t>
      </w:r>
      <w:r>
        <w:t xml:space="preserve">profiling. Additionally, the sample was restricted to a band of 150 to 1,500 words to</w:t>
      </w:r>
      <w:r>
        <w:t xml:space="preserve"> </w:t>
      </w:r>
      <w:r>
        <w:t xml:space="preserve">limit the total number of entities extracted. This limitation was implemented</w:t>
      </w:r>
      <w:r>
        <w:t xml:space="preserve"> </w:t>
      </w:r>
      <w:r>
        <w:t xml:space="preserve">because outputs from all three systems were pooled per document and judged at the</w:t>
      </w:r>
      <w:r>
        <w:t xml:space="preserve"> </w:t>
      </w:r>
      <w:r>
        <w:t xml:space="preserve">entity level. Two annotators determined y/n judgements of blinded, shuffled</w:t>
      </w:r>
      <w:r>
        <w:t xml:space="preserve"> </w:t>
      </w:r>
      <w:r>
        <w:t xml:space="preserve">results across 1,568 judgements.</w:t>
      </w:r>
    </w:p>
    <w:p>
      <w:pPr>
        <w:pStyle w:val="BodyText"/>
      </w:pPr>
      <w:r>
        <w:t xml:space="preserve">Annotator agreement was a limitation, with Cohen’s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= 0.384 over 260</w:t>
      </w:r>
      <w:r>
        <w:t xml:space="preserve"> </w:t>
      </w:r>
      <w:r>
        <w:t xml:space="preserve">shared rows. The disagreement was concentrated in ORG and was one-directional,</w:t>
      </w:r>
      <w:r>
        <w:t xml:space="preserve"> </w:t>
      </w:r>
      <w:r>
        <w:t xml:space="preserve">with 48 of 56 disagreements being one annotator accepting what the other had</w:t>
      </w:r>
      <w:r>
        <w:t xml:space="preserve"> </w:t>
      </w:r>
      <w:r>
        <w:t xml:space="preserve">rejected. Per system precision differed by 10 to 17 points between annotators. As a</w:t>
      </w:r>
      <w:r>
        <w:t xml:space="preserve"> </w:t>
      </w:r>
      <w:r>
        <w:t xml:space="preserve">result, absolute values should be read as indicative, while the ranking of the</w:t>
      </w:r>
      <w:r>
        <w:t xml:space="preserve"> </w:t>
      </w:r>
      <w:r>
        <w:t xml:space="preserve">systems is the true finding of this evaluation.</w:t>
      </w:r>
    </w:p>
    <w:bookmarkEnd w:id="36"/>
    <w:bookmarkStart w:id="42" w:name="sec-extraction-results"/>
    <w:p>
      <w:pPr>
        <w:pStyle w:val="Heading3"/>
      </w:pPr>
      <w:r>
        <w:t xml:space="preserve">2.3.3 Results</w:t>
      </w:r>
    </w:p>
    <w:p>
      <w:pPr>
        <w:pStyle w:val="FirstParagraph"/>
      </w:pPr>
      <w:r>
        <w:t xml:space="preserve">The evaluation of all three systems, spaCy, LLM, and hybrid can be found in</w:t>
      </w:r>
      <w:r>
        <w:t xml:space="preserve"> </w:t>
      </w:r>
      <w:hyperlink w:anchor="tbl-extrac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fig-extraction">
        <w:r>
          <w:rPr>
            <w:rStyle w:val="Hyperlink"/>
          </w:rPr>
          <w:t xml:space="preserve">Figure 2</w:t>
        </w:r>
      </w:hyperlink>
      <w:r>
        <w:t xml:space="preserve">. The LLM and hybrid approaches are not</w:t>
      </w:r>
      <w:r>
        <w:t xml:space="preserve"> </w:t>
      </w:r>
      <w:r>
        <w:t xml:space="preserve">distinguishable, but both outperform spaCy. The most difficult category for all</w:t>
      </w:r>
      <w:r>
        <w:t xml:space="preserve"> </w:t>
      </w:r>
      <w:r>
        <w:t xml:space="preserve">three systems was ORG, of which no system exceeded 0.66 F1 on organizations.</w:t>
      </w:r>
      <w:r>
        <w:t xml:space="preserve"> </w:t>
      </w:r>
      <w:r>
        <w:t xml:space="preserve">Consequently, this was also the category that the annotators shared the most</w:t>
      </w:r>
      <w:r>
        <w:t xml:space="preserve"> </w:t>
      </w:r>
      <w:r>
        <w:t xml:space="preserve">disagreements.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extrac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Extraction system comparison. F1 is frame weighted across the sampling strata.</w:t>
            </w:r>
            <w:r>
              <w:t xml:space="preserve"> </w:t>
            </w:r>
            <w:r>
              <w:t xml:space="preserve">Corpus cost is estimated for the full 28,877 chunks via the batch API.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ORG precision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Corpus cost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~$64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Hybrid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~$64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free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extraction"/>
          <w:p>
            <w:pPr>
              <w:pStyle w:val="Compact"/>
              <w:jc w:val="center"/>
            </w:pPr>
            <w:r>
              <w:drawing>
                <wp:inline>
                  <wp:extent cx="5334000" cy="225591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12_extraction_f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55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Extraction accuracy by system. The left panel shows overall frame weighted F1 and the right</w:t>
            </w:r>
            <w:r>
              <w:t xml:space="preserve"> </w:t>
            </w:r>
            <w:r>
              <w:t xml:space="preserve">panel shows F1 by entity type, showing that ORG is the hardest category for every</w:t>
            </w:r>
            <w:r>
              <w:t xml:space="preserve"> </w:t>
            </w:r>
            <w:r>
              <w:t xml:space="preserve">system.</w:t>
            </w:r>
          </w:p>
          <w:bookmarkEnd w:id="41"/>
        </w:tc>
      </w:tr>
    </w:tbl>
    <w:bookmarkEnd w:id="42"/>
    <w:bookmarkStart w:id="43" w:name="production-configuration"/>
    <w:p>
      <w:pPr>
        <w:pStyle w:val="Heading3"/>
      </w:pPr>
      <w:r>
        <w:t xml:space="preserve">2.3.4 Production Configuration</w:t>
      </w:r>
    </w:p>
    <w:p>
      <w:pPr>
        <w:pStyle w:val="FirstParagraph"/>
      </w:pPr>
      <w:r>
        <w:t xml:space="preserve">The final entity nodes are constructed with spaCy corpus wide, with 540,586</w:t>
      </w:r>
      <w:r>
        <w:t xml:space="preserve"> </w:t>
      </w:r>
      <w:r>
        <w:t xml:space="preserve">mentions over 2,857 documents resolving to 91,100 distinct surface forms, at</w:t>
      </w:r>
      <w:r>
        <w:t xml:space="preserve"> </w:t>
      </w:r>
      <w:r>
        <w:t xml:space="preserve">around 35 minutes and at no cost. LLM extraction over the corpus was estimated at</w:t>
      </w:r>
      <w:r>
        <w:t xml:space="preserve"> </w:t>
      </w:r>
      <w:r>
        <w:t xml:space="preserve">around $64 via the batch API. The decision to utilize spaCy over the LLM</w:t>
      </w:r>
      <w:r>
        <w:t xml:space="preserve"> </w:t>
      </w:r>
      <w:r>
        <w:t xml:space="preserve">extraction was heavily weighted on the cost and time, at the detriment of 6 F1</w:t>
      </w:r>
      <w:r>
        <w:t xml:space="preserve"> </w:t>
      </w:r>
      <w:r>
        <w:t xml:space="preserve">points of performance.</w:t>
      </w:r>
    </w:p>
    <w:bookmarkEnd w:id="43"/>
    <w:bookmarkEnd w:id="44"/>
    <w:bookmarkStart w:id="48" w:name="graph-construction"/>
    <w:p>
      <w:pPr>
        <w:pStyle w:val="Heading2"/>
      </w:pPr>
      <w:r>
        <w:t xml:space="preserve">2.4 Graph Construction</w:t>
      </w:r>
    </w:p>
    <w:bookmarkStart w:id="45" w:name="entity-resolution"/>
    <w:p>
      <w:pPr>
        <w:pStyle w:val="Heading3"/>
      </w:pPr>
      <w:r>
        <w:t xml:space="preserve">2.4.1 Entity Resolution</w:t>
      </w:r>
    </w:p>
    <w:p>
      <w:pPr>
        <w:pStyle w:val="FirstParagraph"/>
      </w:pPr>
      <w:r>
        <w:t xml:space="preserve">In examining the extracted entities, it was found that the number of real entities</w:t>
      </w:r>
      <w:r>
        <w:t xml:space="preserve"> </w:t>
      </w:r>
      <w:r>
        <w:t xml:space="preserve">was lacking, and significant resolution was required. For example, one resolved</w:t>
      </w:r>
      <w:r>
        <w:t xml:space="preserve"> </w:t>
      </w:r>
      <w:r>
        <w:t xml:space="preserve">entity (Jeffrey Epstein) appears as 34 different identifiable strings. The issues</w:t>
      </w:r>
      <w:r>
        <w:t xml:space="preserve"> </w:t>
      </w:r>
      <w:r>
        <w:t xml:space="preserve">in merging these aliases are twofold. On the one hand, under-merging one person</w:t>
      </w:r>
      <w:r>
        <w:t xml:space="preserve"> </w:t>
      </w:r>
      <w:r>
        <w:t xml:space="preserve">across many nodes could dilute their centrality. On the other hand, over-merging</w:t>
      </w:r>
      <w:r>
        <w:t xml:space="preserve"> </w:t>
      </w:r>
      <w:r>
        <w:t xml:space="preserve">could fabricate relationships that propagate across the graph. Of the two,</w:t>
      </w:r>
      <w:r>
        <w:t xml:space="preserve"> </w:t>
      </w:r>
      <w:r>
        <w:t xml:space="preserve">over-merging is the more consequential.</w:t>
      </w:r>
    </w:p>
    <w:p>
      <w:pPr>
        <w:pStyle w:val="BodyText"/>
      </w:pPr>
      <w:r>
        <w:t xml:space="preserve">In order to merge aliases to a single entity, comparison of extracted entities was</w:t>
      </w:r>
      <w:r>
        <w:t xml:space="preserve"> </w:t>
      </w:r>
      <w:r>
        <w:t xml:space="preserve">necessary. However, comparing all pairs resulted in 8.3 billion comparisons, which</w:t>
      </w:r>
      <w:r>
        <w:t xml:space="preserve"> </w:t>
      </w:r>
      <w:r>
        <w:t xml:space="preserve">would result in countless hours of run time. To counteract this, candidates were</w:t>
      </w:r>
      <w:r>
        <w:t xml:space="preserve"> </w:t>
      </w:r>
      <w:r>
        <w:t xml:space="preserve">compared within a block depending on the entity. For people, a block consisted of a</w:t>
      </w:r>
      <w:r>
        <w:t xml:space="preserve"> </w:t>
      </w:r>
      <w:r>
        <w:t xml:space="preserve">shared surname (Epstein, Maxwell, etc.) while organizations and places consisted of</w:t>
      </w:r>
      <w:r>
        <w:t xml:space="preserve"> </w:t>
      </w:r>
      <w:r>
        <w:t xml:space="preserve">a four character trimmed prefix.</w:t>
      </w:r>
    </w:p>
    <w:p>
      <w:pPr>
        <w:pStyle w:val="BodyText"/>
      </w:pPr>
      <w:r>
        <w:t xml:space="preserve">Within a block, two names are only allowed to merge if their given names are</w:t>
      </w:r>
      <w:r>
        <w:t xml:space="preserve"> </w:t>
      </w:r>
      <w:r>
        <w:t xml:space="preserve">compatible. For example</w:t>
      </w:r>
      <w:r>
        <w:t xml:space="preserve"> </w:t>
      </w:r>
      <w:r>
        <w:t xml:space="preserve">“j epstein”</w:t>
      </w:r>
      <w:r>
        <w:t xml:space="preserve"> </w:t>
      </w:r>
      <w:r>
        <w:t xml:space="preserve">could merge with</w:t>
      </w:r>
      <w:r>
        <w:t xml:space="preserve"> </w:t>
      </w:r>
      <w:r>
        <w:t xml:space="preserve">“jeffrey epstein”</w:t>
      </w:r>
      <w:r>
        <w:t xml:space="preserve">, but</w:t>
      </w:r>
      <w:r>
        <w:t xml:space="preserve"> </w:t>
      </w:r>
      <w:r>
        <w:t xml:space="preserve">“Mark</w:t>
      </w:r>
      <w:r>
        <w:t xml:space="preserve"> </w:t>
      </w:r>
      <w:r>
        <w:t xml:space="preserve">Epstein”</w:t>
      </w:r>
      <w:r>
        <w:t xml:space="preserve"> </w:t>
      </w:r>
      <w:r>
        <w:t xml:space="preserve">could not. If either given name is absent, merging is refused. Clusters</w:t>
      </w:r>
      <w:r>
        <w:t xml:space="preserve"> </w:t>
      </w:r>
      <w:r>
        <w:t xml:space="preserve">are then formed by union-find, so every merge happens without every pair being</w:t>
      </w:r>
      <w:r>
        <w:t xml:space="preserve"> </w:t>
      </w:r>
      <w:r>
        <w:t xml:space="preserve">compared. Then surnames with no given name are attached to full names using</w:t>
      </w:r>
      <w:r>
        <w:t xml:space="preserve"> </w:t>
      </w:r>
      <w:r>
        <w:t xml:space="preserve">same document evidence, with a fallback on corpus wide evidence. Additionally,</w:t>
      </w:r>
      <w:r>
        <w:t xml:space="preserve"> </w:t>
      </w:r>
      <w:r>
        <w:t xml:space="preserve">email addresses extracted from the deterministic header parser were attached to</w:t>
      </w:r>
      <w:r>
        <w:t xml:space="preserve"> </w:t>
      </w:r>
      <w:r>
        <w:t xml:space="preserve">the person whose name they match. This matching was exact or</w:t>
      </w:r>
      <w:r>
        <w:t xml:space="preserve"> </w:t>
      </w:r>
      <w:r>
        <w:t xml:space="preserve">token-order-insensitive only to preserve reliability.</w:t>
      </w:r>
    </w:p>
    <w:p>
      <w:pPr>
        <w:pStyle w:val="BodyText"/>
      </w:pPr>
      <w:r>
        <w:t xml:space="preserve">As a result, 91,100 extracted strings were reduced to 81,112 entities. It was found</w:t>
      </w:r>
      <w:r>
        <w:t xml:space="preserve"> </w:t>
      </w:r>
      <w:r>
        <w:t xml:space="preserve">that only 9.3% of entities had more than one alias, but those entities covered 46%</w:t>
      </w:r>
      <w:r>
        <w:t xml:space="preserve"> </w:t>
      </w:r>
      <w:r>
        <w:t xml:space="preserve">of all mentions in the corpus.</w:t>
      </w:r>
    </w:p>
    <w:bookmarkEnd w:id="45"/>
    <w:bookmarkStart w:id="47" w:name="edge-construction"/>
    <w:p>
      <w:pPr>
        <w:pStyle w:val="Heading3"/>
      </w:pPr>
      <w:r>
        <w:t xml:space="preserve">2.4.2 Edge Construction</w:t>
      </w:r>
    </w:p>
    <w:p>
      <w:pPr>
        <w:pStyle w:val="FirstParagraph"/>
      </w:pPr>
      <w:r>
        <w:t xml:space="preserve">Relations were built in two tiers, deterministic and statistical.</w:t>
      </w:r>
      <w:r>
        <w:t xml:space="preserve"> </w:t>
      </w:r>
      <w:hyperlink w:anchor="tbl-tier1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shows</w:t>
      </w:r>
      <w:r>
        <w:t xml:space="preserve"> </w:t>
      </w:r>
      <w:r>
        <w:t xml:space="preserve">Tier 1 relations, which were extracted directly from the documents.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tier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Tier 1 (deterministic) relations, extracted directly from parsed email</w:t>
            </w:r>
            <w:r>
              <w:t xml:space="preserve"> </w:t>
            </w:r>
            <w:r>
              <w:t xml:space="preserve">headers.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Direction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communicated_with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1,139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directed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distinct messages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co_recipient_of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693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undirected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messages addressed to both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participated_in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person → thread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messages contributed</w:t>
                  </w: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Email actors were mapped onto resolved entities by email address first, then exact</w:t>
      </w:r>
      <w:r>
        <w:t xml:space="preserve"> </w:t>
      </w:r>
      <w:r>
        <w:t xml:space="preserve">or token-reordered name. No fuzzy matching was used because this is the strongest</w:t>
      </w:r>
      <w:r>
        <w:t xml:space="preserve"> </w:t>
      </w:r>
      <w:r>
        <w:t xml:space="preserve">evidence of communication in the corpus and a wrong link would fabricate a</w:t>
      </w:r>
      <w:r>
        <w:t xml:space="preserve"> </w:t>
      </w:r>
      <w:r>
        <w:t xml:space="preserve">conversation. Email threads were reconstructed by grouping messages that share a</w:t>
      </w:r>
      <w:r>
        <w:t xml:space="preserve"> </w:t>
      </w:r>
      <w:r>
        <w:t xml:space="preserve">normalized subject, a participant, and fall within 30 days. The time window of 30</w:t>
      </w:r>
      <w:r>
        <w:t xml:space="preserve"> </w:t>
      </w:r>
      <w:r>
        <w:t xml:space="preserve">days proved necessary in thread construction, as a single participant appears in</w:t>
      </w:r>
      <w:r>
        <w:t xml:space="preserve"> </w:t>
      </w:r>
      <w:r>
        <w:t xml:space="preserve">nearly every message. Threads are modelled as nodes instead of groups of</w:t>
      </w:r>
      <w:r>
        <w:t xml:space="preserve"> </w:t>
      </w:r>
      <w:r>
        <w:t xml:space="preserve">participants to reduce inflation of every participant’s centrality. Temporal</w:t>
      </w:r>
      <w:r>
        <w:t xml:space="preserve"> </w:t>
      </w:r>
      <w:r>
        <w:t xml:space="preserve">attributes were also applied to communication edges and 97% of email headers</w:t>
      </w:r>
      <w:r>
        <w:t xml:space="preserve"> </w:t>
      </w:r>
      <w:r>
        <w:t xml:space="preserve">carried a parseable timestamp.</w:t>
      </w:r>
    </w:p>
    <w:p>
      <w:pPr>
        <w:pStyle w:val="BodyText"/>
      </w:pPr>
      <w:r>
        <w:t xml:space="preserve">Tier 2 edges represent statistical associations between entities rather than</w:t>
      </w:r>
      <w:r>
        <w:t xml:space="preserve"> </w:t>
      </w:r>
      <w:r>
        <w:t xml:space="preserve">relationships explicitly stated in the source documents. An edge is created when</w:t>
      </w:r>
      <w:r>
        <w:t xml:space="preserve"> </w:t>
      </w:r>
      <w:r>
        <w:t xml:space="preserve">two entities appear together within the same text chunk, and its strength is</w:t>
      </w:r>
      <w:r>
        <w:t xml:space="preserve"> </w:t>
      </w:r>
      <w:r>
        <w:t xml:space="preserve">measured using Normalized Pointwise Mutual Information (NPMI), which evaluates</w:t>
      </w:r>
      <w:r>
        <w:t xml:space="preserve"> </w:t>
      </w:r>
      <w:r>
        <w:t xml:space="preserve">whether two entities co-occur more frequently than would be expected based on</w:t>
      </w:r>
      <w:r>
        <w:t xml:space="preserve"> </w:t>
      </w:r>
      <w:r>
        <w:t xml:space="preserve">their individual occurrence rates. To reduce noise, entities were required to</w:t>
      </w:r>
      <w:r>
        <w:t xml:space="preserve"> </w:t>
      </w:r>
      <w:r>
        <w:t xml:space="preserve">appear in at least three chunks, while entity pairs had to co-occur in at least</w:t>
      </w:r>
      <w:r>
        <w:t xml:space="preserve"> </w:t>
      </w:r>
      <w:r>
        <w:t xml:space="preserve">three chunks across two or more documents. Additional filters removed very large</w:t>
      </w:r>
      <w:r>
        <w:t xml:space="preserve"> </w:t>
      </w:r>
      <w:r>
        <w:t xml:space="preserve">chunks, such as directories, and excluded duplicated email headers introduced</w:t>
      </w:r>
      <w:r>
        <w:t xml:space="preserve"> </w:t>
      </w:r>
      <w:r>
        <w:t xml:space="preserve">during chunking. Because NPMI can assign very high scores to boilerplate text</w:t>
      </w:r>
      <w:r>
        <w:t xml:space="preserve"> </w:t>
      </w:r>
      <w:r>
        <w:t xml:space="preserve">(e.g., email signatures or letterheads), it was used only to identify</w:t>
      </w:r>
      <w:r>
        <w:t xml:space="preserve"> </w:t>
      </w:r>
      <w:r>
        <w:t xml:space="preserve">statistically meaningful associations rather than as a measure of relationship</w:t>
      </w:r>
      <w:r>
        <w:t xml:space="preserve"> </w:t>
      </w:r>
      <w:r>
        <w:t xml:space="preserve">importance. Reported co-occurrence relationships are instead ranked by their raw</w:t>
      </w:r>
      <w:r>
        <w:t xml:space="preserve"> </w:t>
      </w:r>
      <w:r>
        <w:t xml:space="preserve">co-occurrence frequency. Every edge retains provenance information, including the</w:t>
      </w:r>
      <w:r>
        <w:t xml:space="preserve"> </w:t>
      </w:r>
      <w:r>
        <w:t xml:space="preserve">originating documents and Bates page numbers, allowing any relationship identified</w:t>
      </w:r>
      <w:r>
        <w:t xml:space="preserve"> </w:t>
      </w:r>
      <w:r>
        <w:t xml:space="preserve">by the graph or GraphRAG system to be traced back to the original source</w:t>
      </w:r>
      <w:r>
        <w:t xml:space="preserve"> </w:t>
      </w:r>
      <w:r>
        <w:t xml:space="preserve">documents. The final network consists of 81,796 nodes and 113,613 edges, including</w:t>
      </w:r>
      <w:r>
        <w:t xml:space="preserve"> </w:t>
      </w:r>
      <w:r>
        <w:t xml:space="preserve">110,701 statistical co-occurrence edges spanning 12,864 unique entities.</w:t>
      </w:r>
    </w:p>
    <w:bookmarkEnd w:id="47"/>
    <w:bookmarkEnd w:id="48"/>
    <w:bookmarkStart w:id="49" w:name="network-analysis"/>
    <w:p>
      <w:pPr>
        <w:pStyle w:val="Heading2"/>
      </w:pPr>
      <w:r>
        <w:t xml:space="preserve">2.5 Network Analysis</w:t>
      </w:r>
    </w:p>
    <w:p>
      <w:pPr>
        <w:pStyle w:val="FirstParagraph"/>
      </w:pPr>
      <w:r>
        <w:t xml:space="preserve">To characterize the communication structure contained within the broader knowledge</w:t>
      </w:r>
      <w:r>
        <w:t xml:space="preserve"> </w:t>
      </w:r>
      <w:r>
        <w:t xml:space="preserve">graph, a directed communication network was constructed using the deterministic</w:t>
      </w:r>
      <w:r>
        <w:t xml:space="preserve"> </w:t>
      </w:r>
      <w:r>
        <w:rPr>
          <w:rStyle w:val="VerbatimChar"/>
        </w:rPr>
        <w:t xml:space="preserve">communicated_with</w:t>
      </w:r>
      <w:r>
        <w:t xml:space="preserve"> </w:t>
      </w:r>
      <w:r>
        <w:t xml:space="preserve">relationships described above. The full graph contains several</w:t>
      </w:r>
      <w:r>
        <w:t xml:space="preserve"> </w:t>
      </w:r>
      <w:r>
        <w:t xml:space="preserve">types of entities and relationships, including organizations, locations, threads,</w:t>
      </w:r>
      <w:r>
        <w:t xml:space="preserve"> </w:t>
      </w:r>
      <w:r>
        <w:t xml:space="preserve">co-occurrences, and communication events. Because the purpose of this portion of</w:t>
      </w:r>
      <w:r>
        <w:t xml:space="preserve"> </w:t>
      </w:r>
      <w:r>
        <w:t xml:space="preserve">the analysis was to evaluate communication behavior specifically, nodes previously</w:t>
      </w:r>
      <w:r>
        <w:t xml:space="preserve"> </w:t>
      </w:r>
      <w:r>
        <w:t xml:space="preserve">flagged as noisy were excluded and the edge set was restricted to direct</w:t>
      </w:r>
      <w:r>
        <w:t xml:space="preserve"> </w:t>
      </w:r>
      <w:r>
        <w:t xml:space="preserve">communication relationships. This produced a focused communication network</w:t>
      </w:r>
      <w:r>
        <w:t xml:space="preserve"> </w:t>
      </w:r>
      <w:r>
        <w:t xml:space="preserve">containing 850 nodes and 1,132 directed edges. This is slightly fewer than the</w:t>
      </w:r>
      <w:r>
        <w:t xml:space="preserve"> </w:t>
      </w:r>
      <w:r>
        <w:t xml:space="preserve">1,139</w:t>
      </w:r>
      <w:r>
        <w:t xml:space="preserve"> </w:t>
      </w:r>
      <w:r>
        <w:rPr>
          <w:rStyle w:val="VerbatimChar"/>
        </w:rPr>
        <w:t xml:space="preserve">communicated_with</w:t>
      </w:r>
      <w:r>
        <w:t xml:space="preserve"> </w:t>
      </w:r>
      <w:r>
        <w:t xml:space="preserve">edges in</w:t>
      </w:r>
      <w:r>
        <w:t xml:space="preserve"> </w:t>
      </w:r>
      <w:hyperlink w:anchor="tbl-tier1">
        <w:r>
          <w:rPr>
            <w:rStyle w:val="Hyperlink"/>
          </w:rPr>
          <w:t xml:space="preserve">Table 3</w:t>
        </w:r>
      </w:hyperlink>
      <w:r>
        <w:t xml:space="preserve">, because the noise filter removed</w:t>
      </w:r>
      <w:r>
        <w:t xml:space="preserve"> </w:t>
      </w:r>
      <w:r>
        <w:t xml:space="preserve">nodes along with the edges attached to them. Edge direction represents the sender to</w:t>
      </w:r>
      <w:r>
        <w:t xml:space="preserve"> </w:t>
      </w:r>
      <w:r>
        <w:t xml:space="preserve">recipient flow of communication, while edge weight represents the number of</w:t>
      </w:r>
      <w:r>
        <w:t xml:space="preserve"> </w:t>
      </w:r>
      <w:r>
        <w:t xml:space="preserve">distinct messages exchanged.</w:t>
      </w:r>
    </w:p>
    <w:p>
      <w:pPr>
        <w:pStyle w:val="BodyText"/>
      </w:pPr>
      <w:r>
        <w:t xml:space="preserve">Several complementary network metrics were used to evaluate structural importance.</w:t>
      </w:r>
      <w:r>
        <w:t xml:space="preserve"> </w:t>
      </w:r>
      <w:r>
        <w:t xml:space="preserve">Degree based measures were calculated to identify highly connected actors, with</w:t>
      </w:r>
      <w:r>
        <w:t xml:space="preserve"> </w:t>
      </w:r>
      <w:r>
        <w:t xml:space="preserve">weighted degree used to capture total communication volume. PageRank</w:t>
      </w:r>
      <w:r>
        <w:t xml:space="preserve"> </w:t>
      </w:r>
      <w:r>
        <w:t xml:space="preserve">(Page et al. 1999)</w:t>
      </w:r>
      <w:r>
        <w:t xml:space="preserve"> </w:t>
      </w:r>
      <w:r>
        <w:t xml:space="preserve">was calculated on the weighted directed graph to identify</w:t>
      </w:r>
      <w:r>
        <w:t xml:space="preserve"> </w:t>
      </w:r>
      <w:r>
        <w:t xml:space="preserve">actors whose importance was reinforced through connections to other highly</w:t>
      </w:r>
      <w:r>
        <w:t xml:space="preserve"> </w:t>
      </w:r>
      <w:r>
        <w:t xml:space="preserve">connected individuals. Betweenness centrality</w:t>
      </w:r>
      <w:r>
        <w:t xml:space="preserve"> </w:t>
      </w:r>
      <w:r>
        <w:t xml:space="preserve">(Freeman 1977)</w:t>
      </w:r>
      <w:r>
        <w:t xml:space="preserve"> </w:t>
      </w:r>
      <w:r>
        <w:t xml:space="preserve">was</w:t>
      </w:r>
      <w:r>
        <w:t xml:space="preserve"> </w:t>
      </w:r>
      <w:r>
        <w:t xml:space="preserve">calculated using network topology to identify actors that frequently lie on</w:t>
      </w:r>
      <w:r>
        <w:t xml:space="preserve"> </w:t>
      </w:r>
      <w:r>
        <w:t xml:space="preserve">shortest communication paths and may therefore serve as brokers between otherwise</w:t>
      </w:r>
      <w:r>
        <w:t xml:space="preserve"> </w:t>
      </w:r>
      <w:r>
        <w:t xml:space="preserve">separated portions of the network.</w:t>
      </w:r>
    </w:p>
    <w:p>
      <w:pPr>
        <w:pStyle w:val="BodyText"/>
      </w:pPr>
      <w:r>
        <w:t xml:space="preserve">The overall structure of the network was then evaluated using connected component</w:t>
      </w:r>
      <w:r>
        <w:t xml:space="preserve"> </w:t>
      </w:r>
      <w:r>
        <w:t xml:space="preserve">and community analysis. Weakly connected components were used to identify portions</w:t>
      </w:r>
      <w:r>
        <w:t xml:space="preserve"> </w:t>
      </w:r>
      <w:r>
        <w:t xml:space="preserve">of the graph that remain connected when edge direction is ignored, while strongly</w:t>
      </w:r>
      <w:r>
        <w:t xml:space="preserve"> </w:t>
      </w:r>
      <w:r>
        <w:t xml:space="preserve">connected components were used to evaluate mutual reachability through directed</w:t>
      </w:r>
      <w:r>
        <w:t xml:space="preserve"> </w:t>
      </w:r>
      <w:r>
        <w:t xml:space="preserve">communication paths. Community detection was performed on the largest weakly</w:t>
      </w:r>
      <w:r>
        <w:t xml:space="preserve"> </w:t>
      </w:r>
      <w:r>
        <w:t xml:space="preserve">connected component using greedy modularity optimization</w:t>
      </w:r>
      <w:r>
        <w:t xml:space="preserve"> </w:t>
      </w:r>
      <w:r>
        <w:t xml:space="preserve">(Clauset, Newman, and Moore 2004)</w:t>
      </w:r>
      <w:r>
        <w:t xml:space="preserve"> </w:t>
      </w:r>
      <w:r>
        <w:t xml:space="preserve">after converting that component to an undirected representation. This approach</w:t>
      </w:r>
      <w:r>
        <w:t xml:space="preserve"> </w:t>
      </w:r>
      <w:r>
        <w:t xml:space="preserve">identifies clusters of actors whose communication relationships are more densely</w:t>
      </w:r>
      <w:r>
        <w:t xml:space="preserve"> </w:t>
      </w:r>
      <w:r>
        <w:t xml:space="preserve">concentrated within the group than with the remainder of the network.</w:t>
      </w:r>
    </w:p>
    <w:p>
      <w:pPr>
        <w:pStyle w:val="BodyText"/>
      </w:pPr>
      <w:r>
        <w:t xml:space="preserve">Finally, both static and interactive visualizations were constructed to support</w:t>
      </w:r>
      <w:r>
        <w:t xml:space="preserve"> </w:t>
      </w:r>
      <w:r>
        <w:t xml:space="preserve">interpretation of the network. Static NetworkX</w:t>
      </w:r>
      <w:r>
        <w:t xml:space="preserve"> </w:t>
      </w:r>
      <w:r>
        <w:t xml:space="preserve">(Hagberg, Schult, and Swart 2008)</w:t>
      </w:r>
      <w:r>
        <w:t xml:space="preserve"> </w:t>
      </w:r>
      <w:r>
        <w:t xml:space="preserve">visualizations used node size to represent structural importance and node color to</w:t>
      </w:r>
      <w:r>
        <w:t xml:space="preserve"> </w:t>
      </w:r>
      <w:r>
        <w:t xml:space="preserve">represent detected community membership. An interactive PyVis visualization was</w:t>
      </w:r>
      <w:r>
        <w:t xml:space="preserve"> </w:t>
      </w:r>
      <w:r>
        <w:t xml:space="preserve">also produced, allowing users to search for actors, inspect local neighborhoods,</w:t>
      </w:r>
      <w:r>
        <w:t xml:space="preserve"> </w:t>
      </w:r>
      <w:r>
        <w:t xml:space="preserve">zoom and pan through the graph, and explore communication structure directly.</w:t>
      </w:r>
    </w:p>
    <w:bookmarkEnd w:id="49"/>
    <w:bookmarkStart w:id="59" w:name="natural-language-querying"/>
    <w:p>
      <w:pPr>
        <w:pStyle w:val="Heading2"/>
      </w:pPr>
      <w:r>
        <w:t xml:space="preserve">2.6 Natural Language Querying</w:t>
      </w:r>
    </w:p>
    <w:p>
      <w:pPr>
        <w:pStyle w:val="FirstParagraph"/>
      </w:pPr>
      <w:r>
        <w:t xml:space="preserve">A major goal of this project is to build a natural language querying system that</w:t>
      </w:r>
      <w:r>
        <w:t xml:space="preserve"> </w:t>
      </w:r>
      <w:r>
        <w:t xml:space="preserve">allows a user to ask questions about the Epstein files using natural language. To</w:t>
      </w:r>
      <w:r>
        <w:t xml:space="preserve"> </w:t>
      </w:r>
      <w:r>
        <w:t xml:space="preserve">accomplish this, two approaches were used. Firstly, a traditional RAG based</w:t>
      </w:r>
      <w:r>
        <w:t xml:space="preserve"> </w:t>
      </w:r>
      <w:r>
        <w:t xml:space="preserve">pipeline was built to answer user queries about the documents. The methodology</w:t>
      </w:r>
      <w:r>
        <w:t xml:space="preserve"> </w:t>
      </w:r>
      <w:r>
        <w:t xml:space="preserve">behind the naive RAG pipeline will be discussed first below.</w:t>
      </w:r>
    </w:p>
    <w:bookmarkStart w:id="54" w:name="vector-based-rag"/>
    <w:p>
      <w:pPr>
        <w:pStyle w:val="Heading3"/>
      </w:pPr>
      <w:r>
        <w:t xml:space="preserve">2.6.1 Vector Based RAG</w:t>
      </w:r>
    </w:p>
    <w:p>
      <w:pPr>
        <w:pStyle w:val="FirstParagraph"/>
      </w:pPr>
      <w:r>
        <w:t xml:space="preserve">The flowchart shown in</w:t>
      </w:r>
      <w:r>
        <w:t xml:space="preserve"> </w:t>
      </w:r>
      <w:hyperlink w:anchor="fig-ragflow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 describes the overall process for the RAG</w:t>
      </w:r>
      <w:r>
        <w:t xml:space="preserve"> </w:t>
      </w:r>
      <w:r>
        <w:t xml:space="preserve">pipeline. The raw email documents will be parsed/split into paragraph based text</w:t>
      </w:r>
      <w:r>
        <w:t xml:space="preserve"> </w:t>
      </w:r>
      <w:r>
        <w:t xml:space="preserve">chunks, embedded into their vectorized representations, and stored in a local</w:t>
      </w:r>
      <w:r>
        <w:t xml:space="preserve"> </w:t>
      </w:r>
      <w:r>
        <w:t xml:space="preserve">vector database. Queries will be submitted via command line argument, embedded into</w:t>
      </w:r>
      <w:r>
        <w:t xml:space="preserve"> </w:t>
      </w:r>
      <w:r>
        <w:t xml:space="preserve">a vector, and used to retrieve similar documents via semantic search. The natural</w:t>
      </w:r>
      <w:r>
        <w:t xml:space="preserve"> </w:t>
      </w:r>
      <w:r>
        <w:t xml:space="preserve">language query and retrieved documents will be fed into a large language model,</w:t>
      </w:r>
      <w:r>
        <w:t xml:space="preserve"> </w:t>
      </w:r>
      <w:r>
        <w:t xml:space="preserve">which will return the answer to the query.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ragflow"/>
          <w:p>
            <w:pPr>
              <w:pStyle w:val="Compact"/>
              <w:jc w:val="center"/>
            </w:pPr>
            <w:r>
              <w:drawing>
                <wp:inline>
                  <wp:extent cx="5067300" cy="290256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13_rag_flowchar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902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Flowchart for a standard RAG pipeline. Reproduced from the NVIDIA NeMo Framework</w:t>
            </w:r>
            <w:r>
              <w:t xml:space="preserve"> </w:t>
            </w:r>
            <w:r>
              <w:t xml:space="preserve">user guide</w:t>
            </w:r>
            <w:r>
              <w:t xml:space="preserve"> </w:t>
            </w:r>
            <w:r>
              <w:t xml:space="preserve">(NVIDIA 2024)</w:t>
            </w:r>
            <w:r>
              <w:t xml:space="preserve">.</w:t>
            </w:r>
          </w:p>
          <w:bookmarkEnd w:id="53"/>
        </w:tc>
      </w:tr>
    </w:tbl>
    <w:bookmarkEnd w:id="54"/>
    <w:bookmarkStart w:id="55" w:name="chunking"/>
    <w:p>
      <w:pPr>
        <w:pStyle w:val="Heading3"/>
      </w:pPr>
      <w:r>
        <w:t xml:space="preserve">2.6.2 Chunking</w:t>
      </w:r>
    </w:p>
    <w:p>
      <w:pPr>
        <w:pStyle w:val="FirstParagraph"/>
      </w:pPr>
      <w:r>
        <w:t xml:space="preserve">Since the majority of the raw text data is naturally subdivided into individual</w:t>
      </w:r>
      <w:r>
        <w:t xml:space="preserve"> </w:t>
      </w:r>
      <w:r>
        <w:t xml:space="preserve">‘email’</w:t>
      </w:r>
      <w:r>
        <w:t xml:space="preserve"> </w:t>
      </w:r>
      <w:r>
        <w:t xml:space="preserve">entities, the chunking process is designed around that existing structure.</w:t>
      </w:r>
      <w:r>
        <w:t xml:space="preserve"> </w:t>
      </w:r>
      <w:r>
        <w:t xml:space="preserve">Emails are treated as boundaries for chunking, and chunks do not contain material</w:t>
      </w:r>
      <w:r>
        <w:t xml:space="preserve"> </w:t>
      </w:r>
      <w:r>
        <w:t xml:space="preserve">across multiple emails, unless it is an email chain (identified by subject line),</w:t>
      </w:r>
      <w:r>
        <w:t xml:space="preserve"> </w:t>
      </w:r>
      <w:r>
        <w:t xml:space="preserve">in which case this boundary is ignored. Additionally, email</w:t>
      </w:r>
      <w:r>
        <w:t xml:space="preserve"> </w:t>
      </w:r>
      <w:r>
        <w:t xml:space="preserve">‘headers’</w:t>
      </w:r>
      <w:r>
        <w:t xml:space="preserve"> </w:t>
      </w:r>
      <w:r>
        <w:t xml:space="preserve">containing</w:t>
      </w:r>
      <w:r>
        <w:t xml:space="preserve"> </w:t>
      </w:r>
      <w:r>
        <w:t xml:space="preserve">metadata such as sender, recipient, date, etc., are parsed deterministically and</w:t>
      </w:r>
      <w:r>
        <w:t xml:space="preserve"> </w:t>
      </w:r>
      <w:r>
        <w:t xml:space="preserve">prepended to chunks derived from the email body. Emails are split by newline into</w:t>
      </w:r>
      <w:r>
        <w:t xml:space="preserve"> </w:t>
      </w:r>
      <w:r>
        <w:t xml:space="preserve">paragraphs, which are either concatenated together (for paragraphs under 350</w:t>
      </w:r>
      <w:r>
        <w:t xml:space="preserve"> </w:t>
      </w:r>
      <w:r>
        <w:t xml:space="preserve">words) or divided (for paragraphs over 350 words). These chunks are then embedded</w:t>
      </w:r>
      <w:r>
        <w:t xml:space="preserve"> </w:t>
      </w:r>
      <w:r>
        <w:t xml:space="preserve">into a length 384 vector using the</w:t>
      </w:r>
      <w:r>
        <w:t xml:space="preserve"> </w:t>
      </w:r>
      <w:r>
        <w:rPr>
          <w:rStyle w:val="VerbatimChar"/>
        </w:rPr>
        <w:t xml:space="preserve">BAAI/bge-small-en-v1.5</w:t>
      </w:r>
      <w:r>
        <w:t xml:space="preserve"> </w:t>
      </w:r>
      <w:r>
        <w:t xml:space="preserve">model</w:t>
      </w:r>
      <w:r>
        <w:t xml:space="preserve"> </w:t>
      </w:r>
      <w:r>
        <w:t xml:space="preserve">(Xiao et al. 2023)</w:t>
      </w:r>
      <w:r>
        <w:t xml:space="preserve">, and saved to a FAISS file</w:t>
      </w:r>
      <w:r>
        <w:t xml:space="preserve"> </w:t>
      </w:r>
      <w:r>
        <w:t xml:space="preserve">(Douze et al. 2024)</w:t>
      </w:r>
      <w:r>
        <w:t xml:space="preserve"> </w:t>
      </w:r>
      <w:r>
        <w:t xml:space="preserve">for later retrieval.</w:t>
      </w:r>
      <w:r>
        <w:t xml:space="preserve"> </w:t>
      </w:r>
      <w:r>
        <w:t xml:space="preserve">In total, 8,497 chunks from 4,039 emails are extracted (and 28,877 total,</w:t>
      </w:r>
      <w:r>
        <w:t xml:space="preserve"> </w:t>
      </w:r>
      <w:r>
        <w:t xml:space="preserve">including non-email chunks).</w:t>
      </w:r>
    </w:p>
    <w:bookmarkEnd w:id="55"/>
    <w:bookmarkStart w:id="56" w:name="retrieval"/>
    <w:p>
      <w:pPr>
        <w:pStyle w:val="Heading3"/>
      </w:pPr>
      <w:r>
        <w:t xml:space="preserve">2.6.3 Retrieval</w:t>
      </w:r>
    </w:p>
    <w:p>
      <w:pPr>
        <w:pStyle w:val="FirstParagraph"/>
      </w:pPr>
      <w:r>
        <w:t xml:space="preserve">For a given query, the same</w:t>
      </w:r>
      <w:r>
        <w:t xml:space="preserve"> </w:t>
      </w:r>
      <w:r>
        <w:rPr>
          <w:rStyle w:val="VerbatimChar"/>
        </w:rPr>
        <w:t xml:space="preserve">BAAI/bge-small-en-v1.5</w:t>
      </w:r>
      <w:r>
        <w:t xml:space="preserve"> </w:t>
      </w:r>
      <w:r>
        <w:t xml:space="preserve">embedding model is used to</w:t>
      </w:r>
      <w:r>
        <w:t xml:space="preserve"> </w:t>
      </w:r>
      <w:r>
        <w:t xml:space="preserve">vectorize the query and cosine similarity is computed against the entire vector</w:t>
      </w:r>
      <w:r>
        <w:t xml:space="preserve"> </w:t>
      </w:r>
      <w:r>
        <w:t xml:space="preserve">database, returning the top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highest scoring chunks (</w:t>
      </w:r>
      <w:r>
        <w:rPr>
          <w:i/>
          <w:iCs/>
        </w:rPr>
        <w:t xml:space="preserve">k</w:t>
      </w:r>
      <w:r>
        <w:t xml:space="preserve"> </w:t>
      </w:r>
      <w:r>
        <w:t xml:space="preserve">= 8 for this paper).</w:t>
      </w:r>
      <w:r>
        <w:t xml:space="preserve"> </w:t>
      </w:r>
      <w:r>
        <w:t xml:space="preserve">These natural language chunks, in addition to the natural language query, are fed</w:t>
      </w:r>
      <w:r>
        <w:t xml:space="preserve"> </w:t>
      </w:r>
      <w:r>
        <w:t xml:space="preserve">into a large language model via API, in this case, Claude Sonnet 5.</w:t>
      </w:r>
    </w:p>
    <w:bookmarkEnd w:id="56"/>
    <w:bookmarkStart w:id="57" w:name="graphrag"/>
    <w:p>
      <w:pPr>
        <w:pStyle w:val="Heading3"/>
      </w:pPr>
      <w:r>
        <w:t xml:space="preserve">2.6.4 GraphRAG</w:t>
      </w:r>
    </w:p>
    <w:p>
      <w:pPr>
        <w:pStyle w:val="FirstParagraph"/>
      </w:pPr>
      <w:r>
        <w:t xml:space="preserve">Adding the knowledge graph to the RAG system allows for information regarding</w:t>
      </w:r>
      <w:r>
        <w:t xml:space="preserve"> </w:t>
      </w:r>
      <w:r>
        <w:rPr>
          <w:i/>
          <w:iCs/>
        </w:rPr>
        <w:t xml:space="preserve">k</w:t>
      </w:r>
      <w:r>
        <w:t xml:space="preserve">-hop connections to be passed to the LLM as additional context. Given a query,</w:t>
      </w:r>
      <w:r>
        <w:t xml:space="preserve"> </w:t>
      </w:r>
      <w:r>
        <w:t xml:space="preserve">entities of interest are extracted and their respective nodes are found by key in</w:t>
      </w:r>
      <w:r>
        <w:t xml:space="preserve"> </w:t>
      </w:r>
      <w:r>
        <w:t xml:space="preserve">the graph. Relevant neighbors, edges, and associated documents must then be</w:t>
      </w:r>
      <w:r>
        <w:t xml:space="preserve"> </w:t>
      </w:r>
      <w:r>
        <w:t xml:space="preserve">deterministically filtered to aggregate information to feed to the LLM that is both</w:t>
      </w:r>
      <w:r>
        <w:t xml:space="preserve"> </w:t>
      </w:r>
      <w:r>
        <w:t xml:space="preserve">properly sized and effective. This presents a bevy of architectural decisions that</w:t>
      </w:r>
      <w:r>
        <w:t xml:space="preserve"> </w:t>
      </w:r>
      <w:r>
        <w:t xml:space="preserve">must be made, as it is a difficult task to limit a breadth-first search to a</w:t>
      </w:r>
      <w:r>
        <w:t xml:space="preserve"> </w:t>
      </w:r>
      <w:r>
        <w:t xml:space="preserve">reasonable size, as well as to identify chunks that are relevant to the query. For</w:t>
      </w:r>
      <w:r>
        <w:t xml:space="preserve"> </w:t>
      </w:r>
      <w:r>
        <w:t xml:space="preserve">this paper, entity extraction is performed on a query, and their associated nodes</w:t>
      </w:r>
      <w:r>
        <w:t xml:space="preserve"> </w:t>
      </w:r>
      <w:r>
        <w:t xml:space="preserve">are found inside the network. All paths between nodes of interest are fed to the</w:t>
      </w:r>
      <w:r>
        <w:t xml:space="preserve"> </w:t>
      </w:r>
      <w:r>
        <w:t xml:space="preserve">LLM as context, and documents associated with the shortest path are also appended.</w:t>
      </w:r>
    </w:p>
    <w:bookmarkEnd w:id="57"/>
    <w:bookmarkStart w:id="58" w:name="evaluation"/>
    <w:p>
      <w:pPr>
        <w:pStyle w:val="Heading3"/>
      </w:pPr>
      <w:r>
        <w:t xml:space="preserve">2.6.5 Evaluation</w:t>
      </w:r>
    </w:p>
    <w:p>
      <w:pPr>
        <w:pStyle w:val="FirstParagraph"/>
      </w:pPr>
      <w:r>
        <w:t xml:space="preserve">Typically, a RAG evaluation system entails both retrieval and generation steps.</w:t>
      </w:r>
      <w:r>
        <w:t xml:space="preserve"> </w:t>
      </w:r>
      <w:r>
        <w:t xml:space="preserve">The former grades whether the correct documents were identified, while the latter</w:t>
      </w:r>
      <w:r>
        <w:t xml:space="preserve"> </w:t>
      </w:r>
      <w:r>
        <w:t xml:space="preserve">grades the output of the model. For a comparison between traditional RAG and graph</w:t>
      </w:r>
      <w:r>
        <w:t xml:space="preserve"> </w:t>
      </w:r>
      <w:r>
        <w:t xml:space="preserve">RAG, generation is made the focal point because any retrieved document that spanned</w:t>
      </w:r>
      <w:r>
        <w:t xml:space="preserve"> </w:t>
      </w:r>
      <w:r>
        <w:t xml:space="preserve">a multi hop connection would undermine the intention and effectiveness of the graph</w:t>
      </w:r>
      <w:r>
        <w:t xml:space="preserve"> </w:t>
      </w:r>
      <w:r>
        <w:t xml:space="preserve">augmentation. Therefore, metrics such as</w:t>
      </w:r>
      <w:r>
        <w:t xml:space="preserve"> </w:t>
      </w:r>
      <w:r>
        <w:rPr>
          <w:rStyle w:val="VerbatimChar"/>
        </w:rPr>
        <w:t xml:space="preserve">recall@k</w:t>
      </w:r>
      <w:r>
        <w:t xml:space="preserve"> </w:t>
      </w:r>
      <w:r>
        <w:t xml:space="preserve">and Mean Reciprocal Rank</w:t>
      </w:r>
      <w:r>
        <w:t xml:space="preserve"> </w:t>
      </w:r>
      <w:r>
        <w:t xml:space="preserve">will not be reported on in this paper in favor of judgement of the generated</w:t>
      </w:r>
      <w:r>
        <w:t xml:space="preserve"> </w:t>
      </w:r>
      <w:r>
        <w:t xml:space="preserve">responses. Instead, we will focus on the quality of LLM generated responses using</w:t>
      </w:r>
      <w:r>
        <w:t xml:space="preserve"> </w:t>
      </w:r>
      <w:r>
        <w:t xml:space="preserve">both LLM-as-judge and human evaluation.</w:t>
      </w:r>
    </w:p>
    <w:p>
      <w:pPr>
        <w:pStyle w:val="BodyText"/>
      </w:pPr>
      <w:r>
        <w:t xml:space="preserve">Evaluation questions must be built somewhat artificially via mining the documents</w:t>
      </w:r>
      <w:r>
        <w:t xml:space="preserve"> </w:t>
      </w:r>
      <w:r>
        <w:t xml:space="preserve">and the preconstructed knowledge graph because connections hidden within the</w:t>
      </w:r>
      <w:r>
        <w:t xml:space="preserve"> </w:t>
      </w:r>
      <w:r>
        <w:t xml:space="preserve">Epstein Files are unknown. Questions are divided into four categories. Firstly,</w:t>
      </w:r>
      <w:r>
        <w:t xml:space="preserve"> </w:t>
      </w:r>
      <w:r>
        <w:t xml:space="preserve">single entity questions for general RAG evaluation are judged, followed by three</w:t>
      </w:r>
      <w:r>
        <w:t xml:space="preserve"> </w:t>
      </w:r>
      <w:r>
        <w:t xml:space="preserve">categories intended for comparison between the two systems. These are single hop questions</w:t>
      </w:r>
      <w:r>
        <w:t xml:space="preserve"> </w:t>
      </w:r>
      <w:r>
        <w:t xml:space="preserve">involving entities connected by one edge, two hop questions involving entities</w:t>
      </w:r>
      <w:r>
        <w:t xml:space="preserve"> </w:t>
      </w:r>
      <w:r>
        <w:t xml:space="preserve">whose shortest path is 2, and no path questions, whose nodes are far apart from</w:t>
      </w:r>
      <w:r>
        <w:t xml:space="preserve"> </w:t>
      </w:r>
      <w:r>
        <w:t xml:space="preserve">each other. These questions are then fed through both the traditional RAG pipeline</w:t>
      </w:r>
      <w:r>
        <w:t xml:space="preserve"> </w:t>
      </w:r>
      <w:r>
        <w:t xml:space="preserve">and the graph RAG pipeline, and their answers are compared.</w:t>
      </w:r>
    </w:p>
    <w:bookmarkEnd w:id="58"/>
    <w:bookmarkEnd w:id="59"/>
    <w:bookmarkEnd w:id="60"/>
    <w:bookmarkStart w:id="72" w:name="results"/>
    <w:p>
      <w:pPr>
        <w:pStyle w:val="Heading1"/>
      </w:pPr>
      <w:r>
        <w:t xml:space="preserve">3. Results</w:t>
      </w:r>
    </w:p>
    <w:bookmarkStart w:id="69" w:name="network-analysis-1"/>
    <w:p>
      <w:pPr>
        <w:pStyle w:val="Heading2"/>
      </w:pPr>
      <w:r>
        <w:t xml:space="preserve">3.1 Network Analysis</w:t>
      </w:r>
    </w:p>
    <w:p>
      <w:pPr>
        <w:pStyle w:val="FirstParagraph"/>
      </w:pPr>
      <w:r>
        <w:t xml:space="preserve">The resulting communication network is highly centralized. Jeffrey Epstein ranked</w:t>
      </w:r>
      <w:r>
        <w:t xml:space="preserve"> </w:t>
      </w:r>
      <w:r>
        <w:t xml:space="preserve">first across each of the principal centrality measures examined. His weighted</w:t>
      </w:r>
      <w:r>
        <w:t xml:space="preserve"> </w:t>
      </w:r>
      <w:r>
        <w:t xml:space="preserve">degree was 2,270, substantially greater than the next highest value of 252 for Reid</w:t>
      </w:r>
      <w:r>
        <w:t xml:space="preserve"> </w:t>
      </w:r>
      <w:r>
        <w:t xml:space="preserve">Weingarten. Epstein also received the highest PageRank score (0.2604), followed by</w:t>
      </w:r>
      <w:r>
        <w:t xml:space="preserve"> </w:t>
      </w:r>
      <w:r>
        <w:t xml:space="preserve">Reid Weingarten (0.0339) and Michael Wolff (0.0152). This consistency across</w:t>
      </w:r>
      <w:r>
        <w:t xml:space="preserve"> </w:t>
      </w:r>
      <w:r>
        <w:t xml:space="preserve">activity and influence based measures indicates that Epstein is not only the</w:t>
      </w:r>
      <w:r>
        <w:t xml:space="preserve"> </w:t>
      </w:r>
      <w:r>
        <w:t xml:space="preserve">highest volume communicator in the network, but also occupies its dominant</w:t>
      </w:r>
      <w:r>
        <w:t xml:space="preserve"> </w:t>
      </w:r>
      <w:r>
        <w:t xml:space="preserve">structural position.</w:t>
      </w:r>
      <w:r>
        <w:t xml:space="preserve"> </w:t>
      </w:r>
      <w:hyperlink w:anchor="fig-networ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makes this structure visible, showing a dense central</w:t>
      </w:r>
      <w:r>
        <w:t xml:space="preserve"> </w:t>
      </w:r>
      <w:r>
        <w:t xml:space="preserve">core surrounded by peripheral actors who connect to the rest of the network almost</w:t>
      </w:r>
      <w:r>
        <w:t xml:space="preserve"> </w:t>
      </w:r>
      <w:r>
        <w:t xml:space="preserve">exclusively through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network"/>
          <w:p>
            <w:pPr>
              <w:pStyle w:val="Compact"/>
              <w:jc w:val="center"/>
            </w:pPr>
            <w:r>
              <w:drawing>
                <wp:inline>
                  <wp:extent cx="5334000" cy="425132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14_network_5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51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Overall communication structure, top 100 actors by PageRank. Node size</w:t>
            </w:r>
            <w:r>
              <w:t xml:space="preserve"> </w:t>
            </w:r>
            <w:r>
              <w:t xml:space="preserve">represents PageRank, color represents detected community, and thicker edges</w:t>
            </w:r>
            <w:r>
              <w:t xml:space="preserve"> </w:t>
            </w:r>
            <w:r>
              <w:t xml:space="preserve">indicate greater communication volume.</w:t>
            </w:r>
          </w:p>
          <w:bookmarkEnd w:id="64"/>
        </w:tc>
      </w:tr>
    </w:tbl>
    <w:p>
      <w:pPr>
        <w:pStyle w:val="BodyText"/>
      </w:pPr>
      <w:r>
        <w:t xml:space="preserve">Betweenness centrality produced a somewhat different ranking after the leading</w:t>
      </w:r>
      <w:r>
        <w:t xml:space="preserve"> </w:t>
      </w:r>
      <w:r>
        <w:t xml:space="preserve">node, illustrating the complementary nature of the metric. Epstein again ranked</w:t>
      </w:r>
      <w:r>
        <w:t xml:space="preserve"> </w:t>
      </w:r>
      <w:r>
        <w:t xml:space="preserve">first with a betweenness score of 0.1769, while Martin G. Weinberg ranked second at</w:t>
      </w:r>
      <w:r>
        <w:t xml:space="preserve"> </w:t>
      </w:r>
      <w:r>
        <w:t xml:space="preserve">0.0083. Other actors with relatively high betweenness included Lesley Groff,</w:t>
      </w:r>
      <w:r>
        <w:t xml:space="preserve"> </w:t>
      </w:r>
      <w:r>
        <w:t xml:space="preserve">Lawrence Krauss, Jay Lefkowitz, and Darren K. Indyke. These individuals do not</w:t>
      </w:r>
      <w:r>
        <w:t xml:space="preserve"> </w:t>
      </w:r>
      <w:r>
        <w:t xml:space="preserve">necessarily have the largest communication volumes, but their network positions</w:t>
      </w:r>
      <w:r>
        <w:t xml:space="preserve"> </w:t>
      </w:r>
      <w:r>
        <w:t xml:space="preserve">place them on communication paths connecting otherwise more separated regions of</w:t>
      </w:r>
      <w:r>
        <w:t xml:space="preserve"> </w:t>
      </w:r>
      <w:r>
        <w:t xml:space="preserve">the graph. This distinction demonstrates why multiple centrality measures are</w:t>
      </w:r>
      <w:r>
        <w:t xml:space="preserve"> </w:t>
      </w:r>
      <w:r>
        <w:t xml:space="preserve">necessary when evaluating influence. High activity, structural importance, and</w:t>
      </w:r>
      <w:r>
        <w:t xml:space="preserve"> </w:t>
      </w:r>
      <w:r>
        <w:t xml:space="preserve">brokerage are related but not equivalent concepts.</w:t>
      </w:r>
    </w:p>
    <w:p>
      <w:pPr>
        <w:pStyle w:val="BodyText"/>
      </w:pPr>
      <w:r>
        <w:t xml:space="preserve">Community detection within the largest weakly connected component identified 46</w:t>
      </w:r>
      <w:r>
        <w:t xml:space="preserve"> </w:t>
      </w:r>
      <w:r>
        <w:t xml:space="preserve">communities. The largest community contains 252 nodes, followed by communities of</w:t>
      </w:r>
      <w:r>
        <w:t xml:space="preserve"> </w:t>
      </w:r>
      <w:r>
        <w:t xml:space="preserve">72, 45, 39, and 36 nodes (</w:t>
      </w:r>
      <w:hyperlink w:anchor="fig-communities">
        <w:r>
          <w:rPr>
            <w:rStyle w:val="Hyperlink"/>
          </w:rPr>
          <w:t xml:space="preserve">Figure 5</w:t>
        </w:r>
      </w:hyperlink>
      <w:r>
        <w:t xml:space="preserve">). The uneven distribution of community</w:t>
      </w:r>
      <w:r>
        <w:t xml:space="preserve"> </w:t>
      </w:r>
      <w:r>
        <w:t xml:space="preserve">sizes suggests that the network is composed of several major communication</w:t>
      </w:r>
      <w:r>
        <w:t xml:space="preserve"> </w:t>
      </w:r>
      <w:r>
        <w:t xml:space="preserve">environments alongside smaller, more specialized clusters. These communities should</w:t>
      </w:r>
      <w:r>
        <w:t xml:space="preserve"> </w:t>
      </w:r>
      <w:r>
        <w:t xml:space="preserve">be interpreted as structural communication groupings rather than evidence of formal</w:t>
      </w:r>
      <w:r>
        <w:t xml:space="preserve"> </w:t>
      </w:r>
      <w:r>
        <w:t xml:space="preserve">organizational membership or coordinated behavior.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communities"/>
          <w:p>
            <w:pPr>
              <w:pStyle w:val="Compact"/>
              <w:jc w:val="center"/>
            </w:pPr>
            <w:r>
              <w:drawing>
                <wp:inline>
                  <wp:extent cx="4533900" cy="2851562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14_network_4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851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Community sizes within the largest weakly connected component. The distribution</w:t>
            </w:r>
            <w:r>
              <w:t xml:space="preserve"> </w:t>
            </w:r>
            <w:r>
              <w:t xml:space="preserve">is heavily uneven, with one dominant community and a long tail of smaller</w:t>
            </w:r>
            <w:r>
              <w:t xml:space="preserve"> </w:t>
            </w:r>
            <w:r>
              <w:t xml:space="preserve">clusters.</w:t>
            </w:r>
          </w:p>
          <w:bookmarkEnd w:id="68"/>
        </w:tc>
      </w:tr>
    </w:tbl>
    <w:p>
      <w:pPr>
        <w:pStyle w:val="BodyText"/>
      </w:pPr>
      <w:r>
        <w:t xml:space="preserve">Taken together, the network analysis shows that the communication graph is</w:t>
      </w:r>
      <w:r>
        <w:t xml:space="preserve"> </w:t>
      </w:r>
      <w:r>
        <w:t xml:space="preserve">dominated by a central hub but also contains meaningful internal structure.</w:t>
      </w:r>
      <w:r>
        <w:t xml:space="preserve"> </w:t>
      </w:r>
      <w:r>
        <w:t xml:space="preserve">Centrality measures identify the actors occupying the most influential and</w:t>
      </w:r>
      <w:r>
        <w:t xml:space="preserve"> </w:t>
      </w:r>
      <w:r>
        <w:t xml:space="preserve">intermediary positions, while component and community analysis reveal how those</w:t>
      </w:r>
      <w:r>
        <w:t xml:space="preserve"> </w:t>
      </w:r>
      <w:r>
        <w:t xml:space="preserve">actors are organized into broader communication neighborhoods. These structural</w:t>
      </w:r>
      <w:r>
        <w:t xml:space="preserve"> </w:t>
      </w:r>
      <w:r>
        <w:t xml:space="preserve">properties also provide a direct bridge to the GraphRAG portion of the project.</w:t>
      </w:r>
      <w:r>
        <w:t xml:space="preserve"> </w:t>
      </w:r>
      <w:r>
        <w:t xml:space="preserve">Rather than retrieving evidence solely through semantic similarity, communities,</w:t>
      </w:r>
      <w:r>
        <w:t xml:space="preserve"> </w:t>
      </w:r>
      <w:r>
        <w:t xml:space="preserve">central actors, and graph paths can be used to guide retrieval across related</w:t>
      </w:r>
      <w:r>
        <w:t xml:space="preserve"> </w:t>
      </w:r>
      <w:r>
        <w:t xml:space="preserve">documents and entities.</w:t>
      </w:r>
    </w:p>
    <w:bookmarkEnd w:id="69"/>
    <w:bookmarkStart w:id="71" w:name="rag-vs-graphrag"/>
    <w:p>
      <w:pPr>
        <w:pStyle w:val="Heading2"/>
      </w:pPr>
      <w:r>
        <w:t xml:space="preserve">3.2 RAG vs GraphRAG</w:t>
      </w:r>
    </w:p>
    <w:p>
      <w:pPr>
        <w:pStyle w:val="FirstParagraph"/>
      </w:pPr>
      <w:hyperlink w:anchor="tbl-ragvsgraph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reports the mean judged score for each question category under both</w:t>
      </w:r>
      <w:r>
        <w:t xml:space="preserve"> </w:t>
      </w:r>
      <w:r>
        <w:t xml:space="preserve">systems. The two systems separate almost exactly along the dimension the graph was</w:t>
      </w:r>
      <w:r>
        <w:t xml:space="preserve"> </w:t>
      </w:r>
      <w:r>
        <w:t xml:space="preserve">built to address.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tbl-ragvsgraph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Mean judged answer quality by question category. Higher is better.</w:t>
            </w: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GraphRAG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Single Entity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7.4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One Hop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6.8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Two Hop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5.0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Path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10.0</w:t>
                  </w:r>
                </w:p>
              </w:tc>
            </w:tr>
          </w:tbl>
          <w:bookmarkEnd w:id="70"/>
          <w:p/>
        </w:tc>
      </w:tr>
    </w:tbl>
    <w:p>
      <w:pPr>
        <w:pStyle w:val="BodyText"/>
      </w:pPr>
      <w:r>
        <w:t xml:space="preserve">On single entity questions, where the answer is contained in one document and</w:t>
      </w:r>
      <w:r>
        <w:t xml:space="preserve"> </w:t>
      </w:r>
      <w:r>
        <w:t xml:space="preserve">semantic similarity is sufficient to find it, standard RAG scores slightly higher</w:t>
      </w:r>
      <w:r>
        <w:t xml:space="preserve"> </w:t>
      </w:r>
      <w:r>
        <w:t xml:space="preserve">(7.4 against 6.8). The graph adds nothing here, and the additional context it</w:t>
      </w:r>
      <w:r>
        <w:t xml:space="preserve"> </w:t>
      </w:r>
      <w:r>
        <w:t xml:space="preserve">supplies appears to dilute rather than sharpen the answer.</w:t>
      </w:r>
    </w:p>
    <w:p>
      <w:pPr>
        <w:pStyle w:val="BodyText"/>
      </w:pPr>
      <w:r>
        <w:t xml:space="preserve">The picture reverses on relational questions. On one hop questions GraphRAG nearly</w:t>
      </w:r>
      <w:r>
        <w:t xml:space="preserve"> </w:t>
      </w:r>
      <w:r>
        <w:t xml:space="preserve">doubles the score of standard RAG (6.8 against 3.6), and on two hop questions it</w:t>
      </w:r>
      <w:r>
        <w:t xml:space="preserve"> </w:t>
      </w:r>
      <w:r>
        <w:t xml:space="preserve">retains a smaller but consistent lead (5.0 against 4.0). This is the expected</w:t>
      </w:r>
      <w:r>
        <w:t xml:space="preserve"> </w:t>
      </w:r>
      <w:r>
        <w:t xml:space="preserve">result. When the answer depends on a connection between two entities rather than</w:t>
      </w:r>
      <w:r>
        <w:t xml:space="preserve"> </w:t>
      </w:r>
      <w:r>
        <w:t xml:space="preserve">the content of any single chunk, semantic search has nothing to retrieve on,</w:t>
      </w:r>
      <w:r>
        <w:t xml:space="preserve"> </w:t>
      </w:r>
      <w:r>
        <w:t xml:space="preserve">because no document states the relationship directly. The declining margin between</w:t>
      </w:r>
      <w:r>
        <w:t xml:space="preserve"> </w:t>
      </w:r>
      <w:r>
        <w:t xml:space="preserve">one hop and two hop questions suggests that the benefit of graph augmentation</w:t>
      </w:r>
      <w:r>
        <w:t xml:space="preserve"> </w:t>
      </w:r>
      <w:r>
        <w:t xml:space="preserve">weakens as path length grows, likely because longer paths introduce more</w:t>
      </w:r>
      <w:r>
        <w:t xml:space="preserve"> </w:t>
      </w:r>
      <w:r>
        <w:t xml:space="preserve">intermediate context for a fixed context budget.</w:t>
      </w:r>
    </w:p>
    <w:p>
      <w:pPr>
        <w:pStyle w:val="BodyText"/>
      </w:pPr>
      <w:r>
        <w:t xml:space="preserve">Both systems score a perfect 10.0 on no path questions. Neither fabricated a</w:t>
      </w:r>
      <w:r>
        <w:t xml:space="preserve"> </w:t>
      </w:r>
      <w:r>
        <w:t xml:space="preserve">connection between entities that are not related in the graph, which is the correct</w:t>
      </w:r>
      <w:r>
        <w:t xml:space="preserve"> </w:t>
      </w:r>
      <w:r>
        <w:t xml:space="preserve">behavior and a useful negative control. A system that hallucinated relationships</w:t>
      </w:r>
      <w:r>
        <w:t xml:space="preserve"> </w:t>
      </w:r>
      <w:r>
        <w:t xml:space="preserve">would be exposed by exactly this category.</w:t>
      </w:r>
    </w:p>
    <w:p>
      <w:pPr>
        <w:pStyle w:val="BodyText"/>
      </w:pPr>
      <w:r>
        <w:t xml:space="preserve">These results are consistent with</w:t>
      </w:r>
      <w:r>
        <w:t xml:space="preserve"> </w:t>
      </w:r>
      <w:r>
        <w:t xml:space="preserve">H. Han et al. (2025)</w:t>
      </w:r>
      <w:r>
        <w:t xml:space="preserve">, who find that neither</w:t>
      </w:r>
      <w:r>
        <w:t xml:space="preserve"> </w:t>
      </w:r>
      <w:r>
        <w:t xml:space="preserve">paradigm dominates outright across task types. The practical implication is that</w:t>
      </w:r>
      <w:r>
        <w:t xml:space="preserve"> </w:t>
      </w:r>
      <w:r>
        <w:t xml:space="preserve">the two retrieval strategies are complementary rather than competing. A production</w:t>
      </w:r>
      <w:r>
        <w:t xml:space="preserve"> </w:t>
      </w:r>
      <w:r>
        <w:t xml:space="preserve">system would route single entity lookups to vector retrieval and relational</w:t>
      </w:r>
      <w:r>
        <w:t xml:space="preserve"> </w:t>
      </w:r>
      <w:r>
        <w:t xml:space="preserve">questions to the graph.</w:t>
      </w:r>
    </w:p>
    <w:bookmarkEnd w:id="71"/>
    <w:bookmarkEnd w:id="72"/>
    <w:bookmarkStart w:id="73" w:name="discussion"/>
    <w:p>
      <w:pPr>
        <w:pStyle w:val="Heading1"/>
      </w:pPr>
      <w:r>
        <w:t xml:space="preserve">4. Discussion</w:t>
      </w:r>
    </w:p>
    <w:p>
      <w:pPr>
        <w:pStyle w:val="FirstParagraph"/>
      </w:pPr>
      <w:r>
        <w:t xml:space="preserve">The central finding of this project is that the structure of a document collection</w:t>
      </w:r>
      <w:r>
        <w:t xml:space="preserve"> </w:t>
      </w:r>
      <w:r>
        <w:t xml:space="preserve">determines which retrieval strategy works on it. The Epstein Files are a</w:t>
      </w:r>
      <w:r>
        <w:t xml:space="preserve"> </w:t>
      </w:r>
      <w:r>
        <w:t xml:space="preserve">correspondence corpus, and correspondence encodes relationships that no individual</w:t>
      </w:r>
      <w:r>
        <w:t xml:space="preserve"> </w:t>
      </w:r>
      <w:r>
        <w:t xml:space="preserve">document states outright. That is precisely the case where vector retrieval</w:t>
      </w:r>
      <w:r>
        <w:t xml:space="preserve"> </w:t>
      </w:r>
      <w:r>
        <w:t xml:space="preserve">fails and graph traversal succeeds. The network analysis and the GraphRAG</w:t>
      </w:r>
      <w:r>
        <w:t xml:space="preserve"> </w:t>
      </w:r>
      <w:r>
        <w:t xml:space="preserve">evaluation are two views of the same property.</w:t>
      </w:r>
    </w:p>
    <w:p>
      <w:pPr>
        <w:pStyle w:val="BodyText"/>
      </w:pPr>
      <w:r>
        <w:t xml:space="preserve">Three limitations qualify these results. First, entity extraction used spaCy rather</w:t>
      </w:r>
      <w:r>
        <w:t xml:space="preserve"> </w:t>
      </w:r>
      <w:r>
        <w:t xml:space="preserve">than the best-performing system evaluated, trading approximately 6 F1 points for</w:t>
      </w:r>
      <w:r>
        <w:t xml:space="preserve"> </w:t>
      </w:r>
      <w:r>
        <w:t xml:space="preserve">zero marginal cost. Graph derived results should therefore be read as a lower bound</w:t>
      </w:r>
      <w:r>
        <w:t xml:space="preserve"> </w:t>
      </w:r>
      <w:r>
        <w:t xml:space="preserve">on what the method can achieve. Second, inter-annotator agreement on the extraction</w:t>
      </w:r>
      <w:r>
        <w:t xml:space="preserve"> </w:t>
      </w:r>
      <w:r>
        <w:t xml:space="preserve">evaluation was low (</w:t>
      </w:r>
      <m:oMath>
        <m:r>
          <m:t>κ</m:t>
        </m:r>
      </m:oMath>
      <w:r>
        <w:t xml:space="preserve"> </w:t>
      </w:r>
      <w:r>
        <w:t xml:space="preserve">= 0.384), so the ranking of extraction systems is the</w:t>
      </w:r>
      <w:r>
        <w:t xml:space="preserve"> </w:t>
      </w:r>
      <w:r>
        <w:t xml:space="preserve">defensible finding while absolute scores are indicative. Third, the evaluation</w:t>
      </w:r>
      <w:r>
        <w:t xml:space="preserve"> </w:t>
      </w:r>
      <w:r>
        <w:t xml:space="preserve">question set was mined from the graph itself, which measures whether GraphRAG can</w:t>
      </w:r>
      <w:r>
        <w:t xml:space="preserve"> </w:t>
      </w:r>
      <w:r>
        <w:t xml:space="preserve">retrieve what the graph already encodes rather than whether the graph encodes the</w:t>
      </w:r>
      <w:r>
        <w:t xml:space="preserve"> </w:t>
      </w:r>
      <w:r>
        <w:t xml:space="preserve">right things.</w:t>
      </w:r>
    </w:p>
    <w:bookmarkEnd w:id="73"/>
    <w:bookmarkStart w:id="74" w:name="conclusion"/>
    <w:p>
      <w:pPr>
        <w:pStyle w:val="Heading1"/>
      </w:pPr>
      <w:r>
        <w:t xml:space="preserve">5. Conclusion</w:t>
      </w:r>
    </w:p>
    <w:p>
      <w:pPr>
        <w:pStyle w:val="FirstParagraph"/>
      </w:pPr>
      <w:r>
        <w:t xml:space="preserve">This project converted 2,897 unstructured, OCR-derived documents into a knowledge</w:t>
      </w:r>
      <w:r>
        <w:t xml:space="preserve"> </w:t>
      </w:r>
      <w:r>
        <w:t xml:space="preserve">graph of 81,796 nodes and 113,613 edges, and used it for two purposes. Network</w:t>
      </w:r>
      <w:r>
        <w:t xml:space="preserve"> </w:t>
      </w:r>
      <w:r>
        <w:t xml:space="preserve">analysis showed a highly centralized communication structure with a single dominant</w:t>
      </w:r>
      <w:r>
        <w:t xml:space="preserve"> </w:t>
      </w:r>
      <w:r>
        <w:t xml:space="preserve">hub and 46 distinct communities. The GraphRAG evaluation showed that graph</w:t>
      </w:r>
      <w:r>
        <w:t xml:space="preserve"> </w:t>
      </w:r>
      <w:r>
        <w:t xml:space="preserve">augmentation nearly doubles answer quality on one hop relational questions while</w:t>
      </w:r>
      <w:r>
        <w:t xml:space="preserve"> </w:t>
      </w:r>
      <w:r>
        <w:t xml:space="preserve">offering no advantage on single entity lookups. Neither retrieval strategy is</w:t>
      </w:r>
      <w:r>
        <w:t xml:space="preserve"> </w:t>
      </w:r>
      <w:r>
        <w:t xml:space="preserve">uniformly better. The useful result is knowing which questions belong to which.</w:t>
      </w:r>
    </w:p>
    <w:bookmarkEnd w:id="74"/>
    <w:bookmarkStart w:id="100" w:name="references"/>
    <w:p>
      <w:pPr>
        <w:pStyle w:val="Heading1"/>
      </w:pPr>
      <w:r>
        <w:t xml:space="preserve">References</w:t>
      </w:r>
    </w:p>
    <w:bookmarkStart w:id="99" w:name="refs"/>
    <w:bookmarkStart w:id="76" w:name="ref-clauset2004finding"/>
    <w:p>
      <w:pPr>
        <w:pStyle w:val="Bibliography"/>
      </w:pPr>
      <w:r>
        <w:t xml:space="preserve">Clauset, Aaron, M. E. J. Newman, and Cristopher Moore. 2004.</w:t>
      </w:r>
      <w:r>
        <w:t xml:space="preserve"> </w:t>
      </w:r>
      <w:r>
        <w:t xml:space="preserve">“Finding Community Structure in Very Large Networks.”</w:t>
      </w:r>
      <w:r>
        <w:t xml:space="preserve"> </w:t>
      </w:r>
      <w:r>
        <w:rPr>
          <w:i/>
          <w:iCs/>
        </w:rPr>
        <w:t xml:space="preserve">Physical Review E</w:t>
      </w:r>
      <w:r>
        <w:t xml:space="preserve"> </w:t>
      </w:r>
      <w:r>
        <w:t xml:space="preserve">70 (6): 066111.</w:t>
      </w:r>
      <w:r>
        <w:t xml:space="preserve"> </w:t>
      </w:r>
      <w:hyperlink r:id="rId75">
        <w:r>
          <w:rPr>
            <w:rStyle w:val="Hyperlink"/>
          </w:rPr>
          <w:t xml:space="preserve">https://doi.org/10.1103/PhysRevE.70.066111</w:t>
        </w:r>
      </w:hyperlink>
      <w:r>
        <w:t xml:space="preserve">.</w:t>
      </w:r>
    </w:p>
    <w:bookmarkEnd w:id="76"/>
    <w:bookmarkStart w:id="78" w:name="ref-douze2024faiss"/>
    <w:p>
      <w:pPr>
        <w:pStyle w:val="Bibliography"/>
      </w:pPr>
      <w:r>
        <w:t xml:space="preserve">Douze, Matthijs, Alexandr Guzhva, Chengqi Deng, Jeff Johnson, Gergely Szilvasy, Pierre-Emmanuel Mazaré, Maria Lomeli, Lucas Hosseini, and Hervé Jégou. 2024.</w:t>
      </w:r>
      <w:r>
        <w:t xml:space="preserve"> </w:t>
      </w:r>
      <w:r>
        <w:t xml:space="preserve">“The</w:t>
      </w:r>
      <w:r>
        <w:t xml:space="preserve"> </w:t>
      </w:r>
      <w:r>
        <w:t xml:space="preserve">Faiss</w:t>
      </w:r>
      <w:r>
        <w:t xml:space="preserve"> </w:t>
      </w:r>
      <w:r>
        <w:t xml:space="preserve">Library.”</w:t>
      </w:r>
      <w:r>
        <w:t xml:space="preserve"> </w:t>
      </w:r>
      <w:hyperlink r:id="rId77">
        <w:r>
          <w:rPr>
            <w:rStyle w:val="Hyperlink"/>
          </w:rPr>
          <w:t xml:space="preserve">https://arxiv.org/abs/2401.08281</w:t>
        </w:r>
      </w:hyperlink>
      <w:r>
        <w:t xml:space="preserve">.</w:t>
      </w:r>
    </w:p>
    <w:bookmarkEnd w:id="78"/>
    <w:bookmarkStart w:id="80" w:name="ref-edge2024graphrag"/>
    <w:p>
      <w:pPr>
        <w:pStyle w:val="Bibliography"/>
      </w:pPr>
      <w:r>
        <w:t xml:space="preserve">Edge, Darren, Ha Trinh, Newman Cheng, Joshua Bradley, Alex Chao, Apurva Mody, Steven Truitt, Dasha Metropolitansky, Robert Osazuwa Ness, and Jonathan Larson. 2024.</w:t>
      </w:r>
      <w:r>
        <w:t xml:space="preserve"> </w:t>
      </w:r>
      <w:r>
        <w:t xml:space="preserve">“From Local to Global: A</w:t>
      </w:r>
      <w:r>
        <w:t xml:space="preserve"> </w:t>
      </w:r>
      <w:r>
        <w:t xml:space="preserve">GraphRAG</w:t>
      </w:r>
      <w:r>
        <w:t xml:space="preserve"> </w:t>
      </w:r>
      <w:r>
        <w:t xml:space="preserve">Approach to Query-Focused Summarization.”</w:t>
      </w:r>
      <w:r>
        <w:t xml:space="preserve"> </w:t>
      </w:r>
      <w:hyperlink r:id="rId79">
        <w:r>
          <w:rPr>
            <w:rStyle w:val="Hyperlink"/>
          </w:rPr>
          <w:t xml:space="preserve">https://arxiv.org/abs/2404.16130</w:t>
        </w:r>
      </w:hyperlink>
      <w:r>
        <w:t xml:space="preserve">.</w:t>
      </w:r>
    </w:p>
    <w:bookmarkEnd w:id="80"/>
    <w:bookmarkStart w:id="82" w:name="ref-freeman1977betweenness"/>
    <w:p>
      <w:pPr>
        <w:pStyle w:val="Bibliography"/>
      </w:pPr>
      <w:r>
        <w:t xml:space="preserve">Freeman, Linton C. 1977.</w:t>
      </w:r>
      <w:r>
        <w:t xml:space="preserve"> </w:t>
      </w:r>
      <w:r>
        <w:t xml:space="preserve">“A Set of Measures of Centrality Based on Betweenness.”</w:t>
      </w:r>
      <w:r>
        <w:t xml:space="preserve"> </w:t>
      </w:r>
      <w:r>
        <w:rPr>
          <w:i/>
          <w:iCs/>
        </w:rPr>
        <w:t xml:space="preserve">Sociometry</w:t>
      </w:r>
      <w:r>
        <w:t xml:space="preserve"> </w:t>
      </w:r>
      <w:r>
        <w:t xml:space="preserve">40 (1): 35–41.</w:t>
      </w:r>
      <w:r>
        <w:t xml:space="preserve"> </w:t>
      </w:r>
      <w:hyperlink r:id="rId81">
        <w:r>
          <w:rPr>
            <w:rStyle w:val="Hyperlink"/>
          </w:rPr>
          <w:t xml:space="preserve">https://doi.org/10.2307/3033543</w:t>
        </w:r>
      </w:hyperlink>
      <w:r>
        <w:t xml:space="preserve">.</w:t>
      </w:r>
    </w:p>
    <w:bookmarkEnd w:id="82"/>
    <w:bookmarkStart w:id="83" w:name="ref-hagberg2008networkx"/>
    <w:p>
      <w:pPr>
        <w:pStyle w:val="Bibliography"/>
      </w:pPr>
      <w:r>
        <w:t xml:space="preserve">Hagberg, Aric A., Daniel A. Schult, and Pieter J. Swart. 2008.</w:t>
      </w:r>
      <w:r>
        <w:t xml:space="preserve"> </w:t>
      </w:r>
      <w:r>
        <w:t xml:space="preserve">“Exploring Network Structure, Dynamics, and Function Using</w:t>
      </w:r>
      <w:r>
        <w:t xml:space="preserve"> </w:t>
      </w:r>
      <w:r>
        <w:t xml:space="preserve">NetworkX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7th Python in Science Conference (SciPy2008)</w:t>
      </w:r>
      <w:r>
        <w:t xml:space="preserve">, 11–15.</w:t>
      </w:r>
    </w:p>
    <w:bookmarkEnd w:id="83"/>
    <w:bookmarkStart w:id="85" w:name="ref-han2025ragvsgraphrag"/>
    <w:p>
      <w:pPr>
        <w:pStyle w:val="Bibliography"/>
      </w:pPr>
      <w:r>
        <w:t xml:space="preserve">Han, Haoyu, Li Ma, Yu Wang, Harry Shomer, Yongjia Lei, Zhisheng Qi, Kai Guo, et al. 2025.</w:t>
      </w:r>
      <w:r>
        <w:t xml:space="preserve"> </w:t>
      </w:r>
      <w:r>
        <w:t xml:space="preserve">“</w:t>
      </w:r>
      <w:r>
        <w:t xml:space="preserve">RAG</w:t>
      </w:r>
      <w:r>
        <w:t xml:space="preserve"> </w:t>
      </w:r>
      <w:r>
        <w:t xml:space="preserve">Vs.</w:t>
      </w:r>
      <w:r>
        <w:t xml:space="preserve"> </w:t>
      </w:r>
      <w:r>
        <w:t xml:space="preserve">GraphRAG</w:t>
      </w:r>
      <w:r>
        <w:t xml:space="preserve">: A Systematic Evaluation and Key Insights.”</w:t>
      </w:r>
      <w:r>
        <w:t xml:space="preserve"> </w:t>
      </w:r>
      <w:hyperlink r:id="rId84">
        <w:r>
          <w:rPr>
            <w:rStyle w:val="Hyperlink"/>
          </w:rPr>
          <w:t xml:space="preserve">https://arxiv.org/abs/2502.11371</w:t>
        </w:r>
      </w:hyperlink>
      <w:r>
        <w:t xml:space="preserve">.</w:t>
      </w:r>
    </w:p>
    <w:bookmarkEnd w:id="85"/>
    <w:bookmarkStart w:id="87" w:name="ref-han2020relation"/>
    <w:p>
      <w:pPr>
        <w:pStyle w:val="Bibliography"/>
      </w:pPr>
      <w:r>
        <w:t xml:space="preserve">Han, Xu, Tianyu Gao, Yankai Lin, Hao Peng, Yaoliang Yang, Chaojun Xiao, Zhiyuan Liu, Peng Li, Maosong Sun, and Jie Zhou. 2020.</w:t>
      </w:r>
      <w:r>
        <w:t xml:space="preserve"> </w:t>
      </w:r>
      <w:r>
        <w:t xml:space="preserve">“More Data, More Relations, More Context and More Openness: A Review and Outlook for Relation Extraction.”</w:t>
      </w:r>
      <w:r>
        <w:t xml:space="preserve"> </w:t>
      </w:r>
      <w:hyperlink r:id="rId86">
        <w:r>
          <w:rPr>
            <w:rStyle w:val="Hyperlink"/>
          </w:rPr>
          <w:t xml:space="preserve">https://arxiv.org/abs/2004.03186</w:t>
        </w:r>
      </w:hyperlink>
      <w:r>
        <w:t xml:space="preserve">.</w:t>
      </w:r>
    </w:p>
    <w:bookmarkEnd w:id="87"/>
    <w:bookmarkStart w:id="89" w:name="ref-hogan2021knowledge"/>
    <w:p>
      <w:pPr>
        <w:pStyle w:val="Bibliography"/>
      </w:pPr>
      <w:r>
        <w:t xml:space="preserve">Hogan, Aidan, Eva Blomqvist, Michael Cochez, Claudia d’Amato, Gerard de Melo, Claudio Gutiérrez, José Emilio Labra Gayo, et al. 2021.</w:t>
      </w:r>
      <w:r>
        <w:t xml:space="preserve"> </w:t>
      </w:r>
      <w:r>
        <w:t xml:space="preserve">“Knowledge Graphs.”</w:t>
      </w:r>
      <w:r>
        <w:t xml:space="preserve"> </w:t>
      </w:r>
      <w:hyperlink r:id="rId88">
        <w:r>
          <w:rPr>
            <w:rStyle w:val="Hyperlink"/>
          </w:rPr>
          <w:t xml:space="preserve">https://arxiv.org/abs/2003.02320</w:t>
        </w:r>
      </w:hyperlink>
      <w:r>
        <w:t xml:space="preserve">.</w:t>
      </w:r>
    </w:p>
    <w:bookmarkEnd w:id="89"/>
    <w:bookmarkStart w:id="91" w:name="ref-honnibal2020spacy"/>
    <w:p>
      <w:pPr>
        <w:pStyle w:val="Bibliography"/>
      </w:pPr>
      <w:r>
        <w:t xml:space="preserve">Honnibal, Matthew, Ines Montani, Sofie Van Landeghem, and Adriane Boyd. 2020.</w:t>
      </w:r>
      <w:r>
        <w:t xml:space="preserve"> </w:t>
      </w:r>
      <w:r>
        <w:t xml:space="preserve">“</w:t>
      </w:r>
      <w:r>
        <w:t xml:space="preserve">spaCy</w:t>
      </w:r>
      <w:r>
        <w:t xml:space="preserve">: Industrial-Strength Natural Language Processing in</w:t>
      </w:r>
      <w:r>
        <w:t xml:space="preserve"> </w:t>
      </w:r>
      <w:r>
        <w:t xml:space="preserve">Python</w:t>
      </w:r>
      <w:r>
        <w:t xml:space="preserve">.”</w:t>
      </w:r>
      <w:r>
        <w:t xml:space="preserve"> </w:t>
      </w:r>
      <w:r>
        <w:t xml:space="preserve">Zenodo.</w:t>
      </w:r>
      <w:r>
        <w:t xml:space="preserve"> </w:t>
      </w:r>
      <w:hyperlink r:id="rId90">
        <w:r>
          <w:rPr>
            <w:rStyle w:val="Hyperlink"/>
          </w:rPr>
          <w:t xml:space="preserve">https://doi.org/10.5281/zenodo.1212303</w:t>
        </w:r>
      </w:hyperlink>
      <w:r>
        <w:t xml:space="preserve">.</w:t>
      </w:r>
    </w:p>
    <w:bookmarkEnd w:id="91"/>
    <w:bookmarkStart w:id="92" w:name="ref-lewis2020rag"/>
    <w:p>
      <w:pPr>
        <w:pStyle w:val="Bibliography"/>
      </w:pPr>
      <w:r>
        <w:t xml:space="preserve">Lewis, Patrick, Ethan Perez, Aleksandra Piktus, Fabio Petroni, Vladimir Karpukhin, Naman Goyal, Heinrich Küttler, et al. 2020.</w:t>
      </w:r>
      <w:r>
        <w:t xml:space="preserve"> </w:t>
      </w:r>
      <w:r>
        <w:t xml:space="preserve">“Retrieval-Augmented Generation for Knowledge-Intensive</w:t>
      </w:r>
      <w:r>
        <w:t xml:space="preserve"> </w:t>
      </w:r>
      <w:r>
        <w:t xml:space="preserve">NLP</w:t>
      </w:r>
      <w:r>
        <w:t xml:space="preserve"> </w:t>
      </w:r>
      <w:r>
        <w:t xml:space="preserve">Tasks.”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. Vol. 33.</w:t>
      </w:r>
    </w:p>
    <w:bookmarkEnd w:id="92"/>
    <w:bookmarkStart w:id="94" w:name="ref-nvidia2024ragoverview"/>
    <w:p>
      <w:pPr>
        <w:pStyle w:val="Bibliography"/>
      </w:pPr>
      <w:r>
        <w:t xml:space="preserve">NVIDIA. 2024.</w:t>
      </w:r>
      <w:r>
        <w:t xml:space="preserve"> </w:t>
      </w:r>
      <w:r>
        <w:t xml:space="preserve">“</w:t>
      </w:r>
      <w:r>
        <w:t xml:space="preserve">RAG</w:t>
      </w:r>
      <w:r>
        <w:t xml:space="preserve"> </w:t>
      </w:r>
      <w:r>
        <w:t xml:space="preserve">Overview.”</w:t>
      </w:r>
      <w:r>
        <w:t xml:space="preserve"> </w:t>
      </w:r>
      <w:r>
        <w:t xml:space="preserve">NeMo Framework User Guide.</w:t>
      </w:r>
      <w:r>
        <w:t xml:space="preserve"> </w:t>
      </w:r>
      <w:hyperlink r:id="rId93">
        <w:r>
          <w:rPr>
            <w:rStyle w:val="Hyperlink"/>
          </w:rPr>
          <w:t xml:space="preserve">https://docs.nvidia.com/nemo-framework/user-guide/24.07/rag/ragoverview.html</w:t>
        </w:r>
      </w:hyperlink>
      <w:r>
        <w:t xml:space="preserve">.</w:t>
      </w:r>
    </w:p>
    <w:bookmarkEnd w:id="94"/>
    <w:bookmarkStart w:id="95" w:name="ref-page1999pagerank"/>
    <w:p>
      <w:pPr>
        <w:pStyle w:val="Bibliography"/>
      </w:pPr>
      <w:r>
        <w:t xml:space="preserve">Page, Lawrence, Sergey Brin, Rajeev Motwani, and Terry Winograd. 1999.</w:t>
      </w:r>
      <w:r>
        <w:t xml:space="preserve"> </w:t>
      </w:r>
      <w:r>
        <w:t xml:space="preserve">“The</w:t>
      </w:r>
      <w:r>
        <w:t xml:space="preserve"> </w:t>
      </w:r>
      <w:r>
        <w:t xml:space="preserve">PageRank</w:t>
      </w:r>
      <w:r>
        <w:t xml:space="preserve"> </w:t>
      </w:r>
      <w:r>
        <w:t xml:space="preserve">Citation Ranking: Bringing Order to the Web.”</w:t>
      </w:r>
      <w:r>
        <w:t xml:space="preserve"> </w:t>
      </w:r>
      <w:r>
        <w:t xml:space="preserve">1999-66. Stanford InfoLab.</w:t>
      </w:r>
    </w:p>
    <w:bookmarkEnd w:id="95"/>
    <w:bookmarkStart w:id="96" w:name="ref-oversight2025epstein"/>
    <w:p>
      <w:pPr>
        <w:pStyle w:val="Bibliography"/>
      </w:pPr>
      <w:r>
        <w:t xml:space="preserve">U.S. House Committee on Oversight and Government Reform. 2025.</w:t>
      </w:r>
      <w:r>
        <w:t xml:space="preserve"> </w:t>
      </w:r>
      <w:r>
        <w:t xml:space="preserve">“Documents Produced by the Department of Justice Pursuant to Subpoena (Jeffrey Epstein Estate Records).”</w:t>
      </w:r>
    </w:p>
    <w:bookmarkEnd w:id="96"/>
    <w:bookmarkStart w:id="98" w:name="ref-xiao2023cpack"/>
    <w:p>
      <w:pPr>
        <w:pStyle w:val="Bibliography"/>
      </w:pPr>
      <w:r>
        <w:t xml:space="preserve">Xiao, Shitao, Zheng Liu, Peitian Zhang, and Niklas Muennighoff. 2023.</w:t>
      </w:r>
      <w:r>
        <w:t xml:space="preserve"> </w:t>
      </w:r>
      <w:r>
        <w:t xml:space="preserve">“</w:t>
      </w:r>
      <w:r>
        <w:t xml:space="preserve">C-Pack</w:t>
      </w:r>
      <w:r>
        <w:t xml:space="preserve">: Packaged Resources to Advance General</w:t>
      </w:r>
      <w:r>
        <w:t xml:space="preserve"> </w:t>
      </w:r>
      <w:r>
        <w:t xml:space="preserve">Chinese</w:t>
      </w:r>
      <w:r>
        <w:t xml:space="preserve"> </w:t>
      </w:r>
      <w:r>
        <w:t xml:space="preserve">Embedding.”</w:t>
      </w:r>
      <w:r>
        <w:t xml:space="preserve"> </w:t>
      </w:r>
      <w:hyperlink r:id="rId97">
        <w:r>
          <w:rPr>
            <w:rStyle w:val="Hyperlink"/>
          </w:rPr>
          <w:t xml:space="preserve">https://arxiv.org/abs/2309.07597</w:t>
        </w:r>
      </w:hyperlink>
      <w:r>
        <w:t xml:space="preserve">.</w:t>
      </w:r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65" Target="media/rId65.png" /><Relationship Type="http://schemas.openxmlformats.org/officeDocument/2006/relationships/image" Id="rId61" Target="media/rId61.png" /><Relationship Type="http://schemas.openxmlformats.org/officeDocument/2006/relationships/hyperlink" Id="rId88" Target="https://arxiv.org/abs/2003.02320" TargetMode="External" /><Relationship Type="http://schemas.openxmlformats.org/officeDocument/2006/relationships/hyperlink" Id="rId86" Target="https://arxiv.org/abs/2004.03186" TargetMode="External" /><Relationship Type="http://schemas.openxmlformats.org/officeDocument/2006/relationships/hyperlink" Id="rId97" Target="https://arxiv.org/abs/2309.07597" TargetMode="External" /><Relationship Type="http://schemas.openxmlformats.org/officeDocument/2006/relationships/hyperlink" Id="rId77" Target="https://arxiv.org/abs/2401.08281" TargetMode="External" /><Relationship Type="http://schemas.openxmlformats.org/officeDocument/2006/relationships/hyperlink" Id="rId79" Target="https://arxiv.org/abs/2404.16130" TargetMode="External" /><Relationship Type="http://schemas.openxmlformats.org/officeDocument/2006/relationships/hyperlink" Id="rId84" Target="https://arxiv.org/abs/2502.11371" TargetMode="External" /><Relationship Type="http://schemas.openxmlformats.org/officeDocument/2006/relationships/hyperlink" Id="rId93" Target="https://docs.nvidia.com/nemo-framework/user-guide/24.07/rag/ragoverview.html" TargetMode="External" /><Relationship Type="http://schemas.openxmlformats.org/officeDocument/2006/relationships/hyperlink" Id="rId75" Target="https://doi.org/10.1103/PhysRevE.70.066111" TargetMode="External" /><Relationship Type="http://schemas.openxmlformats.org/officeDocument/2006/relationships/hyperlink" Id="rId81" Target="https://doi.org/10.2307/3033543" TargetMode="External" /><Relationship Type="http://schemas.openxmlformats.org/officeDocument/2006/relationships/hyperlink" Id="rId90" Target="https://doi.org/10.5281/zenodo.12123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arxiv.org/abs/2003.02320" TargetMode="External" /><Relationship Type="http://schemas.openxmlformats.org/officeDocument/2006/relationships/hyperlink" Id="rId86" Target="https://arxiv.org/abs/2004.03186" TargetMode="External" /><Relationship Type="http://schemas.openxmlformats.org/officeDocument/2006/relationships/hyperlink" Id="rId97" Target="https://arxiv.org/abs/2309.07597" TargetMode="External" /><Relationship Type="http://schemas.openxmlformats.org/officeDocument/2006/relationships/hyperlink" Id="rId77" Target="https://arxiv.org/abs/2401.08281" TargetMode="External" /><Relationship Type="http://schemas.openxmlformats.org/officeDocument/2006/relationships/hyperlink" Id="rId79" Target="https://arxiv.org/abs/2404.16130" TargetMode="External" /><Relationship Type="http://schemas.openxmlformats.org/officeDocument/2006/relationships/hyperlink" Id="rId84" Target="https://arxiv.org/abs/2502.11371" TargetMode="External" /><Relationship Type="http://schemas.openxmlformats.org/officeDocument/2006/relationships/hyperlink" Id="rId93" Target="https://docs.nvidia.com/nemo-framework/user-guide/24.07/rag/ragoverview.html" TargetMode="External" /><Relationship Type="http://schemas.openxmlformats.org/officeDocument/2006/relationships/hyperlink" Id="rId75" Target="https://doi.org/10.1103/PhysRevE.70.066111" TargetMode="External" /><Relationship Type="http://schemas.openxmlformats.org/officeDocument/2006/relationships/hyperlink" Id="rId81" Target="https://doi.org/10.2307/3033543" TargetMode="External" /><Relationship Type="http://schemas.openxmlformats.org/officeDocument/2006/relationships/hyperlink" Id="rId90" Target="https://doi.org/10.5281/zenodo.12123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 Retrieval Augmented Generation and Network Analysis of the Epstein Files</dc:title>
  <dc:creator>Tyler Blue; Andrew Moy; Ethan Wotring</dc:creator>
  <cp:keywords/>
  <dcterms:created xsi:type="dcterms:W3CDTF">2026-08-07T17:02:00Z</dcterms:created>
  <dcterms:modified xsi:type="dcterms:W3CDTF">2026-08-07T17:02:00Z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2026-08-07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DSAN 6400 Network Analytics, Professor James Hickman</vt:lpwstr>
  </property>
  <property fmtid="{D5CDD505-2E9C-101B-9397-08002B2CF9AE}" pid="13" name="toc-title">
    <vt:lpwstr>Table of contents</vt:lpwstr>
  </property>
</Properties>
</file>