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6E6A"/>
          <w:sz w:val="60"/>
        </w:rPr>
        <w:t>Tech Challenge</w:t>
      </w:r>
    </w:p>
    <w:p>
      <w:r>
        <w:rPr>
          <w:color w:val="131A22"/>
          <w:sz w:val="36"/>
        </w:rPr>
        <w:t>Consumption Guide</w:t>
      </w:r>
    </w:p>
    <w:p>
      <w:r>
        <w:rPr>
          <w:color w:val="57616F"/>
          <w:sz w:val="22"/>
        </w:rPr>
        <w:t>Deploying and operating a modern EKS platform on AWS</w:t>
      </w:r>
    </w:p>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Field</w:t>
            </w:r>
          </w:p>
        </w:tc>
        <w:tc>
          <w:tcPr>
            <w:tcW w:type="dxa" w:w="4320"/>
          </w:tcPr>
          <w:p>
            <w:r/>
            <w:r>
              <w:rPr>
                <w:b/>
                <w:sz w:val="19"/>
              </w:rPr>
              <w:t>Value</w:t>
            </w:r>
          </w:p>
        </w:tc>
      </w:tr>
      <w:tr>
        <w:tc>
          <w:tcPr>
            <w:tcW w:type="dxa" w:w="4320"/>
          </w:tcPr>
          <w:p>
            <w:r/>
            <w:r>
              <w:rPr>
                <w:sz w:val="19"/>
              </w:rPr>
              <w:t>Repository</w:t>
            </w:r>
          </w:p>
        </w:tc>
        <w:tc>
          <w:tcPr>
            <w:tcW w:type="dxa" w:w="4320"/>
          </w:tcPr>
          <w:p>
            <w:r/>
            <w:r>
              <w:rPr>
                <w:sz w:val="19"/>
              </w:rPr>
              <w:t>github.com/tbadmus/tech-challenge</w:t>
            </w:r>
          </w:p>
        </w:tc>
      </w:tr>
      <w:tr>
        <w:tc>
          <w:tcPr>
            <w:tcW w:type="dxa" w:w="4320"/>
          </w:tcPr>
          <w:p>
            <w:r/>
            <w:r>
              <w:rPr>
                <w:sz w:val="19"/>
              </w:rPr>
              <w:t>AWS account</w:t>
            </w:r>
          </w:p>
        </w:tc>
        <w:tc>
          <w:tcPr>
            <w:tcW w:type="dxa" w:w="4320"/>
          </w:tcPr>
          <w:p>
            <w:r/>
            <w:r>
              <w:rPr>
                <w:sz w:val="19"/>
              </w:rPr>
              <w:t>841845498000  ·  us-east-1</w:t>
            </w:r>
          </w:p>
        </w:tc>
      </w:tr>
      <w:tr>
        <w:tc>
          <w:tcPr>
            <w:tcW w:type="dxa" w:w="4320"/>
          </w:tcPr>
          <w:p>
            <w:r/>
            <w:r>
              <w:rPr>
                <w:sz w:val="19"/>
              </w:rPr>
              <w:t>SSO profile</w:t>
            </w:r>
          </w:p>
        </w:tc>
        <w:tc>
          <w:tcPr>
            <w:tcW w:type="dxa" w:w="4320"/>
          </w:tcPr>
          <w:p>
            <w:r/>
            <w:r>
              <w:rPr>
                <w:rFonts w:ascii="Consolas" w:hAnsi="Consolas" w:eastAsia="Consolas"/>
                <w:color w:val="131A22"/>
                <w:sz w:val="18"/>
              </w:rPr>
              <w:t>larry-cdw-sandadmin</w:t>
            </w:r>
          </w:p>
        </w:tc>
      </w:tr>
      <w:tr>
        <w:tc>
          <w:tcPr>
            <w:tcW w:type="dxa" w:w="4320"/>
          </w:tcPr>
          <w:p>
            <w:r/>
            <w:r>
              <w:rPr>
                <w:sz w:val="19"/>
              </w:rPr>
              <w:t>Live demo</w:t>
            </w:r>
          </w:p>
        </w:tc>
        <w:tc>
          <w:tcPr>
            <w:tcW w:type="dxa" w:w="4320"/>
          </w:tcPr>
          <w:p>
            <w:r/>
            <w:r>
              <w:rPr>
                <w:sz w:val="19"/>
              </w:rPr>
              <w:t>https://hello.elbeetest.com</w:t>
            </w:r>
          </w:p>
        </w:tc>
      </w:tr>
      <w:tr>
        <w:tc>
          <w:tcPr>
            <w:tcW w:type="dxa" w:w="4320"/>
          </w:tcPr>
          <w:p>
            <w:r/>
            <w:r>
              <w:rPr>
                <w:sz w:val="19"/>
              </w:rPr>
              <w:t>Cluster</w:t>
            </w:r>
          </w:p>
        </w:tc>
        <w:tc>
          <w:tcPr>
            <w:tcW w:type="dxa" w:w="4320"/>
          </w:tcPr>
          <w:p>
            <w:r/>
            <w:r>
              <w:rPr>
                <w:sz w:val="19"/>
              </w:rPr>
              <w:t>`tech-challenge-dev-cluster`  ·  Kubernetes 1.35</w:t>
            </w:r>
          </w:p>
        </w:tc>
      </w:tr>
      <w:tr>
        <w:tc>
          <w:tcPr>
            <w:tcW w:type="dxa" w:w="4320"/>
          </w:tcPr>
          <w:p>
            <w:r/>
            <w:r>
              <w:rPr>
                <w:sz w:val="19"/>
              </w:rPr>
              <w:t>Document date</w:t>
            </w:r>
          </w:p>
        </w:tc>
        <w:tc>
          <w:tcPr>
            <w:tcW w:type="dxa" w:w="4320"/>
          </w:tcPr>
          <w:p>
            <w:r/>
            <w:r>
              <w:rPr>
                <w:sz w:val="19"/>
              </w:rPr>
              <w:t>11 September 2026</w:t>
            </w:r>
          </w:p>
        </w:tc>
      </w:tr>
    </w:tbl>
    <w:p/>
    <w:p/>
    <w:p>
      <w:r>
        <w:rPr>
          <w:b/>
        </w:rPr>
        <w:t xml:space="preserve">Who this is for.  </w:t>
      </w:r>
      <w:r>
        <w:t>An engineer who has been handed this repository and needs to deploy it, operate it, or take it apart safely. It assumes familiarity with AWS and Kubernetes concepts but not with this stack. Design reasoning lives in the ADRs; the teaching narrative lives in the walkthrough. This document is the operating manual.</w:t>
      </w:r>
    </w:p>
    <w:p>
      <w:r>
        <w:br w:type="page"/>
      </w:r>
    </w:p>
    <w:p>
      <w:pPr>
        <w:pStyle w:val="Heading1"/>
      </w:pPr>
      <w:r>
        <w:t>1. Prerequisites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Tool</w:t>
            </w:r>
          </w:p>
        </w:tc>
        <w:tc>
          <w:tcPr>
            <w:tcW w:type="dxa" w:w="4320"/>
          </w:tcPr>
          <w:p>
            <w:r/>
            <w:r>
              <w:rPr>
                <w:b/>
                <w:sz w:val="19"/>
              </w:rPr>
              <w:t>Requirement</w:t>
            </w:r>
          </w:p>
        </w:tc>
      </w:tr>
      <w:tr>
        <w:tc>
          <w:tcPr>
            <w:tcW w:type="dxa" w:w="4320"/>
          </w:tcPr>
          <w:p>
            <w:r/>
            <w:r>
              <w:rPr>
                <w:sz w:val="19"/>
              </w:rPr>
              <w:t>Terraform</w:t>
            </w:r>
          </w:p>
        </w:tc>
        <w:tc>
          <w:tcPr>
            <w:tcW w:type="dxa" w:w="4320"/>
          </w:tcPr>
          <w:p>
            <w:r/>
            <w:r>
              <w:rPr>
                <w:sz w:val="19"/>
              </w:rPr>
              <w:t>&gt;= 1.11 — required for S3 native state locking. Pinned in `.terraform-version`.</w:t>
            </w:r>
          </w:p>
        </w:tc>
      </w:tr>
      <w:tr>
        <w:tc>
          <w:tcPr>
            <w:tcW w:type="dxa" w:w="4320"/>
          </w:tcPr>
          <w:p>
            <w:r/>
            <w:r>
              <w:rPr>
                <w:sz w:val="19"/>
              </w:rPr>
              <w:t>AWS CLI</w:t>
            </w:r>
          </w:p>
        </w:tc>
        <w:tc>
          <w:tcPr>
            <w:tcW w:type="dxa" w:w="4320"/>
          </w:tcPr>
          <w:p>
            <w:r/>
            <w:r>
              <w:rPr>
                <w:sz w:val="19"/>
              </w:rPr>
              <w:t>v2, recent. 2.17 is too old for `eks describe-cluster-versions`.</w:t>
            </w:r>
          </w:p>
        </w:tc>
      </w:tr>
      <w:tr>
        <w:tc>
          <w:tcPr>
            <w:tcW w:type="dxa" w:w="4320"/>
          </w:tcPr>
          <w:p>
            <w:r/>
            <w:r>
              <w:rPr>
                <w:sz w:val="19"/>
              </w:rPr>
              <w:t>kubectl</w:t>
            </w:r>
          </w:p>
        </w:tc>
        <w:tc>
          <w:tcPr>
            <w:tcW w:type="dxa" w:w="4320"/>
          </w:tcPr>
          <w:p>
            <w:r/>
            <w:r>
              <w:rPr>
                <w:sz w:val="19"/>
              </w:rPr>
              <w:t>Within one minor version of 1.35.</w:t>
            </w:r>
          </w:p>
        </w:tc>
      </w:tr>
      <w:tr>
        <w:tc>
          <w:tcPr>
            <w:tcW w:type="dxa" w:w="4320"/>
          </w:tcPr>
          <w:p>
            <w:r/>
            <w:r>
              <w:rPr>
                <w:sz w:val="19"/>
              </w:rPr>
              <w:t>Helm</w:t>
            </w:r>
          </w:p>
        </w:tc>
        <w:tc>
          <w:tcPr>
            <w:tcW w:type="dxa" w:w="4320"/>
          </w:tcPr>
          <w:p>
            <w:r/>
            <w:r>
              <w:rPr>
                <w:sz w:val="19"/>
              </w:rPr>
              <w:t>v3 or later (only needed for manual inspection).</w:t>
            </w:r>
          </w:p>
        </w:tc>
      </w:tr>
      <w:tr>
        <w:tc>
          <w:tcPr>
            <w:tcW w:type="dxa" w:w="4320"/>
          </w:tcPr>
          <w:p>
            <w:r/>
            <w:r>
              <w:rPr>
                <w:sz w:val="19"/>
              </w:rPr>
              <w:t>Docker</w:t>
            </w:r>
          </w:p>
        </w:tc>
        <w:tc>
          <w:tcPr>
            <w:tcW w:type="dxa" w:w="4320"/>
          </w:tcPr>
          <w:p>
            <w:r/>
            <w:r>
              <w:rPr>
                <w:sz w:val="19"/>
              </w:rPr>
              <w:t>With buildx. Images must be built for `linux/amd64`.</w:t>
            </w:r>
          </w:p>
        </w:tc>
      </w:tr>
      <w:tr>
        <w:tc>
          <w:tcPr>
            <w:tcW w:type="dxa" w:w="4320"/>
          </w:tcPr>
          <w:p>
            <w:r/>
            <w:r>
              <w:rPr>
                <w:sz w:val="19"/>
              </w:rPr>
              <w:t>session-manager-plugin</w:t>
            </w:r>
          </w:p>
        </w:tc>
        <w:tc>
          <w:tcPr>
            <w:tcW w:type="dxa" w:w="4320"/>
          </w:tcPr>
          <w:p>
            <w:r/>
            <w:r>
              <w:rPr>
                <w:sz w:val="19"/>
              </w:rPr>
              <w:t>Required for the SSM tunnel.</w:t>
            </w:r>
          </w:p>
        </w:tc>
      </w:tr>
      <w:tr>
        <w:tc>
          <w:tcPr>
            <w:tcW w:type="dxa" w:w="4320"/>
          </w:tcPr>
          <w:p>
            <w:r/>
            <w:r>
              <w:rPr>
                <w:sz w:val="19"/>
              </w:rPr>
              <w:t>gh</w:t>
            </w:r>
          </w:p>
        </w:tc>
        <w:tc>
          <w:tcPr>
            <w:tcW w:type="dxa" w:w="4320"/>
          </w:tcPr>
          <w:p>
            <w:r/>
            <w:r>
              <w:rPr>
                <w:sz w:val="19"/>
              </w:rPr>
              <w:t>Only for pipeline and repository administration.</w:t>
            </w:r>
          </w:p>
        </w:tc>
      </w:tr>
    </w:tbl>
    <w:p/>
    <w:tbl>
      <w:tblPr>
        <w:tblW w:type="auto" w:w="0"/>
        <w:tblLook w:firstColumn="1" w:firstRow="1" w:lastColumn="0" w:lastRow="0" w:noHBand="0" w:noVBand="1" w:val="04A0"/>
      </w:tblPr>
      <w:tblGrid>
        <w:gridCol w:w="8640"/>
      </w:tblGrid>
      <w:tr>
        <w:tc>
          <w:tcPr>
            <w:tcW w:type="dxa" w:w="8640"/>
            <w:shd w:fill="F0F6F5"/>
          </w:tcPr>
          <w:p>
            <w:r/>
            <w:r>
              <w:rPr>
                <w:b/>
                <w:color w:val="0B6E6A"/>
                <w:sz w:val="19"/>
              </w:rPr>
              <w:t xml:space="preserve">On Apple Silicon:  </w:t>
            </w:r>
            <w:r>
              <w:rPr>
                <w:sz w:val="19"/>
              </w:rPr>
              <w:t>always install darwin_arm64 builds. An x86_64 Terraform under Rosetta times out starting the AWS provider plugin, and the error looks like a network fault rather than an architecture mismatch. Terraform here is managed by tfenv, not by a brew formula: upgrade with "tfenv install latest &amp;&amp; tfenv use latest".</w:t>
            </w:r>
          </w:p>
        </w:tc>
      </w:tr>
    </w:tbl>
    <w:p/>
    <w:p>
      <w:pPr>
        <w:pStyle w:val="Heading2"/>
      </w:pPr>
      <w:r>
        <w:t>Authenticate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aws sso login --profile larry-cdw-sandadmin</w:t>
            </w:r>
          </w:p>
          <w:p>
            <w:pPr>
              <w:spacing w:after="0" w:before="0"/>
            </w:pPr>
            <w:r>
              <w:rPr>
                <w:rFonts w:ascii="Consolas" w:hAnsi="Consolas" w:eastAsia="Consolas"/>
                <w:color w:val="131A22"/>
                <w:sz w:val="18"/>
              </w:rPr>
              <w:t>export AWS_PROFILE=larry-cdw-sandadmin</w:t>
            </w:r>
          </w:p>
        </w:tc>
      </w:tr>
    </w:tbl>
    <w:p/>
    <w:p>
      <w:pPr>
        <w:pStyle w:val="Heading1"/>
      </w:pPr>
      <w:r>
        <w:t>2. Deploying from nothing</w:t>
      </w:r>
    </w:p>
    <w:p>
      <w:r>
        <w:t>The stack is two Terraform root modules plus a Kubernetes manifest set. Order matters, and the reason is explained under each step.</w:t>
      </w:r>
    </w:p>
    <w:p>
      <w:pPr>
        <w:pStyle w:val="Heading3"/>
      </w:pPr>
      <w:r>
        <w:t>Step 1 — create the state backend (once per AWS account)</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make bootstrap</w:t>
            </w:r>
          </w:p>
        </w:tc>
      </w:tr>
    </w:tbl>
    <w:p/>
    <w:p>
      <w:r>
        <w:t>Creates the S3 bucket that every other root module stores state in: versioning on, encryption on, all four public-access blocks, a TLS-only bucket policy, and prevent_destroy. This module deliberately keeps LOCAL state — it is the one chicken-and-egg exception, because the first module cannot store state in the backend it is creating. There is no DynamoDB lock table: since Terraform 1.11 the S3 backend locks natively with conditional writes.</w:t>
      </w:r>
    </w:p>
    <w:p>
      <w:pPr>
        <w:pStyle w:val="Heading3"/>
      </w:pPr>
      <w:r>
        <w:t>Step 2 — infrastructure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make init  ENV=dev</w:t>
            </w:r>
          </w:p>
          <w:p>
            <w:pPr>
              <w:spacing w:after="0" w:before="0"/>
            </w:pPr>
            <w:r>
              <w:rPr>
                <w:rFonts w:ascii="Consolas" w:hAnsi="Consolas" w:eastAsia="Consolas"/>
                <w:color w:val="131A22"/>
                <w:sz w:val="18"/>
              </w:rPr>
              <w:t>make plan  ENV=dev      # read this before applying</w:t>
            </w:r>
          </w:p>
          <w:p>
            <w:pPr>
              <w:spacing w:after="0" w:before="0"/>
            </w:pPr>
            <w:r>
              <w:rPr>
                <w:rFonts w:ascii="Consolas" w:hAnsi="Consolas" w:eastAsia="Consolas"/>
                <w:color w:val="131A22"/>
                <w:sz w:val="18"/>
              </w:rPr>
              <w:t>make apply ENV=dev</w:t>
            </w:r>
          </w:p>
        </w:tc>
      </w:tr>
    </w:tbl>
    <w:p/>
    <w:p>
      <w:r>
        <w:t>Creates the VPC, EKS cluster, node group, addons, IAM, ECR, the SSM access host, and — if enabled — the ACM certificate. Roughly 15 minutes; the control plane alone takes about 11.</w:t>
      </w:r>
    </w:p>
    <w:tbl>
      <w:tblPr>
        <w:tblW w:type="auto" w:w="0"/>
        <w:tblLook w:firstColumn="1" w:firstRow="1" w:lastColumn="0" w:lastRow="0" w:noHBand="0" w:noVBand="1" w:val="04A0"/>
      </w:tblPr>
      <w:tblGrid>
        <w:gridCol w:w="8640"/>
      </w:tblGrid>
      <w:tr>
        <w:tc>
          <w:tcPr>
            <w:tcW w:type="dxa" w:w="8640"/>
            <w:shd w:fill="FBF3F2"/>
          </w:tcPr>
          <w:p>
            <w:r/>
            <w:r>
              <w:rPr>
                <w:b/>
                <w:color w:val="9E2B25"/>
                <w:sz w:val="19"/>
              </w:rPr>
              <w:t xml:space="preserve">Read the plan.  </w:t>
            </w:r>
            <w:r>
              <w:rPr>
                <w:sz w:val="19"/>
              </w:rPr>
              <w:t>Two incidents during this project would have been costly if the plan had been skimmed: a duplicate EKS access entry that would have failed the apply AFTER the 11-minute control plane creation, and a tainted domain resource whose next plan proposed re-registering the domain for a second non-refundable charge. Look at the verbs: create, update, replace, destroy.</w:t>
            </w:r>
          </w:p>
        </w:tc>
      </w:tr>
    </w:tbl>
    <w:p/>
    <w:p>
      <w:pPr>
        <w:pStyle w:val="Heading3"/>
      </w:pPr>
      <w:r>
        <w:t>Step 3 — cluster software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make addons-init  ENV=dev</w:t>
            </w:r>
          </w:p>
          <w:p>
            <w:pPr>
              <w:spacing w:after="0" w:before="0"/>
            </w:pPr>
            <w:r>
              <w:rPr>
                <w:rFonts w:ascii="Consolas" w:hAnsi="Consolas" w:eastAsia="Consolas"/>
                <w:color w:val="131A22"/>
                <w:sz w:val="18"/>
              </w:rPr>
              <w:t>make addons-plan  ENV=dev</w:t>
            </w:r>
          </w:p>
          <w:p>
            <w:pPr>
              <w:spacing w:after="0" w:before="0"/>
            </w:pPr>
            <w:r>
              <w:rPr>
                <w:rFonts w:ascii="Consolas" w:hAnsi="Consolas" w:eastAsia="Consolas"/>
                <w:color w:val="131A22"/>
                <w:sz w:val="18"/>
              </w:rPr>
              <w:t>make addons-apply ENV=dev</w:t>
            </w:r>
          </w:p>
        </w:tc>
      </w:tr>
    </w:tbl>
    <w:p/>
    <w:p>
      <w:r>
        <w:t>Installs the AWS Load Balancer Controller, ExternalDNS, and the default gp3 StorageClass. This is a SEPARATE root module because the kubernetes and helm providers authenticate against the cluster API — so plan must reach an endpoint that is CIDR-restricted. Keeping it separate lets the infrastructure root plan from a CI runner with no network path to the cluster.</w:t>
      </w:r>
    </w:p>
    <w:p>
      <w:pPr>
        <w:pStyle w:val="Heading3"/>
      </w:pPr>
      <w:r>
        <w:t>Step 4 — the application</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make image  ENV=dev     # build, push to ECR, record the digest</w:t>
            </w:r>
          </w:p>
          <w:p>
            <w:pPr>
              <w:spacing w:after="0" w:before="0"/>
            </w:pPr>
            <w:r>
              <w:rPr>
                <w:rFonts w:ascii="Consolas" w:hAnsi="Consolas" w:eastAsia="Consolas"/>
                <w:color w:val="131A22"/>
                <w:sz w:val="18"/>
              </w:rPr>
              <w:t>make deploy ENV=dev     # kubectl apply -k app/k8s</w:t>
            </w:r>
          </w:p>
          <w:p>
            <w:pPr>
              <w:spacing w:after="0" w:before="0"/>
            </w:pPr>
            <w:r>
              <w:rPr>
                <w:rFonts w:ascii="Consolas" w:hAnsi="Consolas" w:eastAsia="Consolas"/>
                <w:color w:val="131A22"/>
                <w:sz w:val="18"/>
              </w:rPr>
              <w:t>make url    ENV=dev     # print the public URL</w:t>
            </w:r>
          </w:p>
        </w:tc>
      </w:tr>
    </w:tbl>
    <w:p/>
    <w:p/>
    <w:p>
      <w:pPr>
        <w:pStyle w:val="Heading1"/>
      </w:pPr>
      <w:r>
        <w:t>3. Day-to-day operations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Command</w:t>
            </w:r>
          </w:p>
        </w:tc>
        <w:tc>
          <w:tcPr>
            <w:tcW w:type="dxa" w:w="4320"/>
          </w:tcPr>
          <w:p>
            <w:r/>
            <w:r>
              <w:rPr>
                <w:b/>
                <w:sz w:val="19"/>
              </w:rPr>
              <w:t>Purpose</w:t>
            </w:r>
          </w:p>
        </w:tc>
      </w:tr>
      <w:tr>
        <w:tc>
          <w:tcPr>
            <w:tcW w:type="dxa" w:w="4320"/>
          </w:tcPr>
          <w:p>
            <w:r/>
            <w:r>
              <w:rPr>
                <w:rFonts w:ascii="Consolas" w:hAnsi="Consolas" w:eastAsia="Consolas"/>
                <w:color w:val="131A22"/>
                <w:sz w:val="18"/>
              </w:rPr>
              <w:t>make plan ENV=dev</w:t>
            </w:r>
          </w:p>
        </w:tc>
        <w:tc>
          <w:tcPr>
            <w:tcW w:type="dxa" w:w="4320"/>
          </w:tcPr>
          <w:p>
            <w:r/>
            <w:r>
              <w:rPr>
                <w:sz w:val="19"/>
              </w:rPr>
              <w:t>Show pending infrastructure changes</w:t>
            </w:r>
          </w:p>
        </w:tc>
      </w:tr>
      <w:tr>
        <w:tc>
          <w:tcPr>
            <w:tcW w:type="dxa" w:w="4320"/>
          </w:tcPr>
          <w:p>
            <w:r/>
            <w:r>
              <w:rPr>
                <w:rFonts w:ascii="Consolas" w:hAnsi="Consolas" w:eastAsia="Consolas"/>
                <w:color w:val="131A22"/>
                <w:sz w:val="18"/>
              </w:rPr>
              <w:t>make apply ENV=dev</w:t>
            </w:r>
          </w:p>
        </w:tc>
        <w:tc>
          <w:tcPr>
            <w:tcW w:type="dxa" w:w="4320"/>
          </w:tcPr>
          <w:p>
            <w:r/>
            <w:r>
              <w:rPr>
                <w:sz w:val="19"/>
              </w:rPr>
              <w:t>Apply the saved plan file</w:t>
            </w:r>
          </w:p>
        </w:tc>
      </w:tr>
      <w:tr>
        <w:tc>
          <w:tcPr>
            <w:tcW w:type="dxa" w:w="4320"/>
          </w:tcPr>
          <w:p>
            <w:r/>
            <w:r>
              <w:rPr>
                <w:rFonts w:ascii="Consolas" w:hAnsi="Consolas" w:eastAsia="Consolas"/>
                <w:color w:val="131A22"/>
                <w:sz w:val="18"/>
              </w:rPr>
              <w:t>make kubeconfig</w:t>
            </w:r>
          </w:p>
        </w:tc>
        <w:tc>
          <w:tcPr>
            <w:tcW w:type="dxa" w:w="4320"/>
          </w:tcPr>
          <w:p>
            <w:r/>
            <w:r>
              <w:rPr>
                <w:sz w:val="19"/>
              </w:rPr>
              <w:t>Point kubectl at the cluster</w:t>
            </w:r>
          </w:p>
        </w:tc>
      </w:tr>
      <w:tr>
        <w:tc>
          <w:tcPr>
            <w:tcW w:type="dxa" w:w="4320"/>
          </w:tcPr>
          <w:p>
            <w:r/>
            <w:r>
              <w:rPr>
                <w:rFonts w:ascii="Consolas" w:hAnsi="Consolas" w:eastAsia="Consolas"/>
                <w:color w:val="131A22"/>
                <w:sz w:val="18"/>
              </w:rPr>
              <w:t>make tunnel ENV=dev</w:t>
            </w:r>
          </w:p>
        </w:tc>
        <w:tc>
          <w:tcPr>
            <w:tcW w:type="dxa" w:w="4320"/>
          </w:tcPr>
          <w:p>
            <w:r/>
            <w:r>
              <w:rPr>
                <w:sz w:val="19"/>
              </w:rPr>
              <w:t>SSM port-forward to the API on localhost:8443</w:t>
            </w:r>
          </w:p>
        </w:tc>
      </w:tr>
      <w:tr>
        <w:tc>
          <w:tcPr>
            <w:tcW w:type="dxa" w:w="4320"/>
          </w:tcPr>
          <w:p>
            <w:r/>
            <w:r>
              <w:rPr>
                <w:rFonts w:ascii="Consolas" w:hAnsi="Consolas" w:eastAsia="Consolas"/>
                <w:color w:val="131A22"/>
                <w:sz w:val="18"/>
              </w:rPr>
              <w:t>make url ENV=dev</w:t>
            </w:r>
          </w:p>
        </w:tc>
        <w:tc>
          <w:tcPr>
            <w:tcW w:type="dxa" w:w="4320"/>
          </w:tcPr>
          <w:p>
            <w:r/>
            <w:r>
              <w:rPr>
                <w:sz w:val="19"/>
              </w:rPr>
              <w:t>Print the application URL</w:t>
            </w:r>
          </w:p>
        </w:tc>
      </w:tr>
      <w:tr>
        <w:tc>
          <w:tcPr>
            <w:tcW w:type="dxa" w:w="4320"/>
          </w:tcPr>
          <w:p>
            <w:r/>
            <w:r>
              <w:rPr>
                <w:rFonts w:ascii="Consolas" w:hAnsi="Consolas" w:eastAsia="Consolas"/>
                <w:color w:val="131A22"/>
                <w:sz w:val="18"/>
              </w:rPr>
              <w:t>make check</w:t>
            </w:r>
          </w:p>
        </w:tc>
        <w:tc>
          <w:tcPr>
            <w:tcW w:type="dxa" w:w="4320"/>
          </w:tcPr>
          <w:p>
            <w:r/>
            <w:r>
              <w:rPr>
                <w:sz w:val="19"/>
              </w:rPr>
              <w:t>fmt + validate, the same checks CI runs</w:t>
            </w:r>
          </w:p>
        </w:tc>
      </w:tr>
      <w:tr>
        <w:tc>
          <w:tcPr>
            <w:tcW w:type="dxa" w:w="4320"/>
          </w:tcPr>
          <w:p>
            <w:r/>
            <w:r>
              <w:rPr>
                <w:rFonts w:ascii="Consolas" w:hAnsi="Consolas" w:eastAsia="Consolas"/>
                <w:color w:val="131A22"/>
                <w:sz w:val="18"/>
              </w:rPr>
              <w:t>make destroy ENV=dev</w:t>
            </w:r>
          </w:p>
        </w:tc>
        <w:tc>
          <w:tcPr>
            <w:tcW w:type="dxa" w:w="4320"/>
          </w:tcPr>
          <w:p>
            <w:r/>
            <w:r>
              <w:rPr>
                <w:sz w:val="19"/>
              </w:rPr>
              <w:t>Tear the environment down</w:t>
            </w:r>
          </w:p>
        </w:tc>
      </w:tr>
    </w:tbl>
    <w:p/>
    <w:p>
      <w:pPr>
        <w:pStyle w:val="Heading2"/>
      </w:pPr>
      <w:r>
        <w:t>When kubectl stops working</w:t>
      </w:r>
    </w:p>
    <w:p>
      <w:r>
        <w:t>Almost always the endpoint allowlist. The cluster permits API access only from CIDRs listed in cluster_endpoint_public_access_cidrs, and a residential or office IP rotates without warning. This happened during the writing of this guide.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curl -s https://checkip.amazonaws.com          # your IP now</w:t>
            </w:r>
          </w:p>
          <w:p>
            <w:pPr>
              <w:spacing w:after="0" w:before="0"/>
            </w:pPr>
            <w:r>
              <w:rPr>
                <w:rFonts w:ascii="Consolas" w:hAnsi="Consolas" w:eastAsia="Consolas"/>
                <w:color w:val="131A22"/>
                <w:sz w:val="18"/>
              </w:rPr>
              <w:t>aws eks describe-cluster --name tech-challenge-dev-cluster \</w:t>
            </w:r>
          </w:p>
          <w:p>
            <w:pPr>
              <w:spacing w:after="0" w:before="0"/>
            </w:pPr>
            <w:r>
              <w:rPr>
                <w:rFonts w:ascii="Consolas" w:hAnsi="Consolas" w:eastAsia="Consolas"/>
                <w:color w:val="131A22"/>
                <w:sz w:val="18"/>
              </w:rPr>
              <w:t xml:space="preserve">  --query cluster.resourcesVpcConfig.publicAccessCidrs   # what is allowed</w:t>
            </w:r>
          </w:p>
        </w:tc>
      </w:tr>
    </w:tbl>
    <w:p/>
    <w:p>
      <w:r>
        <w:t>Two fixes. Immediate, works from anywhere: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make tunnel ENV=dev</w:t>
            </w:r>
          </w:p>
          <w:p>
            <w:pPr>
              <w:spacing w:after="0" w:before="0"/>
            </w:pPr>
            <w:r>
              <w:rPr>
                <w:rFonts w:ascii="Consolas" w:hAnsi="Consolas" w:eastAsia="Consolas"/>
                <w:color w:val="131A22"/>
                <w:sz w:val="18"/>
              </w:rPr>
              <w:t>kubectl --server https://127.0.0.1:8443 --insecure-skip-tls-verify get nodes</w:t>
            </w:r>
          </w:p>
        </w:tc>
      </w:tr>
    </w:tbl>
    <w:p/>
    <w:p>
      <w:r>
        <w:t>Durable — update the allowlist in the gitignored terraform.tfvars, and the matching GitHub secret so CI keeps working:</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 terraform.tfvars</w:t>
            </w:r>
          </w:p>
          <w:p>
            <w:pPr>
              <w:spacing w:after="0" w:before="0"/>
            </w:pPr>
            <w:r>
              <w:rPr>
                <w:rFonts w:ascii="Consolas" w:hAnsi="Consolas" w:eastAsia="Consolas"/>
                <w:color w:val="131A22"/>
                <w:sz w:val="18"/>
              </w:rPr>
              <w:t>cluster_endpoint_public_access_cidrs = ["&lt;new-ip&gt;/32"]</w:t>
            </w:r>
          </w:p>
          <w:p>
            <w:pPr>
              <w:spacing w:after="0" w:before="0"/>
            </w:pPr>
            <w:r>
              <w:rPr>
                <w:rFonts w:ascii="Consolas" w:hAnsi="Consolas" w:eastAsia="Consolas"/>
                <w:color w:val="131A22"/>
                <w:sz w:val="18"/>
              </w:rPr>
            </w:r>
          </w:p>
          <w:p>
            <w:pPr>
              <w:spacing w:after="0" w:before="0"/>
            </w:pPr>
            <w:r>
              <w:rPr>
                <w:rFonts w:ascii="Consolas" w:hAnsi="Consolas" w:eastAsia="Consolas"/>
                <w:color w:val="131A22"/>
                <w:sz w:val="18"/>
              </w:rPr>
              <w:t>gh secret set TF_VAR_cluster_endpoint_public_access_cidrs \</w:t>
            </w:r>
          </w:p>
          <w:p>
            <w:pPr>
              <w:spacing w:after="0" w:before="0"/>
            </w:pPr>
            <w:r>
              <w:rPr>
                <w:rFonts w:ascii="Consolas" w:hAnsi="Consolas" w:eastAsia="Consolas"/>
                <w:color w:val="131A22"/>
                <w:sz w:val="18"/>
              </w:rPr>
              <w:t xml:space="preserve">  --body '["&lt;new-ip&gt;/32"]'</w:t>
            </w:r>
          </w:p>
          <w:p>
            <w:pPr>
              <w:spacing w:after="0" w:before="0"/>
            </w:pPr>
            <w:r>
              <w:rPr>
                <w:rFonts w:ascii="Consolas" w:hAnsi="Consolas" w:eastAsia="Consolas"/>
                <w:color w:val="131A22"/>
                <w:sz w:val="18"/>
              </w:rPr>
              <w:t>make plan ENV=dev &amp;&amp; make apply ENV=dev</w:t>
            </w:r>
          </w:p>
        </w:tc>
      </w:tr>
    </w:tbl>
    <w:p/>
    <w:tbl>
      <w:tblPr>
        <w:tblW w:type="auto" w:w="0"/>
        <w:tblLook w:firstColumn="1" w:firstRow="1" w:lastColumn="0" w:lastRow="0" w:noHBand="0" w:noVBand="1" w:val="04A0"/>
      </w:tblPr>
      <w:tblGrid>
        <w:gridCol w:w="8640"/>
      </w:tblGrid>
      <w:tr>
        <w:tc>
          <w:tcPr>
            <w:tcW w:type="dxa" w:w="8640"/>
            <w:shd w:fill="F0F6F5"/>
          </w:tcPr>
          <w:p>
            <w:r/>
            <w:r>
              <w:rPr>
                <w:b/>
                <w:color w:val="0B6E6A"/>
                <w:sz w:val="19"/>
              </w:rPr>
              <w:t xml:space="preserve">The allowlist is deliberately not in the repository.  </w:t>
            </w:r>
            <w:r>
              <w:rPr>
                <w:sz w:val="19"/>
              </w:rPr>
              <w:t>This is a public repository. Publishing the single IP permitted to reach a named cluster's API, next to the account id, is a targeting aid rather than configuration. It lives in terraform.tfvars (gitignored) and a GitHub secret. Note the precedence: a -var-file on the command line outranks terraform.tfvars, so the key must be ABSENT from environments/dev.tfvars rather than set to a placeholder.</w:t>
            </w:r>
          </w:p>
        </w:tc>
      </w:tr>
    </w:tbl>
    <w:p/>
    <w:p>
      <w:r>
        <w:br w:type="page"/>
      </w:r>
    </w:p>
    <w:p>
      <w:pPr>
        <w:pStyle w:val="Heading1"/>
      </w:pPr>
      <w:r>
        <w:t>4. Verifying a deployment</w:t>
      </w:r>
    </w:p>
    <w:p>
      <w:r>
        <w:t>Checks that confirm the architecture is behaving as designed, not merely that resources exist.</w:t>
      </w:r>
    </w:p>
    <w:p>
      <w:pPr>
        <w:pStyle w:val="Heading3"/>
      </w:pPr>
      <w:r>
        <w:t>The endpoint posture is what you think it is</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aws eks describe-cluster --name tech-challenge-dev-cluster \</w:t>
            </w:r>
          </w:p>
          <w:p>
            <w:pPr>
              <w:spacing w:after="0" w:before="0"/>
            </w:pPr>
            <w:r>
              <w:rPr>
                <w:rFonts w:ascii="Consolas" w:hAnsi="Consolas" w:eastAsia="Consolas"/>
                <w:color w:val="131A22"/>
                <w:sz w:val="18"/>
              </w:rPr>
              <w:t xml:space="preserve">  --query cluster.resourcesVpcConfig.'[endpointPrivateAccess,endpointPublicAccess,publicAccessCidrs]'</w:t>
            </w:r>
          </w:p>
        </w:tc>
      </w:tr>
    </w:tbl>
    <w:p/>
    <w:p>
      <w:r>
        <w:t>Expect private true, public true, and a specific /32 — never 0.0.0.0/0. The pre-modernization stack returned exactly that last value, because the field was never set and it is the AWS default.</w:t>
      </w:r>
    </w:p>
    <w:p>
      <w:pPr>
        <w:pStyle w:val="Heading3"/>
      </w:pPr>
      <w:r>
        <w:t>Nodes are genuinely private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kubectl get nodes -o jsonpath='{range .items[*]}{.metadata.name}{" ext="}\</w:t>
            </w:r>
          </w:p>
          <w:p>
            <w:pPr>
              <w:spacing w:after="0" w:before="0"/>
            </w:pPr>
            <w:r>
              <w:rPr>
                <w:rFonts w:ascii="Consolas" w:hAnsi="Consolas" w:eastAsia="Consolas"/>
                <w:color w:val="131A22"/>
                <w:sz w:val="18"/>
              </w:rPr>
              <w:t xml:space="preserve">  {.status.addresses[?(@.type=="ExternalIP")].address}{"\n"}{end}'</w:t>
            </w:r>
          </w:p>
        </w:tc>
      </w:tr>
    </w:tbl>
    <w:p/>
    <w:p>
      <w:r>
        <w:t>Every ExternalIP must be empty.</w:t>
      </w:r>
    </w:p>
    <w:p>
      <w:pPr>
        <w:pStyle w:val="Heading3"/>
      </w:pPr>
      <w:r>
        <w:t>The ALB targets pods, not nodes</w:t>
      </w:r>
    </w:p>
    <w:p>
      <w:r>
        <w:t>This is the single setting the whole ingress design rests on. The target group type must be "ip", and the registered targets must match the pod IPs:</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TG=$(aws elbv2 describe-target-groups \</w:t>
            </w:r>
          </w:p>
          <w:p>
            <w:pPr>
              <w:spacing w:after="0" w:before="0"/>
            </w:pPr>
            <w:r>
              <w:rPr>
                <w:rFonts w:ascii="Consolas" w:hAnsi="Consolas" w:eastAsia="Consolas"/>
                <w:color w:val="131A22"/>
                <w:sz w:val="18"/>
              </w:rPr>
              <w:t xml:space="preserve">  --query "TargetGroups[?contains(TargetGroupName,'hellowor')].TargetGroupArn" --output text)</w:t>
            </w:r>
          </w:p>
          <w:p>
            <w:pPr>
              <w:spacing w:after="0" w:before="0"/>
            </w:pPr>
            <w:r>
              <w:rPr>
                <w:rFonts w:ascii="Consolas" w:hAnsi="Consolas" w:eastAsia="Consolas"/>
                <w:color w:val="131A22"/>
                <w:sz w:val="18"/>
              </w:rPr>
              <w:t>aws elbv2 describe-target-groups --target-group-arns $TG \</w:t>
            </w:r>
          </w:p>
          <w:p>
            <w:pPr>
              <w:spacing w:after="0" w:before="0"/>
            </w:pPr>
            <w:r>
              <w:rPr>
                <w:rFonts w:ascii="Consolas" w:hAnsi="Consolas" w:eastAsia="Consolas"/>
                <w:color w:val="131A22"/>
                <w:sz w:val="18"/>
              </w:rPr>
              <w:t xml:space="preserve">  --query TargetGroups[0].TargetType</w:t>
            </w:r>
          </w:p>
          <w:p>
            <w:pPr>
              <w:spacing w:after="0" w:before="0"/>
            </w:pPr>
            <w:r>
              <w:rPr>
                <w:rFonts w:ascii="Consolas" w:hAnsi="Consolas" w:eastAsia="Consolas"/>
                <w:color w:val="131A22"/>
                <w:sz w:val="18"/>
              </w:rPr>
              <w:t>aws elbv2 describe-target-health --target-group-arn $TG \</w:t>
            </w:r>
          </w:p>
          <w:p>
            <w:pPr>
              <w:spacing w:after="0" w:before="0"/>
            </w:pPr>
            <w:r>
              <w:rPr>
                <w:rFonts w:ascii="Consolas" w:hAnsi="Consolas" w:eastAsia="Consolas"/>
                <w:color w:val="131A22"/>
                <w:sz w:val="18"/>
              </w:rPr>
              <w:t xml:space="preserve">  --query "TargetHealthDescriptions[].Target.Id"</w:t>
            </w:r>
          </w:p>
          <w:p>
            <w:pPr>
              <w:spacing w:after="0" w:before="0"/>
            </w:pPr>
            <w:r>
              <w:rPr>
                <w:rFonts w:ascii="Consolas" w:hAnsi="Consolas" w:eastAsia="Consolas"/>
                <w:color w:val="131A22"/>
                <w:sz w:val="18"/>
              </w:rPr>
              <w:t>kubectl -n demo get pods -o jsonpath='{.items[*].status.podIP}'</w:t>
            </w:r>
          </w:p>
        </w:tc>
      </w:tr>
    </w:tbl>
    <w:p/>
    <w:p>
      <w:pPr>
        <w:pStyle w:val="Heading3"/>
      </w:pPr>
      <w:r>
        <w:t>TLS terminates correctly</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curl -s -o /dev/null -w 'verify=%{ssl_verify_result} (0=ok)\n' https://hello.elbeetest.com/</w:t>
            </w:r>
          </w:p>
          <w:p>
            <w:pPr>
              <w:spacing w:after="0" w:before="0"/>
            </w:pPr>
            <w:r>
              <w:rPr>
                <w:rFonts w:ascii="Consolas" w:hAnsi="Consolas" w:eastAsia="Consolas"/>
                <w:color w:val="131A22"/>
                <w:sz w:val="18"/>
              </w:rPr>
              <w:t>curl -s -o /dev/null -w 'http=%{http_code}\n' http://hello.elbeetest.com/   # expect 301</w:t>
            </w:r>
          </w:p>
        </w:tc>
      </w:tr>
    </w:tbl>
    <w:p/>
    <w:p>
      <w:pPr>
        <w:pStyle w:val="Heading3"/>
      </w:pPr>
      <w:r>
        <w:t>The running image is the one you built</w:t>
      </w:r>
    </w:p>
    <w:p>
      <w:r>
        <w:t>The original pipeline failed silently here: it pushed an implicit :latest into a mutable repository, so the pod spec never changed and imagePullPolicy: IfNotPresent kept serving cached layers. New code never rolled out. Always compare: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kubectl -n demo get pods \</w:t>
            </w:r>
          </w:p>
          <w:p>
            <w:pPr>
              <w:spacing w:after="0" w:before="0"/>
            </w:pPr>
            <w:r>
              <w:rPr>
                <w:rFonts w:ascii="Consolas" w:hAnsi="Consolas" w:eastAsia="Consolas"/>
                <w:color w:val="131A22"/>
                <w:sz w:val="18"/>
              </w:rPr>
              <w:t xml:space="preserve">  -o jsonpath='{.items[0].spec.containers[0].image}'</w:t>
            </w:r>
          </w:p>
        </w:tc>
      </w:tr>
    </w:tbl>
    <w:p/>
    <w:p>
      <w:pPr>
        <w:pStyle w:val="Heading3"/>
      </w:pPr>
      <w:r>
        <w:t>No drift</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terraform plan -var-file=environments/dev.tfvars -detailed-exitcode</w:t>
            </w:r>
          </w:p>
          <w:p>
            <w:pPr>
              <w:spacing w:after="0" w:before="0"/>
            </w:pPr>
            <w:r>
              <w:rPr>
                <w:rFonts w:ascii="Consolas" w:hAnsi="Consolas" w:eastAsia="Consolas"/>
                <w:color w:val="131A22"/>
                <w:sz w:val="18"/>
              </w:rPr>
              <w:t># exit 0 = no changes,  exit 2 = drift,  exit 1 = error</w:t>
            </w:r>
          </w:p>
        </w:tc>
      </w:tr>
    </w:tbl>
    <w:p/>
    <w:p>
      <w:r>
        <w:br w:type="page"/>
      </w:r>
    </w:p>
    <w:p>
      <w:pPr>
        <w:pStyle w:val="Heading1"/>
      </w:pPr>
      <w:r>
        <w:t>5. Evidence</w:t>
      </w:r>
    </w:p>
    <w:p>
      <w:r>
        <w:t>The deployed application, reached from the public internet over the ALB. No bastion is involved: the load balancer sits in the public subnets and targets pod IPs in the private subnets directly.</w:t>
      </w:r>
    </w:p>
    <w:p>
      <w:pPr>
        <w:jc w:val="center"/>
      </w:pPr>
      <w:r>
        <w:drawing>
          <wp:inline xmlns:a="http://schemas.openxmlformats.org/drawingml/2006/main" xmlns:pic="http://schemas.openxmlformats.org/drawingml/2006/picture">
            <wp:extent cx="4937760" cy="3120918"/>
            <wp:docPr id="1" name="Picture 1"/>
            <wp:cNvGraphicFramePr>
              <a:graphicFrameLocks noChangeAspect="1"/>
            </wp:cNvGraphicFramePr>
            <a:graphic>
              <a:graphicData uri="http://schemas.openxmlformats.org/drawingml/2006/picture">
                <pic:pic>
                  <pic:nvPicPr>
                    <pic:cNvPr id="0" name="phase4-https-hello-elbeetest.png"/>
                    <pic:cNvPicPr/>
                  </pic:nvPicPr>
                  <pic:blipFill>
                    <a:blip r:embed="rId9"/>
                    <a:stretch>
                      <a:fillRect/>
                    </a:stretch>
                  </pic:blipFill>
                  <pic:spPr>
                    <a:xfrm>
                      <a:off x="0" y="0"/>
                      <a:ext cx="4937760" cy="3120918"/>
                    </a:xfrm>
                    <a:prstGeom prst="rect"/>
                  </pic:spPr>
                </pic:pic>
              </a:graphicData>
            </a:graphic>
          </wp:inline>
        </w:drawing>
      </w:r>
    </w:p>
    <w:p>
      <w:pPr>
        <w:jc w:val="center"/>
      </w:pPr>
      <w:r>
        <w:rPr>
          <w:color w:val="57616F"/>
          <w:sz w:val="17"/>
        </w:rPr>
        <w:t>https://hello.elbeetest.com — ACM certificate, HTTP redirected to HTTPS, zero console errors. The pod name changes between requests because the ALB balances across replicas.</w:t>
      </w:r>
    </w:p>
    <w:p/>
    <w:p>
      <w:r>
        <w:t>Before TLS, the same application served over the ALB hostname alone — the state at the end of Phase 3, kept because it shows the ingress path working independently of DNS and certificates.</w:t>
      </w:r>
    </w:p>
    <w:p>
      <w:pPr>
        <w:jc w:val="center"/>
      </w:pPr>
      <w:r>
        <w:drawing>
          <wp:inline xmlns:a="http://schemas.openxmlformats.org/drawingml/2006/main" xmlns:pic="http://schemas.openxmlformats.org/drawingml/2006/picture">
            <wp:extent cx="4572000" cy="2889738"/>
            <wp:docPr id="2" name="Picture 2"/>
            <wp:cNvGraphicFramePr>
              <a:graphicFrameLocks noChangeAspect="1"/>
            </wp:cNvGraphicFramePr>
            <a:graphic>
              <a:graphicData uri="http://schemas.openxmlformats.org/drawingml/2006/picture">
                <pic:pic>
                  <pic:nvPicPr>
                    <pic:cNvPr id="0" name="phase3-alb-hello-world.png"/>
                    <pic:cNvPicPr/>
                  </pic:nvPicPr>
                  <pic:blipFill>
                    <a:blip r:embed="rId10"/>
                    <a:stretch>
                      <a:fillRect/>
                    </a:stretch>
                  </pic:blipFill>
                  <pic:spPr>
                    <a:xfrm>
                      <a:off x="0" y="0"/>
                      <a:ext cx="4572000" cy="2889738"/>
                    </a:xfrm>
                    <a:prstGeom prst="rect"/>
                  </pic:spPr>
                </pic:pic>
              </a:graphicData>
            </a:graphic>
          </wp:inline>
        </w:drawing>
      </w:r>
    </w:p>
    <w:p>
      <w:pPr>
        <w:jc w:val="center"/>
      </w:pPr>
      <w:r>
        <w:rPr>
          <w:color w:val="57616F"/>
          <w:sz w:val="17"/>
        </w:rPr>
        <w:t>Phase 3 — internet-facing ALB on its AWS hostname, before the domain existed.</w:t>
      </w:r>
    </w:p>
    <w:p>
      <w:r>
        <w:br w:type="page"/>
      </w:r>
    </w:p>
    <w:p>
      <w:pPr>
        <w:pStyle w:val="Heading1"/>
      </w:pPr>
      <w:r>
        <w:t>6. Logs and metrics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Log group</w:t>
            </w:r>
          </w:p>
        </w:tc>
        <w:tc>
          <w:tcPr>
            <w:tcW w:type="dxa" w:w="4320"/>
          </w:tcPr>
          <w:p>
            <w:r/>
            <w:r>
              <w:rPr>
                <w:b/>
                <w:sz w:val="19"/>
              </w:rPr>
              <w:t>Contents</w:t>
            </w:r>
          </w:p>
        </w:tc>
      </w:tr>
      <w:tr>
        <w:tc>
          <w:tcPr>
            <w:tcW w:type="dxa" w:w="4320"/>
          </w:tcPr>
          <w:p>
            <w:r/>
            <w:r>
              <w:rPr>
                <w:rFonts w:ascii="Consolas" w:hAnsi="Consolas" w:eastAsia="Consolas"/>
                <w:color w:val="131A22"/>
                <w:sz w:val="18"/>
              </w:rPr>
              <w:t>/aws/containerinsights/&lt;cluster&gt;/application</w:t>
            </w:r>
          </w:p>
        </w:tc>
        <w:tc>
          <w:tcPr>
            <w:tcW w:type="dxa" w:w="4320"/>
          </w:tcPr>
          <w:p>
            <w:r/>
            <w:r>
              <w:rPr>
                <w:sz w:val="19"/>
              </w:rPr>
              <w:t>Container stdout and stderr</w:t>
            </w:r>
          </w:p>
        </w:tc>
      </w:tr>
      <w:tr>
        <w:tc>
          <w:tcPr>
            <w:tcW w:type="dxa" w:w="4320"/>
          </w:tcPr>
          <w:p>
            <w:r/>
            <w:r>
              <w:rPr>
                <w:rFonts w:ascii="Consolas" w:hAnsi="Consolas" w:eastAsia="Consolas"/>
                <w:color w:val="131A22"/>
                <w:sz w:val="18"/>
              </w:rPr>
              <w:t>/aws/containerinsights/&lt;cluster&gt;/dataplane</w:t>
            </w:r>
          </w:p>
        </w:tc>
        <w:tc>
          <w:tcPr>
            <w:tcW w:type="dxa" w:w="4320"/>
          </w:tcPr>
          <w:p>
            <w:r/>
            <w:r>
              <w:rPr>
                <w:sz w:val="19"/>
              </w:rPr>
              <w:t>kubelet, containerd, kube-proxy</w:t>
            </w:r>
          </w:p>
        </w:tc>
      </w:tr>
      <w:tr>
        <w:tc>
          <w:tcPr>
            <w:tcW w:type="dxa" w:w="4320"/>
          </w:tcPr>
          <w:p>
            <w:r/>
            <w:r>
              <w:rPr>
                <w:rFonts w:ascii="Consolas" w:hAnsi="Consolas" w:eastAsia="Consolas"/>
                <w:color w:val="131A22"/>
                <w:sz w:val="18"/>
              </w:rPr>
              <w:t>/aws/containerinsights/&lt;cluster&gt;/host</w:t>
            </w:r>
          </w:p>
        </w:tc>
        <w:tc>
          <w:tcPr>
            <w:tcW w:type="dxa" w:w="4320"/>
          </w:tcPr>
          <w:p>
            <w:r/>
            <w:r>
              <w:rPr>
                <w:sz w:val="19"/>
              </w:rPr>
              <w:t>Host system logs</w:t>
            </w:r>
          </w:p>
        </w:tc>
      </w:tr>
      <w:tr>
        <w:tc>
          <w:tcPr>
            <w:tcW w:type="dxa" w:w="4320"/>
          </w:tcPr>
          <w:p>
            <w:r/>
            <w:r>
              <w:rPr>
                <w:rFonts w:ascii="Consolas" w:hAnsi="Consolas" w:eastAsia="Consolas"/>
                <w:color w:val="131A22"/>
                <w:sz w:val="18"/>
              </w:rPr>
              <w:t>/aws/containerinsights/&lt;cluster&gt;/performance</w:t>
            </w:r>
          </w:p>
        </w:tc>
        <w:tc>
          <w:tcPr>
            <w:tcW w:type="dxa" w:w="4320"/>
          </w:tcPr>
          <w:p>
            <w:r/>
            <w:r>
              <w:rPr>
                <w:sz w:val="19"/>
              </w:rPr>
              <w:t>Container Insights embedded metrics</w:t>
            </w:r>
          </w:p>
        </w:tc>
      </w:tr>
      <w:tr>
        <w:tc>
          <w:tcPr>
            <w:tcW w:type="dxa" w:w="4320"/>
          </w:tcPr>
          <w:p>
            <w:r/>
            <w:r>
              <w:rPr>
                <w:rFonts w:ascii="Consolas" w:hAnsi="Consolas" w:eastAsia="Consolas"/>
                <w:color w:val="131A22"/>
                <w:sz w:val="18"/>
              </w:rPr>
              <w:t>/aws/eks/&lt;cluster&gt;/cluster</w:t>
            </w:r>
          </w:p>
        </w:tc>
        <w:tc>
          <w:tcPr>
            <w:tcW w:type="dxa" w:w="4320"/>
          </w:tcPr>
          <w:p>
            <w:r/>
            <w:r>
              <w:rPr>
                <w:sz w:val="19"/>
              </w:rPr>
              <w:t>Control plane: api, audit, authenticator</w:t>
            </w:r>
          </w:p>
        </w:tc>
      </w:tr>
    </w:tbl>
    <w:p/>
    <w:tbl>
      <w:tblPr>
        <w:tblW w:type="auto" w:w="0"/>
        <w:tblLook w:firstColumn="1" w:firstRow="1" w:lastColumn="0" w:lastRow="0" w:noHBand="0" w:noVBand="1" w:val="04A0"/>
      </w:tblPr>
      <w:tblGrid>
        <w:gridCol w:w="8640"/>
      </w:tblGrid>
      <w:tr>
        <w:tc>
          <w:tcPr>
            <w:tcW w:type="dxa" w:w="8640"/>
            <w:shd w:fill="F0F6F5"/>
          </w:tcPr>
          <w:p>
            <w:r/>
            <w:r>
              <w:rPr>
                <w:b/>
                <w:color w:val="0B6E6A"/>
                <w:sz w:val="19"/>
              </w:rPr>
              <w:t xml:space="preserve">The nested-JSON trap.  </w:t>
            </w:r>
            <w:r>
              <w:rPr>
                <w:sz w:val="19"/>
              </w:rPr>
              <w:t>Fluent Bit wraps container stdout in the CRI envelope, so an application that logs JSON arrives with its fields as an escaped STRING inside a "log" field, not as top-level fields. Logs Insights returns rows while every field you wanted comes back empty — which reads exactly like broken logging when the pipeline is working perfectly. Use parse.</w:t>
            </w:r>
          </w:p>
        </w:tc>
      </w:tr>
    </w:tbl>
    <w:p/>
    <w:p>
      <w:r>
        <w:t>A query that works — external requests only, excluding ALB and kubelet health checks:</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fields @timestamp, log</w:t>
            </w:r>
          </w:p>
          <w:p>
            <w:pPr>
              <w:spacing w:after="0" w:before="0"/>
            </w:pPr>
            <w:r>
              <w:rPr>
                <w:rFonts w:ascii="Consolas" w:hAnsi="Consolas" w:eastAsia="Consolas"/>
                <w:color w:val="131A22"/>
                <w:sz w:val="18"/>
              </w:rPr>
              <w:t>| filter log like /"msg":"request"/</w:t>
            </w:r>
          </w:p>
          <w:p>
            <w:pPr>
              <w:spacing w:after="0" w:before="0"/>
            </w:pPr>
            <w:r>
              <w:rPr>
                <w:rFonts w:ascii="Consolas" w:hAnsi="Consolas" w:eastAsia="Consolas"/>
                <w:color w:val="131A22"/>
                <w:sz w:val="18"/>
              </w:rPr>
              <w:t>| parse log '"path":"*"'        as path</w:t>
            </w:r>
          </w:p>
          <w:p>
            <w:pPr>
              <w:spacing w:after="0" w:before="0"/>
            </w:pPr>
            <w:r>
              <w:rPr>
                <w:rFonts w:ascii="Consolas" w:hAnsi="Consolas" w:eastAsia="Consolas"/>
                <w:color w:val="131A22"/>
                <w:sz w:val="18"/>
              </w:rPr>
              <w:t>| parse log '"status":*,'       as status</w:t>
            </w:r>
          </w:p>
          <w:p>
            <w:pPr>
              <w:spacing w:after="0" w:before="0"/>
            </w:pPr>
            <w:r>
              <w:rPr>
                <w:rFonts w:ascii="Consolas" w:hAnsi="Consolas" w:eastAsia="Consolas"/>
                <w:color w:val="131A22"/>
                <w:sz w:val="18"/>
              </w:rPr>
              <w:t>| parse log '"duration_ms":*,'  as duration_ms</w:t>
            </w:r>
          </w:p>
          <w:p>
            <w:pPr>
              <w:spacing w:after="0" w:before="0"/>
            </w:pPr>
            <w:r>
              <w:rPr>
                <w:rFonts w:ascii="Consolas" w:hAnsi="Consolas" w:eastAsia="Consolas"/>
                <w:color w:val="131A22"/>
                <w:sz w:val="18"/>
              </w:rPr>
              <w:t>| parse log '"client":"*"'      as client</w:t>
            </w:r>
          </w:p>
          <w:p>
            <w:pPr>
              <w:spacing w:after="0" w:before="0"/>
            </w:pPr>
            <w:r>
              <w:rPr>
                <w:rFonts w:ascii="Consolas" w:hAnsi="Consolas" w:eastAsia="Consolas"/>
                <w:color w:val="131A22"/>
                <w:sz w:val="18"/>
              </w:rPr>
              <w:t>| filter ispresent(client)</w:t>
            </w:r>
          </w:p>
          <w:p>
            <w:pPr>
              <w:spacing w:after="0" w:before="0"/>
            </w:pPr>
            <w:r>
              <w:rPr>
                <w:rFonts w:ascii="Consolas" w:hAnsi="Consolas" w:eastAsia="Consolas"/>
                <w:color w:val="131A22"/>
                <w:sz w:val="18"/>
              </w:rPr>
              <w:t>| sort @timestamp desc</w:t>
            </w:r>
          </w:p>
          <w:p>
            <w:pPr>
              <w:spacing w:after="0" w:before="0"/>
            </w:pPr>
            <w:r>
              <w:rPr>
                <w:rFonts w:ascii="Consolas" w:hAnsi="Consolas" w:eastAsia="Consolas"/>
                <w:color w:val="131A22"/>
                <w:sz w:val="18"/>
              </w:rPr>
              <w:t>| limit 50</w:t>
            </w:r>
          </w:p>
        </w:tc>
      </w:tr>
    </w:tbl>
    <w:p/>
    <w:p>
      <w:r>
        <w:t>Retention is set to 14 days by Terraform, which creates the log groups BEFORE the agent runs. Left to create them itself the agent uses "Never expire", and the logs bill forever.</w:t>
      </w:r>
    </w:p>
    <w:p>
      <w:pPr>
        <w:pStyle w:val="Heading1"/>
      </w:pPr>
      <w:r>
        <w:t>7. Tearing down</w:t>
      </w:r>
    </w:p>
    <w:p>
      <w:r>
        <w:t>Order matters. Cluster software first, because destroying the cluster while Terraform still needs to authenticate to it in order to delete Helm releases leaves an unresolvable state.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kubectl delete -k app/k8s                      # releases the ALB and its DNS record</w:t>
            </w:r>
          </w:p>
          <w:p>
            <w:pPr>
              <w:spacing w:after="0" w:before="0"/>
            </w:pPr>
            <w:r>
              <w:rPr>
                <w:rFonts w:ascii="Consolas" w:hAnsi="Consolas" w:eastAsia="Consolas"/>
                <w:color w:val="131A22"/>
                <w:sz w:val="18"/>
              </w:rPr>
              <w:t>cd cluster-addons &amp;&amp; terraform destroy \</w:t>
            </w:r>
          </w:p>
          <w:p>
            <w:pPr>
              <w:spacing w:after="0" w:before="0"/>
            </w:pPr>
            <w:r>
              <w:rPr>
                <w:rFonts w:ascii="Consolas" w:hAnsi="Consolas" w:eastAsia="Consolas"/>
                <w:color w:val="131A22"/>
                <w:sz w:val="18"/>
              </w:rPr>
              <w:t xml:space="preserve">  -var-file=../environments/dev.addons.tfvars</w:t>
            </w:r>
          </w:p>
          <w:p>
            <w:pPr>
              <w:spacing w:after="0" w:before="0"/>
            </w:pPr>
            <w:r>
              <w:rPr>
                <w:rFonts w:ascii="Consolas" w:hAnsi="Consolas" w:eastAsia="Consolas"/>
                <w:color w:val="131A22"/>
                <w:sz w:val="18"/>
              </w:rPr>
              <w:t>cd .. &amp;&amp; make destroy ENV=dev</w:t>
            </w:r>
          </w:p>
        </w:tc>
      </w:tr>
    </w:tbl>
    <w:p/>
    <w:tbl>
      <w:tblPr>
        <w:tblW w:type="auto" w:w="0"/>
        <w:tblLook w:firstColumn="1" w:firstRow="1" w:lastColumn="0" w:lastRow="0" w:noHBand="0" w:noVBand="1" w:val="04A0"/>
      </w:tblPr>
      <w:tblGrid>
        <w:gridCol w:w="8640"/>
      </w:tblGrid>
      <w:tr>
        <w:tc>
          <w:tcPr>
            <w:tcW w:type="dxa" w:w="8640"/>
            <w:shd w:fill="FBF3F2"/>
          </w:tcPr>
          <w:p>
            <w:r/>
            <w:r>
              <w:rPr>
                <w:b/>
                <w:color w:val="9E2B25"/>
                <w:sz w:val="19"/>
              </w:rPr>
              <w:t xml:space="preserve">What survives a destroy.  </w:t>
            </w:r>
            <w:r>
              <w:rPr>
                <w:sz w:val="19"/>
              </w:rPr>
              <w:t>The registered domain. Registrations cannot be cancelled, so terraform destroy drops the resource from state while the registration and its renewal obligation continue. auto_renew is set to false, so elbeetest.com expires on 10 September 2027 unless renewed. The state bucket also survives, by design: it carries prevent_destroy.</w:t>
            </w:r>
          </w:p>
        </w:tc>
      </w:tr>
    </w:tbl>
    <w:p/>
    <w:p>
      <w:pPr>
        <w:pStyle w:val="Heading2"/>
      </w:pPr>
      <w:r>
        <w:t>Running cost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Component</w:t>
            </w:r>
          </w:p>
        </w:tc>
        <w:tc>
          <w:tcPr>
            <w:tcW w:type="dxa" w:w="4320"/>
          </w:tcPr>
          <w:p>
            <w:r/>
            <w:r>
              <w:rPr>
                <w:b/>
                <w:sz w:val="19"/>
              </w:rPr>
              <w:t>Cost</w:t>
            </w:r>
          </w:p>
        </w:tc>
      </w:tr>
      <w:tr>
        <w:tc>
          <w:tcPr>
            <w:tcW w:type="dxa" w:w="4320"/>
          </w:tcPr>
          <w:p>
            <w:r/>
            <w:r>
              <w:rPr>
                <w:sz w:val="19"/>
              </w:rPr>
              <w:t>EKS control plane</w:t>
            </w:r>
          </w:p>
        </w:tc>
        <w:tc>
          <w:tcPr>
            <w:tcW w:type="dxa" w:w="4320"/>
          </w:tcPr>
          <w:p>
            <w:r/>
            <w:r>
              <w:rPr>
                <w:sz w:val="19"/>
              </w:rPr>
              <w:t>~$73 / month</w:t>
            </w:r>
          </w:p>
        </w:tc>
      </w:tr>
      <w:tr>
        <w:tc>
          <w:tcPr>
            <w:tcW w:type="dxa" w:w="4320"/>
          </w:tcPr>
          <w:p>
            <w:r/>
            <w:r>
              <w:rPr>
                <w:sz w:val="19"/>
              </w:rPr>
              <w:t>2 x t3.medium nodes</w:t>
            </w:r>
          </w:p>
        </w:tc>
        <w:tc>
          <w:tcPr>
            <w:tcW w:type="dxa" w:w="4320"/>
          </w:tcPr>
          <w:p>
            <w:r/>
            <w:r>
              <w:rPr>
                <w:sz w:val="19"/>
              </w:rPr>
              <w:t>~$60 / month</w:t>
            </w:r>
          </w:p>
        </w:tc>
      </w:tr>
      <w:tr>
        <w:tc>
          <w:tcPr>
            <w:tcW w:type="dxa" w:w="4320"/>
          </w:tcPr>
          <w:p>
            <w:r/>
            <w:r>
              <w:rPr>
                <w:sz w:val="19"/>
              </w:rPr>
              <w:t>NAT gateway</w:t>
            </w:r>
          </w:p>
        </w:tc>
        <w:tc>
          <w:tcPr>
            <w:tcW w:type="dxa" w:w="4320"/>
          </w:tcPr>
          <w:p>
            <w:r/>
            <w:r>
              <w:rPr>
                <w:sz w:val="19"/>
              </w:rPr>
              <w:t>~$32 / month + $0.045/GB</w:t>
            </w:r>
          </w:p>
        </w:tc>
      </w:tr>
      <w:tr>
        <w:tc>
          <w:tcPr>
            <w:tcW w:type="dxa" w:w="4320"/>
          </w:tcPr>
          <w:p>
            <w:r/>
            <w:r>
              <w:rPr>
                <w:sz w:val="19"/>
              </w:rPr>
              <w:t>SSM access host (t3.micro)</w:t>
            </w:r>
          </w:p>
        </w:tc>
        <w:tc>
          <w:tcPr>
            <w:tcW w:type="dxa" w:w="4320"/>
          </w:tcPr>
          <w:p>
            <w:r/>
            <w:r>
              <w:rPr>
                <w:sz w:val="19"/>
              </w:rPr>
              <w:t>~$8 / month</w:t>
            </w:r>
          </w:p>
        </w:tc>
      </w:tr>
      <w:tr>
        <w:tc>
          <w:tcPr>
            <w:tcW w:type="dxa" w:w="4320"/>
          </w:tcPr>
          <w:p>
            <w:r/>
            <w:r>
              <w:rPr>
                <w:sz w:val="19"/>
              </w:rPr>
              <w:t>CloudWatch logs and metrics</w:t>
            </w:r>
          </w:p>
        </w:tc>
        <w:tc>
          <w:tcPr>
            <w:tcW w:type="dxa" w:w="4320"/>
          </w:tcPr>
          <w:p>
            <w:r/>
            <w:r>
              <w:rPr>
                <w:sz w:val="19"/>
              </w:rPr>
              <w:t>usage-based, small at this scale</w:t>
            </w:r>
          </w:p>
        </w:tc>
      </w:tr>
      <w:tr>
        <w:tc>
          <w:tcPr>
            <w:tcW w:type="dxa" w:w="4320"/>
          </w:tcPr>
          <w:p>
            <w:r/>
            <w:r>
              <w:rPr>
                <w:sz w:val="19"/>
              </w:rPr>
              <w:t>Domain registration</w:t>
            </w:r>
          </w:p>
        </w:tc>
        <w:tc>
          <w:tcPr>
            <w:tcW w:type="dxa" w:w="4320"/>
          </w:tcPr>
          <w:p>
            <w:r/>
            <w:r>
              <w:rPr>
                <w:sz w:val="19"/>
              </w:rPr>
              <w:t>$16 / year, already paid, non-refundable</w:t>
            </w:r>
          </w:p>
        </w:tc>
      </w:tr>
      <w:tr>
        <w:tc>
          <w:tcPr>
            <w:tcW w:type="dxa" w:w="4320"/>
          </w:tcPr>
          <w:p>
            <w:r/>
            <w:r>
              <w:rPr>
                <w:sz w:val="19"/>
              </w:rPr>
              <w:t>Total</w:t>
            </w:r>
          </w:p>
        </w:tc>
        <w:tc>
          <w:tcPr>
            <w:tcW w:type="dxa" w:w="4320"/>
          </w:tcPr>
          <w:p>
            <w:r/>
            <w:r>
              <w:rPr>
                <w:sz w:val="19"/>
              </w:rPr>
              <w:t>approximately $173 / month</w:t>
            </w:r>
          </w:p>
        </w:tc>
      </w:tr>
    </w:tbl>
    <w:p/>
    <w:p>
      <w:r>
        <w:t>Interface VPC endpoints are disabled in dev and would add roughly $150–200/month across three AZs. They are mandatory in prod, where the API endpoint is fully private. The S3 gateway endpoint is free and always on — ECR stores image layers in S3, so without it every pull is billed as NAT data processing.</w:t>
      </w:r>
    </w:p>
    <w:p>
      <w:r>
        <w:br w:type="page"/>
      </w:r>
    </w:p>
    <w:p>
      <w:pPr>
        <w:pStyle w:val="Heading1"/>
      </w:pPr>
      <w:r>
        <w:t>8. 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Symptom</w:t>
            </w:r>
          </w:p>
        </w:tc>
        <w:tc>
          <w:tcPr>
            <w:tcW w:type="dxa" w:w="4320"/>
          </w:tcPr>
          <w:p>
            <w:r/>
            <w:r>
              <w:rPr>
                <w:b/>
                <w:sz w:val="19"/>
              </w:rPr>
              <w:t>Cause and fix</w:t>
            </w:r>
          </w:p>
        </w:tc>
      </w:tr>
      <w:tr>
        <w:tc>
          <w:tcPr>
            <w:tcW w:type="dxa" w:w="4320"/>
          </w:tcPr>
          <w:p>
            <w:r/>
            <w:r>
              <w:rPr>
                <w:sz w:val="19"/>
              </w:rPr>
              <w:t>`kubectl` times out</w:t>
            </w:r>
          </w:p>
        </w:tc>
        <w:tc>
          <w:tcPr>
            <w:tcW w:type="dxa" w:w="4320"/>
          </w:tcPr>
          <w:p>
            <w:r/>
            <w:r>
              <w:rPr>
                <w:sz w:val="19"/>
              </w:rPr>
              <w:t>Your egress IP is not allowlisted. Use `make tunnel ENV=dev`, then update the allowlist.</w:t>
            </w:r>
          </w:p>
        </w:tc>
      </w:tr>
      <w:tr>
        <w:tc>
          <w:tcPr>
            <w:tcW w:type="dxa" w:w="4320"/>
          </w:tcPr>
          <w:p>
            <w:r/>
            <w:r>
              <w:rPr>
                <w:sz w:val="19"/>
              </w:rPr>
              <w:t>`terraform plan` times out on a kubernetes/helm resource</w:t>
            </w:r>
          </w:p>
        </w:tc>
        <w:tc>
          <w:tcPr>
            <w:tcW w:type="dxa" w:w="4320"/>
          </w:tcPr>
          <w:p>
            <w:r/>
            <w:r>
              <w:rPr>
                <w:sz w:val="19"/>
              </w:rPr>
              <w:t>You are running the wrong root module, or you have no network path to the cluster API. Cluster software lives in `cluster-addons/`.</w:t>
            </w:r>
          </w:p>
        </w:tc>
      </w:tr>
      <w:tr>
        <w:tc>
          <w:tcPr>
            <w:tcW w:type="dxa" w:w="4320"/>
          </w:tcPr>
          <w:p>
            <w:r/>
            <w:r>
              <w:rPr>
                <w:rFonts w:ascii="Consolas" w:hAnsi="Consolas" w:eastAsia="Consolas"/>
                <w:color w:val="131A22"/>
                <w:sz w:val="18"/>
              </w:rPr>
              <w:t>Error acquiring the state lock</w:t>
            </w:r>
          </w:p>
        </w:tc>
        <w:tc>
          <w:tcPr>
            <w:tcW w:type="dxa" w:w="4320"/>
          </w:tcPr>
          <w:p>
            <w:r/>
            <w:r>
              <w:rPr>
                <w:sz w:val="19"/>
              </w:rPr>
              <w:t>Another apply is in progress, or one was interrupted. Confirm nothing is running before `terraform force-unlock`.</w:t>
            </w:r>
          </w:p>
        </w:tc>
      </w:tr>
      <w:tr>
        <w:tc>
          <w:tcPr>
            <w:tcW w:type="dxa" w:w="4320"/>
          </w:tcPr>
          <w:p>
            <w:r/>
            <w:r>
              <w:rPr>
                <w:sz w:val="19"/>
              </w:rPr>
              <w:t>Apply fails, next plan wants to destroy</w:t>
            </w:r>
          </w:p>
        </w:tc>
        <w:tc>
          <w:tcPr>
            <w:tcW w:type="dxa" w:w="4320"/>
          </w:tcPr>
          <w:p>
            <w:r/>
            <w:r>
              <w:rPr>
                <w:sz w:val="19"/>
              </w:rPr>
              <w:t>A failed apply can taint a resource. Check with `terraform show -json`, and use `terraform untaint` if the resource actually exists.</w:t>
            </w:r>
          </w:p>
        </w:tc>
      </w:tr>
      <w:tr>
        <w:tc>
          <w:tcPr>
            <w:tcW w:type="dxa" w:w="4320"/>
          </w:tcPr>
          <w:p>
            <w:r/>
            <w:r>
              <w:rPr>
                <w:sz w:val="19"/>
              </w:rPr>
              <w:t>A PVC stays `Pending`</w:t>
            </w:r>
          </w:p>
        </w:tc>
        <w:tc>
          <w:tcPr>
            <w:tcW w:type="dxa" w:w="4320"/>
          </w:tcPr>
          <w:p>
            <w:r/>
            <w:r>
              <w:rPr>
                <w:sz w:val="19"/>
              </w:rPr>
              <w:t>Only gp3 is marked default. A manifest naming gp2, or an older cluster with no CSI driver, will hang here with no error.</w:t>
            </w:r>
          </w:p>
        </w:tc>
      </w:tr>
      <w:tr>
        <w:tc>
          <w:tcPr>
            <w:tcW w:type="dxa" w:w="4320"/>
          </w:tcPr>
          <w:p>
            <w:r/>
            <w:r>
              <w:rPr>
                <w:sz w:val="19"/>
              </w:rPr>
              <w:t>New image does not roll out</w:t>
            </w:r>
          </w:p>
        </w:tc>
        <w:tc>
          <w:tcPr>
            <w:tcW w:type="dxa" w:w="4320"/>
          </w:tcPr>
          <w:p>
            <w:r/>
            <w:r>
              <w:rPr>
                <w:sz w:val="19"/>
              </w:rPr>
              <w:t>You deployed by tag rather than digest. Compare the running image against what you pushed.</w:t>
            </w:r>
          </w:p>
        </w:tc>
      </w:tr>
      <w:tr>
        <w:tc>
          <w:tcPr>
            <w:tcW w:type="dxa" w:w="4320"/>
          </w:tcPr>
          <w:p>
            <w:r/>
            <w:r>
              <w:rPr>
                <w:rFonts w:ascii="Consolas" w:hAnsi="Consolas" w:eastAsia="Consolas"/>
                <w:color w:val="131A22"/>
                <w:sz w:val="18"/>
              </w:rPr>
              <w:t>ResourceInUseException: Association already exists</w:t>
            </w:r>
          </w:p>
        </w:tc>
        <w:tc>
          <w:tcPr>
            <w:tcW w:type="dxa" w:w="4320"/>
          </w:tcPr>
          <w:p>
            <w:r/>
            <w:r>
              <w:rPr>
                <w:sz w:val="19"/>
              </w:rPr>
              <w:t>A Pod Identity association was declared twice. Managed addons declare `pod_identity_association`; Helm releases use the module `associations` block — never both.</w:t>
            </w:r>
          </w:p>
        </w:tc>
      </w:tr>
      <w:tr>
        <w:tc>
          <w:tcPr>
            <w:tcW w:type="dxa" w:w="4320"/>
          </w:tcPr>
          <w:p>
            <w:r/>
            <w:r>
              <w:rPr>
                <w:sz w:val="19"/>
              </w:rPr>
              <w:t>ExternalDNS writes nothing</w:t>
            </w:r>
          </w:p>
        </w:tc>
        <w:tc>
          <w:tcPr>
            <w:tcW w:type="dxa" w:w="4320"/>
          </w:tcPr>
          <w:p>
            <w:r/>
            <w:r>
              <w:rPr>
                <w:sz w:val="19"/>
              </w:rPr>
              <w:t>Check `--zone-id-filter`. A misnamed top-level `zoneIDFilters` Helm value is accepted and silently ignored.</w:t>
            </w:r>
          </w:p>
        </w:tc>
      </w:tr>
      <w:tr>
        <w:tc>
          <w:tcPr>
            <w:tcW w:type="dxa" w:w="4320"/>
          </w:tcPr>
          <w:p>
            <w:r/>
            <w:r>
              <w:rPr>
                <w:sz w:val="19"/>
              </w:rPr>
              <w:t>Provider plugin start timeout</w:t>
            </w:r>
          </w:p>
        </w:tc>
        <w:tc>
          <w:tcPr>
            <w:tcW w:type="dxa" w:w="4320"/>
          </w:tcPr>
          <w:p>
            <w:r/>
            <w:r>
              <w:rPr>
                <w:sz w:val="19"/>
              </w:rPr>
              <w:t>On Apple Silicon, an x86_64 Terraform binary under Rosetta. Use darwin_arm64.</w:t>
            </w:r>
          </w:p>
        </w:tc>
      </w:tr>
    </w:tbl>
    <w:p/>
    <w:p>
      <w:pPr>
        <w:pStyle w:val="Heading2"/>
      </w:pPr>
      <w:r>
        <w:t>Where to read next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Document</w:t>
            </w:r>
          </w:p>
        </w:tc>
        <w:tc>
          <w:tcPr>
            <w:tcW w:type="dxa" w:w="4320"/>
          </w:tcPr>
          <w:p>
            <w:r/>
            <w:r>
              <w:rPr>
                <w:b/>
                <w:sz w:val="19"/>
              </w:rPr>
              <w:t>Contents</w:t>
            </w:r>
          </w:p>
        </w:tc>
      </w:tr>
      <w:tr>
        <w:tc>
          <w:tcPr>
            <w:tcW w:type="dxa" w:w="4320"/>
          </w:tcPr>
          <w:p>
            <w:r/>
            <w:r>
              <w:rPr>
                <w:rFonts w:ascii="Consolas" w:hAnsi="Consolas" w:eastAsia="Consolas"/>
                <w:color w:val="131A22"/>
                <w:sz w:val="18"/>
              </w:rPr>
              <w:t>docs/architecture-review.html</w:t>
            </w:r>
          </w:p>
        </w:tc>
        <w:tc>
          <w:tcPr>
            <w:tcW w:type="dxa" w:w="4320"/>
          </w:tcPr>
          <w:p>
            <w:r/>
            <w:r>
              <w:rPr>
                <w:sz w:val="19"/>
              </w:rPr>
              <w:t>The original code review and target design, with diagrams</w:t>
            </w:r>
          </w:p>
        </w:tc>
      </w:tr>
      <w:tr>
        <w:tc>
          <w:tcPr>
            <w:tcW w:type="dxa" w:w="4320"/>
          </w:tcPr>
          <w:p>
            <w:r/>
            <w:r>
              <w:rPr>
                <w:rFonts w:ascii="Consolas" w:hAnsi="Consolas" w:eastAsia="Consolas"/>
                <w:color w:val="131A22"/>
                <w:sz w:val="18"/>
              </w:rPr>
              <w:t>docs/architecture.drawio</w:t>
            </w:r>
          </w:p>
        </w:tc>
        <w:tc>
          <w:tcPr>
            <w:tcW w:type="dxa" w:w="4320"/>
          </w:tcPr>
          <w:p>
            <w:r/>
            <w:r>
              <w:rPr>
                <w:sz w:val="19"/>
              </w:rPr>
              <w:t>Editable architecture diagram (diagrams.net)</w:t>
            </w:r>
          </w:p>
        </w:tc>
      </w:tr>
      <w:tr>
        <w:tc>
          <w:tcPr>
            <w:tcW w:type="dxa" w:w="4320"/>
          </w:tcPr>
          <w:p>
            <w:r/>
            <w:r>
              <w:rPr>
                <w:rFonts w:ascii="Consolas" w:hAnsi="Consolas" w:eastAsia="Consolas"/>
                <w:color w:val="131A22"/>
                <w:sz w:val="18"/>
              </w:rPr>
              <w:t>docs/walkthrough.md</w:t>
            </w:r>
          </w:p>
        </w:tc>
        <w:tc>
          <w:tcPr>
            <w:tcW w:type="dxa" w:w="4320"/>
          </w:tcPr>
          <w:p>
            <w:r/>
            <w:r>
              <w:rPr>
                <w:sz w:val="19"/>
              </w:rPr>
              <w:t>Teaching narrative: what went wrong and what it taught</w:t>
            </w:r>
          </w:p>
        </w:tc>
      </w:tr>
      <w:tr>
        <w:tc>
          <w:tcPr>
            <w:tcW w:type="dxa" w:w="4320"/>
          </w:tcPr>
          <w:p>
            <w:r/>
            <w:r>
              <w:rPr>
                <w:rFonts w:ascii="Consolas" w:hAnsi="Consolas" w:eastAsia="Consolas"/>
                <w:color w:val="131A22"/>
                <w:sz w:val="18"/>
              </w:rPr>
              <w:t>docs/adr/</w:t>
            </w:r>
          </w:p>
        </w:tc>
        <w:tc>
          <w:tcPr>
            <w:tcW w:type="dxa" w:w="4320"/>
          </w:tcPr>
          <w:p>
            <w:r/>
            <w:r>
              <w:rPr>
                <w:sz w:val="19"/>
              </w:rPr>
              <w:t>Seven architecture decision records</w:t>
            </w:r>
          </w:p>
        </w:tc>
      </w:tr>
      <w:tr>
        <w:tc>
          <w:tcPr>
            <w:tcW w:type="dxa" w:w="4320"/>
          </w:tcPr>
          <w:p>
            <w:r/>
            <w:r>
              <w:rPr>
                <w:rFonts w:ascii="Consolas" w:hAnsi="Consolas" w:eastAsia="Consolas"/>
                <w:color w:val="131A22"/>
                <w:sz w:val="18"/>
              </w:rPr>
              <w:t>docs/observability.md</w:t>
            </w:r>
          </w:p>
        </w:tc>
        <w:tc>
          <w:tcPr>
            <w:tcW w:type="dxa" w:w="4320"/>
          </w:tcPr>
          <w:p>
            <w:r/>
            <w:r>
              <w:rPr>
                <w:sz w:val="19"/>
              </w:rPr>
              <w:t>Log groups, working queries, the nested-JSON trap</w:t>
            </w:r>
          </w:p>
        </w:tc>
      </w:tr>
      <w:tr>
        <w:tc>
          <w:tcPr>
            <w:tcW w:type="dxa" w:w="4320"/>
          </w:tcPr>
          <w:p>
            <w:r/>
            <w:r>
              <w:rPr>
                <w:rFonts w:ascii="Consolas" w:hAnsi="Consolas" w:eastAsia="Consolas"/>
                <w:color w:val="131A22"/>
                <w:sz w:val="18"/>
              </w:rPr>
              <w:t>optional/tgw/README.md</w:t>
            </w:r>
          </w:p>
        </w:tc>
        <w:tc>
          <w:tcPr>
            <w:tcW w:type="dxa" w:w="4320"/>
          </w:tcPr>
          <w:p>
            <w:r/>
            <w:r>
              <w:rPr>
                <w:sz w:val="19"/>
              </w:rPr>
              <w:t>Why the Transit Gateway was removed, and when one is right</w:t>
            </w:r>
          </w:p>
        </w:tc>
      </w:tr>
      <w:tr>
        <w:tc>
          <w:tcPr>
            <w:tcW w:type="dxa" w:w="4320"/>
          </w:tcPr>
          <w:p>
            <w:r/>
            <w:r>
              <w:rPr>
                <w:rFonts w:ascii="Consolas" w:hAnsi="Consolas" w:eastAsia="Consolas"/>
                <w:color w:val="131A22"/>
                <w:sz w:val="18"/>
              </w:rPr>
              <w:t>optional/efk/README.md</w:t>
            </w:r>
          </w:p>
        </w:tc>
        <w:tc>
          <w:tcPr>
            <w:tcW w:type="dxa" w:w="4320"/>
          </w:tcPr>
          <w:p>
            <w:r/>
            <w:r>
              <w:rPr>
                <w:sz w:val="19"/>
              </w:rPr>
              <w:t>Post-mortem on the self-managed Elasticsearch stack</w:t>
            </w:r>
          </w:p>
        </w:tc>
      </w:tr>
      <w:tr>
        <w:tc>
          <w:tcPr>
            <w:tcW w:type="dxa" w:w="4320"/>
          </w:tcPr>
          <w:p>
            <w:r/>
            <w:r>
              <w:rPr>
                <w:rFonts w:ascii="Consolas" w:hAnsi="Consolas" w:eastAsia="Consolas"/>
                <w:color w:val="131A22"/>
                <w:sz w:val="18"/>
              </w:rPr>
              <w:t>optional/jenkins/README.md</w:t>
            </w:r>
          </w:p>
        </w:tc>
        <w:tc>
          <w:tcPr>
            <w:tcW w:type="dxa" w:w="4320"/>
          </w:tcPr>
          <w:p>
            <w:r/>
            <w:r>
              <w:rPr>
                <w:sz w:val="19"/>
              </w:rPr>
              <w:t>The old pipeline, defect by defect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color w:val="131A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B6E6A"/>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31A22"/>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31A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